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4FA1" w14:textId="02CC3148" w:rsidR="00C90E80" w:rsidRPr="00062049" w:rsidRDefault="00C90E80" w:rsidP="00E15E1B">
      <w:pPr>
        <w:pStyle w:val="Heading1"/>
        <w:spacing w:before="4400" w:after="8400"/>
      </w:pPr>
      <w:r w:rsidRPr="001B396A">
        <w:t>Annual</w:t>
      </w:r>
      <w:r w:rsidR="00D23ECC">
        <w:t xml:space="preserve"> </w:t>
      </w:r>
      <w:r w:rsidRPr="001B396A">
        <w:t>Report</w:t>
      </w:r>
      <w:r w:rsidR="00D23ECC">
        <w:t xml:space="preserve"> </w:t>
      </w:r>
      <w:r w:rsidRPr="001B396A">
        <w:t>20</w:t>
      </w:r>
      <w:r w:rsidR="00DE3B0D">
        <w:t>20</w:t>
      </w:r>
      <w:r w:rsidR="00A66C4F">
        <w:t>–2</w:t>
      </w:r>
      <w:r w:rsidR="00DE3B0D">
        <w:t>1</w:t>
      </w:r>
    </w:p>
    <w:p w14:paraId="1564C41C" w14:textId="77777777" w:rsidR="00062049" w:rsidRPr="003D521F" w:rsidRDefault="002D316F" w:rsidP="00FF30B8">
      <w:pPr>
        <w:pStyle w:val="BodyText"/>
        <w:jc w:val="right"/>
      </w:pPr>
      <w:r>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7F0B3FD9" w14:textId="77777777" w:rsidR="008E1660" w:rsidRDefault="008E1660" w:rsidP="008E1660">
      <w:pPr>
        <w:pStyle w:val="Heading2"/>
      </w:pPr>
      <w:bookmarkStart w:id="0" w:name="_Toc85912287"/>
      <w:r>
        <w:lastRenderedPageBreak/>
        <w:t>Contents</w:t>
      </w:r>
      <w:bookmarkEnd w:id="0"/>
    </w:p>
    <w:p w14:paraId="6F5971F1" w14:textId="5F204465" w:rsidR="00773D96" w:rsidRDefault="009569B2">
      <w:pPr>
        <w:pStyle w:val="TOC1"/>
        <w:rPr>
          <w:rFonts w:asciiTheme="minorHAnsi" w:eastAsiaTheme="minorEastAsia" w:hAnsiTheme="minorHAnsi" w:cstheme="minorBidi"/>
          <w:b w:val="0"/>
          <w:noProof/>
          <w:sz w:val="22"/>
          <w:lang w:eastAsia="en-AU"/>
        </w:rPr>
      </w:pPr>
      <w:r>
        <w:fldChar w:fldCharType="begin"/>
      </w:r>
      <w:r>
        <w:instrText xml:space="preserve"> TOC \h \z \u \t "Heading 2,1,Heading 3,2,TOC heading,2" </w:instrText>
      </w:r>
      <w:r>
        <w:fldChar w:fldCharType="separate"/>
      </w:r>
      <w:hyperlink w:anchor="_Toc85912287" w:history="1">
        <w:r w:rsidR="00773D96" w:rsidRPr="0038296A">
          <w:rPr>
            <w:rStyle w:val="Hyperlink"/>
            <w:noProof/>
          </w:rPr>
          <w:t>Contents</w:t>
        </w:r>
        <w:r w:rsidR="00773D96">
          <w:rPr>
            <w:noProof/>
            <w:webHidden/>
          </w:rPr>
          <w:tab/>
        </w:r>
        <w:r w:rsidR="00773D96">
          <w:rPr>
            <w:noProof/>
            <w:webHidden/>
          </w:rPr>
          <w:fldChar w:fldCharType="begin"/>
        </w:r>
        <w:r w:rsidR="00773D96">
          <w:rPr>
            <w:noProof/>
            <w:webHidden/>
          </w:rPr>
          <w:instrText xml:space="preserve"> PAGEREF _Toc85912287 \h </w:instrText>
        </w:r>
        <w:r w:rsidR="00773D96">
          <w:rPr>
            <w:noProof/>
            <w:webHidden/>
          </w:rPr>
        </w:r>
        <w:r w:rsidR="00773D96">
          <w:rPr>
            <w:noProof/>
            <w:webHidden/>
          </w:rPr>
          <w:fldChar w:fldCharType="separate"/>
        </w:r>
        <w:r w:rsidR="006C3CC1">
          <w:rPr>
            <w:noProof/>
            <w:webHidden/>
          </w:rPr>
          <w:t>2</w:t>
        </w:r>
        <w:r w:rsidR="00773D96">
          <w:rPr>
            <w:noProof/>
            <w:webHidden/>
          </w:rPr>
          <w:fldChar w:fldCharType="end"/>
        </w:r>
      </w:hyperlink>
    </w:p>
    <w:p w14:paraId="5575122D" w14:textId="6C1B4FA9" w:rsidR="00773D96" w:rsidRDefault="00436E30">
      <w:pPr>
        <w:pStyle w:val="TOC1"/>
        <w:rPr>
          <w:rFonts w:asciiTheme="minorHAnsi" w:eastAsiaTheme="minorEastAsia" w:hAnsiTheme="minorHAnsi" w:cstheme="minorBidi"/>
          <w:b w:val="0"/>
          <w:noProof/>
          <w:sz w:val="22"/>
          <w:lang w:eastAsia="en-AU"/>
        </w:rPr>
      </w:pPr>
      <w:hyperlink w:anchor="_Toc85912288" w:history="1">
        <w:r w:rsidR="00773D96" w:rsidRPr="0038296A">
          <w:rPr>
            <w:rStyle w:val="Hyperlink"/>
            <w:noProof/>
          </w:rPr>
          <w:t>Letter to the Minister</w:t>
        </w:r>
        <w:r w:rsidR="00773D96">
          <w:rPr>
            <w:noProof/>
            <w:webHidden/>
          </w:rPr>
          <w:tab/>
        </w:r>
        <w:r w:rsidR="00773D96">
          <w:rPr>
            <w:noProof/>
            <w:webHidden/>
          </w:rPr>
          <w:fldChar w:fldCharType="begin"/>
        </w:r>
        <w:r w:rsidR="00773D96">
          <w:rPr>
            <w:noProof/>
            <w:webHidden/>
          </w:rPr>
          <w:instrText xml:space="preserve"> PAGEREF _Toc85912288 \h </w:instrText>
        </w:r>
        <w:r w:rsidR="00773D96">
          <w:rPr>
            <w:noProof/>
            <w:webHidden/>
          </w:rPr>
        </w:r>
        <w:r w:rsidR="00773D96">
          <w:rPr>
            <w:noProof/>
            <w:webHidden/>
          </w:rPr>
          <w:fldChar w:fldCharType="separate"/>
        </w:r>
        <w:r w:rsidR="006C3CC1">
          <w:rPr>
            <w:noProof/>
            <w:webHidden/>
          </w:rPr>
          <w:t>3</w:t>
        </w:r>
        <w:r w:rsidR="00773D96">
          <w:rPr>
            <w:noProof/>
            <w:webHidden/>
          </w:rPr>
          <w:fldChar w:fldCharType="end"/>
        </w:r>
      </w:hyperlink>
    </w:p>
    <w:p w14:paraId="07472A48" w14:textId="4EB57276" w:rsidR="00773D96" w:rsidRDefault="00436E30">
      <w:pPr>
        <w:pStyle w:val="TOC1"/>
        <w:rPr>
          <w:rFonts w:asciiTheme="minorHAnsi" w:eastAsiaTheme="minorEastAsia" w:hAnsiTheme="minorHAnsi" w:cstheme="minorBidi"/>
          <w:b w:val="0"/>
          <w:noProof/>
          <w:sz w:val="22"/>
          <w:lang w:eastAsia="en-AU"/>
        </w:rPr>
      </w:pPr>
      <w:hyperlink w:anchor="_Toc85912289" w:history="1">
        <w:r w:rsidR="00773D96" w:rsidRPr="0038296A">
          <w:rPr>
            <w:rStyle w:val="Hyperlink"/>
            <w:noProof/>
          </w:rPr>
          <w:t>Director’s foreword</w:t>
        </w:r>
        <w:r w:rsidR="00773D96">
          <w:rPr>
            <w:noProof/>
            <w:webHidden/>
          </w:rPr>
          <w:tab/>
        </w:r>
        <w:r w:rsidR="00773D96">
          <w:rPr>
            <w:noProof/>
            <w:webHidden/>
          </w:rPr>
          <w:fldChar w:fldCharType="begin"/>
        </w:r>
        <w:r w:rsidR="00773D96">
          <w:rPr>
            <w:noProof/>
            <w:webHidden/>
          </w:rPr>
          <w:instrText xml:space="preserve"> PAGEREF _Toc85912289 \h </w:instrText>
        </w:r>
        <w:r w:rsidR="00773D96">
          <w:rPr>
            <w:noProof/>
            <w:webHidden/>
          </w:rPr>
        </w:r>
        <w:r w:rsidR="00773D96">
          <w:rPr>
            <w:noProof/>
            <w:webHidden/>
          </w:rPr>
          <w:fldChar w:fldCharType="separate"/>
        </w:r>
        <w:r w:rsidR="006C3CC1">
          <w:rPr>
            <w:noProof/>
            <w:webHidden/>
          </w:rPr>
          <w:t>4</w:t>
        </w:r>
        <w:r w:rsidR="00773D96">
          <w:rPr>
            <w:noProof/>
            <w:webHidden/>
          </w:rPr>
          <w:fldChar w:fldCharType="end"/>
        </w:r>
      </w:hyperlink>
    </w:p>
    <w:p w14:paraId="502DCF24" w14:textId="0C4C74B8" w:rsidR="00773D96" w:rsidRDefault="00436E30">
      <w:pPr>
        <w:pStyle w:val="TOC1"/>
        <w:rPr>
          <w:rFonts w:asciiTheme="minorHAnsi" w:eastAsiaTheme="minorEastAsia" w:hAnsiTheme="minorHAnsi" w:cstheme="minorBidi"/>
          <w:b w:val="0"/>
          <w:noProof/>
          <w:sz w:val="22"/>
          <w:lang w:eastAsia="en-AU"/>
        </w:rPr>
      </w:pPr>
      <w:hyperlink w:anchor="_Toc85912290" w:history="1">
        <w:r w:rsidR="00773D96" w:rsidRPr="0038296A">
          <w:rPr>
            <w:rStyle w:val="Hyperlink"/>
            <w:noProof/>
          </w:rPr>
          <w:t>About us</w:t>
        </w:r>
        <w:r w:rsidR="00773D96">
          <w:rPr>
            <w:noProof/>
            <w:webHidden/>
          </w:rPr>
          <w:tab/>
        </w:r>
        <w:r w:rsidR="00773D96">
          <w:rPr>
            <w:noProof/>
            <w:webHidden/>
          </w:rPr>
          <w:fldChar w:fldCharType="begin"/>
        </w:r>
        <w:r w:rsidR="00773D96">
          <w:rPr>
            <w:noProof/>
            <w:webHidden/>
          </w:rPr>
          <w:instrText xml:space="preserve"> PAGEREF _Toc85912290 \h </w:instrText>
        </w:r>
        <w:r w:rsidR="00773D96">
          <w:rPr>
            <w:noProof/>
            <w:webHidden/>
          </w:rPr>
        </w:r>
        <w:r w:rsidR="00773D96">
          <w:rPr>
            <w:noProof/>
            <w:webHidden/>
          </w:rPr>
          <w:fldChar w:fldCharType="separate"/>
        </w:r>
        <w:r w:rsidR="006C3CC1">
          <w:rPr>
            <w:noProof/>
            <w:webHidden/>
          </w:rPr>
          <w:t>6</w:t>
        </w:r>
        <w:r w:rsidR="00773D96">
          <w:rPr>
            <w:noProof/>
            <w:webHidden/>
          </w:rPr>
          <w:fldChar w:fldCharType="end"/>
        </w:r>
      </w:hyperlink>
    </w:p>
    <w:p w14:paraId="087080C2" w14:textId="56459609" w:rsidR="00773D96" w:rsidRDefault="00436E30">
      <w:pPr>
        <w:pStyle w:val="TOC2"/>
        <w:rPr>
          <w:rFonts w:asciiTheme="minorHAnsi" w:eastAsiaTheme="minorEastAsia" w:hAnsiTheme="minorHAnsi" w:cstheme="minorBidi"/>
          <w:sz w:val="22"/>
          <w:lang w:eastAsia="en-AU"/>
        </w:rPr>
      </w:pPr>
      <w:hyperlink w:anchor="_Toc85912291" w:history="1">
        <w:r w:rsidR="00773D96" w:rsidRPr="0038296A">
          <w:rPr>
            <w:rStyle w:val="Hyperlink"/>
          </w:rPr>
          <w:t>Our values</w:t>
        </w:r>
        <w:r w:rsidR="00773D96">
          <w:rPr>
            <w:webHidden/>
          </w:rPr>
          <w:tab/>
        </w:r>
        <w:r w:rsidR="00773D96">
          <w:rPr>
            <w:webHidden/>
          </w:rPr>
          <w:fldChar w:fldCharType="begin"/>
        </w:r>
        <w:r w:rsidR="00773D96">
          <w:rPr>
            <w:webHidden/>
          </w:rPr>
          <w:instrText xml:space="preserve"> PAGEREF _Toc85912291 \h </w:instrText>
        </w:r>
        <w:r w:rsidR="00773D96">
          <w:rPr>
            <w:webHidden/>
          </w:rPr>
        </w:r>
        <w:r w:rsidR="00773D96">
          <w:rPr>
            <w:webHidden/>
          </w:rPr>
          <w:fldChar w:fldCharType="separate"/>
        </w:r>
        <w:r w:rsidR="006C3CC1">
          <w:rPr>
            <w:webHidden/>
          </w:rPr>
          <w:t>6</w:t>
        </w:r>
        <w:r w:rsidR="00773D96">
          <w:rPr>
            <w:webHidden/>
          </w:rPr>
          <w:fldChar w:fldCharType="end"/>
        </w:r>
      </w:hyperlink>
    </w:p>
    <w:p w14:paraId="5F083C6F" w14:textId="38E06998" w:rsidR="00773D96" w:rsidRDefault="00436E30">
      <w:pPr>
        <w:pStyle w:val="TOC2"/>
        <w:rPr>
          <w:rFonts w:asciiTheme="minorHAnsi" w:eastAsiaTheme="minorEastAsia" w:hAnsiTheme="minorHAnsi" w:cstheme="minorBidi"/>
          <w:sz w:val="22"/>
          <w:lang w:eastAsia="en-AU"/>
        </w:rPr>
      </w:pPr>
      <w:hyperlink w:anchor="_Toc85912292" w:history="1">
        <w:r w:rsidR="00773D96" w:rsidRPr="0038296A">
          <w:rPr>
            <w:rStyle w:val="Hyperlink"/>
          </w:rPr>
          <w:t>Our vision</w:t>
        </w:r>
        <w:r w:rsidR="00773D96">
          <w:rPr>
            <w:webHidden/>
          </w:rPr>
          <w:tab/>
        </w:r>
        <w:r w:rsidR="00773D96">
          <w:rPr>
            <w:webHidden/>
          </w:rPr>
          <w:fldChar w:fldCharType="begin"/>
        </w:r>
        <w:r w:rsidR="00773D96">
          <w:rPr>
            <w:webHidden/>
          </w:rPr>
          <w:instrText xml:space="preserve"> PAGEREF _Toc85912292 \h </w:instrText>
        </w:r>
        <w:r w:rsidR="00773D96">
          <w:rPr>
            <w:webHidden/>
          </w:rPr>
        </w:r>
        <w:r w:rsidR="00773D96">
          <w:rPr>
            <w:webHidden/>
          </w:rPr>
          <w:fldChar w:fldCharType="separate"/>
        </w:r>
        <w:r w:rsidR="006C3CC1">
          <w:rPr>
            <w:webHidden/>
          </w:rPr>
          <w:t>6</w:t>
        </w:r>
        <w:r w:rsidR="00773D96">
          <w:rPr>
            <w:webHidden/>
          </w:rPr>
          <w:fldChar w:fldCharType="end"/>
        </w:r>
      </w:hyperlink>
    </w:p>
    <w:p w14:paraId="5A0363BC" w14:textId="1C51AD48" w:rsidR="00773D96" w:rsidRDefault="00436E30">
      <w:pPr>
        <w:pStyle w:val="TOC2"/>
        <w:rPr>
          <w:rFonts w:asciiTheme="minorHAnsi" w:eastAsiaTheme="minorEastAsia" w:hAnsiTheme="minorHAnsi" w:cstheme="minorBidi"/>
          <w:sz w:val="22"/>
          <w:lang w:eastAsia="en-AU"/>
        </w:rPr>
      </w:pPr>
      <w:hyperlink w:anchor="_Toc85912293" w:history="1">
        <w:r w:rsidR="00773D96" w:rsidRPr="0038296A">
          <w:rPr>
            <w:rStyle w:val="Hyperlink"/>
          </w:rPr>
          <w:t>Our outcomes</w:t>
        </w:r>
        <w:r w:rsidR="00773D96">
          <w:rPr>
            <w:webHidden/>
          </w:rPr>
          <w:tab/>
        </w:r>
        <w:r w:rsidR="00773D96">
          <w:rPr>
            <w:webHidden/>
          </w:rPr>
          <w:fldChar w:fldCharType="begin"/>
        </w:r>
        <w:r w:rsidR="00773D96">
          <w:rPr>
            <w:webHidden/>
          </w:rPr>
          <w:instrText xml:space="preserve"> PAGEREF _Toc85912293 \h </w:instrText>
        </w:r>
        <w:r w:rsidR="00773D96">
          <w:rPr>
            <w:webHidden/>
          </w:rPr>
        </w:r>
        <w:r w:rsidR="00773D96">
          <w:rPr>
            <w:webHidden/>
          </w:rPr>
          <w:fldChar w:fldCharType="separate"/>
        </w:r>
        <w:r w:rsidR="006C3CC1">
          <w:rPr>
            <w:webHidden/>
          </w:rPr>
          <w:t>6</w:t>
        </w:r>
        <w:r w:rsidR="00773D96">
          <w:rPr>
            <w:webHidden/>
          </w:rPr>
          <w:fldChar w:fldCharType="end"/>
        </w:r>
      </w:hyperlink>
    </w:p>
    <w:p w14:paraId="4F161556" w14:textId="1D4C330B" w:rsidR="00773D96" w:rsidRDefault="00436E30">
      <w:pPr>
        <w:pStyle w:val="TOC2"/>
        <w:rPr>
          <w:rFonts w:asciiTheme="minorHAnsi" w:eastAsiaTheme="minorEastAsia" w:hAnsiTheme="minorHAnsi" w:cstheme="minorBidi"/>
          <w:sz w:val="22"/>
          <w:lang w:eastAsia="en-AU"/>
        </w:rPr>
      </w:pPr>
      <w:hyperlink w:anchor="_Toc85912294" w:history="1">
        <w:r w:rsidR="00773D96" w:rsidRPr="0038296A">
          <w:rPr>
            <w:rStyle w:val="Hyperlink"/>
          </w:rPr>
          <w:t>Our functions</w:t>
        </w:r>
        <w:r w:rsidR="00773D96">
          <w:rPr>
            <w:webHidden/>
          </w:rPr>
          <w:tab/>
        </w:r>
        <w:r w:rsidR="00773D96">
          <w:rPr>
            <w:webHidden/>
          </w:rPr>
          <w:fldChar w:fldCharType="begin"/>
        </w:r>
        <w:r w:rsidR="00773D96">
          <w:rPr>
            <w:webHidden/>
          </w:rPr>
          <w:instrText xml:space="preserve"> PAGEREF _Toc85912294 \h </w:instrText>
        </w:r>
        <w:r w:rsidR="00773D96">
          <w:rPr>
            <w:webHidden/>
          </w:rPr>
        </w:r>
        <w:r w:rsidR="00773D96">
          <w:rPr>
            <w:webHidden/>
          </w:rPr>
          <w:fldChar w:fldCharType="separate"/>
        </w:r>
        <w:r w:rsidR="006C3CC1">
          <w:rPr>
            <w:webHidden/>
          </w:rPr>
          <w:t>6</w:t>
        </w:r>
        <w:r w:rsidR="00773D96">
          <w:rPr>
            <w:webHidden/>
          </w:rPr>
          <w:fldChar w:fldCharType="end"/>
        </w:r>
      </w:hyperlink>
    </w:p>
    <w:p w14:paraId="1D3D6F9E" w14:textId="3C6426AE" w:rsidR="00773D96" w:rsidRDefault="00436E30">
      <w:pPr>
        <w:pStyle w:val="TOC2"/>
        <w:rPr>
          <w:rFonts w:asciiTheme="minorHAnsi" w:eastAsiaTheme="minorEastAsia" w:hAnsiTheme="minorHAnsi" w:cstheme="minorBidi"/>
          <w:sz w:val="22"/>
          <w:lang w:eastAsia="en-AU"/>
        </w:rPr>
      </w:pPr>
      <w:hyperlink w:anchor="_Toc85912295" w:history="1">
        <w:r w:rsidR="00773D96" w:rsidRPr="0038296A">
          <w:rPr>
            <w:rStyle w:val="Hyperlink"/>
          </w:rPr>
          <w:t>Our regulatory approach</w:t>
        </w:r>
        <w:r w:rsidR="00773D96">
          <w:rPr>
            <w:webHidden/>
          </w:rPr>
          <w:tab/>
        </w:r>
        <w:r w:rsidR="00773D96">
          <w:rPr>
            <w:webHidden/>
          </w:rPr>
          <w:fldChar w:fldCharType="begin"/>
        </w:r>
        <w:r w:rsidR="00773D96">
          <w:rPr>
            <w:webHidden/>
          </w:rPr>
          <w:instrText xml:space="preserve"> PAGEREF _Toc85912295 \h </w:instrText>
        </w:r>
        <w:r w:rsidR="00773D96">
          <w:rPr>
            <w:webHidden/>
          </w:rPr>
        </w:r>
        <w:r w:rsidR="00773D96">
          <w:rPr>
            <w:webHidden/>
          </w:rPr>
          <w:fldChar w:fldCharType="separate"/>
        </w:r>
        <w:r w:rsidR="006C3CC1">
          <w:rPr>
            <w:webHidden/>
          </w:rPr>
          <w:t>7</w:t>
        </w:r>
        <w:r w:rsidR="00773D96">
          <w:rPr>
            <w:webHidden/>
          </w:rPr>
          <w:fldChar w:fldCharType="end"/>
        </w:r>
      </w:hyperlink>
    </w:p>
    <w:p w14:paraId="58EFBF0A" w14:textId="776E3B01" w:rsidR="00773D96" w:rsidRDefault="00436E30">
      <w:pPr>
        <w:pStyle w:val="TOC1"/>
        <w:rPr>
          <w:rFonts w:asciiTheme="minorHAnsi" w:eastAsiaTheme="minorEastAsia" w:hAnsiTheme="minorHAnsi" w:cstheme="minorBidi"/>
          <w:b w:val="0"/>
          <w:noProof/>
          <w:sz w:val="22"/>
          <w:lang w:eastAsia="en-AU"/>
        </w:rPr>
      </w:pPr>
      <w:hyperlink w:anchor="_Toc85912296" w:history="1">
        <w:r w:rsidR="00773D96" w:rsidRPr="0038296A">
          <w:rPr>
            <w:rStyle w:val="Hyperlink"/>
            <w:noProof/>
          </w:rPr>
          <w:t>Our performance</w:t>
        </w:r>
        <w:r w:rsidR="00773D96">
          <w:rPr>
            <w:noProof/>
            <w:webHidden/>
          </w:rPr>
          <w:tab/>
        </w:r>
        <w:r w:rsidR="00773D96">
          <w:rPr>
            <w:noProof/>
            <w:webHidden/>
          </w:rPr>
          <w:fldChar w:fldCharType="begin"/>
        </w:r>
        <w:r w:rsidR="00773D96">
          <w:rPr>
            <w:noProof/>
            <w:webHidden/>
          </w:rPr>
          <w:instrText xml:space="preserve"> PAGEREF _Toc85912296 \h </w:instrText>
        </w:r>
        <w:r w:rsidR="00773D96">
          <w:rPr>
            <w:noProof/>
            <w:webHidden/>
          </w:rPr>
        </w:r>
        <w:r w:rsidR="00773D96">
          <w:rPr>
            <w:noProof/>
            <w:webHidden/>
          </w:rPr>
          <w:fldChar w:fldCharType="separate"/>
        </w:r>
        <w:r w:rsidR="006C3CC1">
          <w:rPr>
            <w:noProof/>
            <w:webHidden/>
          </w:rPr>
          <w:t>9</w:t>
        </w:r>
        <w:r w:rsidR="00773D96">
          <w:rPr>
            <w:noProof/>
            <w:webHidden/>
          </w:rPr>
          <w:fldChar w:fldCharType="end"/>
        </w:r>
      </w:hyperlink>
    </w:p>
    <w:p w14:paraId="0080B6C8" w14:textId="5E9DA51E" w:rsidR="00773D96" w:rsidRDefault="00436E30">
      <w:pPr>
        <w:pStyle w:val="TOC1"/>
        <w:rPr>
          <w:rFonts w:asciiTheme="minorHAnsi" w:eastAsiaTheme="minorEastAsia" w:hAnsiTheme="minorHAnsi" w:cstheme="minorBidi"/>
          <w:b w:val="0"/>
          <w:noProof/>
          <w:sz w:val="22"/>
          <w:lang w:eastAsia="en-AU"/>
        </w:rPr>
      </w:pPr>
      <w:hyperlink w:anchor="_Toc85912297" w:history="1">
        <w:r w:rsidR="00773D96" w:rsidRPr="0038296A">
          <w:rPr>
            <w:rStyle w:val="Hyperlink"/>
            <w:noProof/>
          </w:rPr>
          <w:t>Our achievements</w:t>
        </w:r>
        <w:r w:rsidR="00773D96">
          <w:rPr>
            <w:noProof/>
            <w:webHidden/>
          </w:rPr>
          <w:tab/>
        </w:r>
        <w:r w:rsidR="00773D96">
          <w:rPr>
            <w:noProof/>
            <w:webHidden/>
          </w:rPr>
          <w:fldChar w:fldCharType="begin"/>
        </w:r>
        <w:r w:rsidR="00773D96">
          <w:rPr>
            <w:noProof/>
            <w:webHidden/>
          </w:rPr>
          <w:instrText xml:space="preserve"> PAGEREF _Toc85912297 \h </w:instrText>
        </w:r>
        <w:r w:rsidR="00773D96">
          <w:rPr>
            <w:noProof/>
            <w:webHidden/>
          </w:rPr>
        </w:r>
        <w:r w:rsidR="00773D96">
          <w:rPr>
            <w:noProof/>
            <w:webHidden/>
          </w:rPr>
          <w:fldChar w:fldCharType="separate"/>
        </w:r>
        <w:r w:rsidR="006C3CC1">
          <w:rPr>
            <w:noProof/>
            <w:webHidden/>
          </w:rPr>
          <w:t>11</w:t>
        </w:r>
        <w:r w:rsidR="00773D96">
          <w:rPr>
            <w:noProof/>
            <w:webHidden/>
          </w:rPr>
          <w:fldChar w:fldCharType="end"/>
        </w:r>
      </w:hyperlink>
    </w:p>
    <w:p w14:paraId="64F0C975" w14:textId="70955CE8" w:rsidR="00773D96" w:rsidRDefault="00436E30">
      <w:pPr>
        <w:pStyle w:val="TOC2"/>
        <w:rPr>
          <w:rFonts w:asciiTheme="minorHAnsi" w:eastAsiaTheme="minorEastAsia" w:hAnsiTheme="minorHAnsi" w:cstheme="minorBidi"/>
          <w:sz w:val="22"/>
          <w:lang w:eastAsia="en-AU"/>
        </w:rPr>
      </w:pPr>
      <w:hyperlink w:anchor="_Toc85912298" w:history="1">
        <w:r w:rsidR="00773D96" w:rsidRPr="0038296A">
          <w:rPr>
            <w:rStyle w:val="Hyperlink"/>
          </w:rPr>
          <w:t>Outcome 1 – Businesses comply with consumer laws</w:t>
        </w:r>
        <w:r w:rsidR="00773D96">
          <w:rPr>
            <w:webHidden/>
          </w:rPr>
          <w:tab/>
        </w:r>
        <w:r w:rsidR="00773D96">
          <w:rPr>
            <w:webHidden/>
          </w:rPr>
          <w:fldChar w:fldCharType="begin"/>
        </w:r>
        <w:r w:rsidR="00773D96">
          <w:rPr>
            <w:webHidden/>
          </w:rPr>
          <w:instrText xml:space="preserve"> PAGEREF _Toc85912298 \h </w:instrText>
        </w:r>
        <w:r w:rsidR="00773D96">
          <w:rPr>
            <w:webHidden/>
          </w:rPr>
        </w:r>
        <w:r w:rsidR="00773D96">
          <w:rPr>
            <w:webHidden/>
          </w:rPr>
          <w:fldChar w:fldCharType="separate"/>
        </w:r>
        <w:r w:rsidR="006C3CC1">
          <w:rPr>
            <w:webHidden/>
          </w:rPr>
          <w:t>11</w:t>
        </w:r>
        <w:r w:rsidR="00773D96">
          <w:rPr>
            <w:webHidden/>
          </w:rPr>
          <w:fldChar w:fldCharType="end"/>
        </w:r>
      </w:hyperlink>
    </w:p>
    <w:p w14:paraId="046D6D31" w14:textId="6CDFD54E" w:rsidR="00773D96" w:rsidRDefault="00436E30">
      <w:pPr>
        <w:pStyle w:val="TOC2"/>
        <w:rPr>
          <w:rFonts w:asciiTheme="minorHAnsi" w:eastAsiaTheme="minorEastAsia" w:hAnsiTheme="minorHAnsi" w:cstheme="minorBidi"/>
          <w:sz w:val="22"/>
          <w:lang w:eastAsia="en-AU"/>
        </w:rPr>
      </w:pPr>
      <w:hyperlink w:anchor="_Toc85912299" w:history="1">
        <w:r w:rsidR="00773D96" w:rsidRPr="0038296A">
          <w:rPr>
            <w:rStyle w:val="Hyperlink"/>
          </w:rPr>
          <w:t>Outcome 2 – Victorians exercise their consumer rights</w:t>
        </w:r>
        <w:r w:rsidR="00773D96">
          <w:rPr>
            <w:webHidden/>
          </w:rPr>
          <w:tab/>
        </w:r>
        <w:r w:rsidR="00773D96">
          <w:rPr>
            <w:webHidden/>
          </w:rPr>
          <w:fldChar w:fldCharType="begin"/>
        </w:r>
        <w:r w:rsidR="00773D96">
          <w:rPr>
            <w:webHidden/>
          </w:rPr>
          <w:instrText xml:space="preserve"> PAGEREF _Toc85912299 \h </w:instrText>
        </w:r>
        <w:r w:rsidR="00773D96">
          <w:rPr>
            <w:webHidden/>
          </w:rPr>
        </w:r>
        <w:r w:rsidR="00773D96">
          <w:rPr>
            <w:webHidden/>
          </w:rPr>
          <w:fldChar w:fldCharType="separate"/>
        </w:r>
        <w:r w:rsidR="006C3CC1">
          <w:rPr>
            <w:webHidden/>
          </w:rPr>
          <w:t>17</w:t>
        </w:r>
        <w:r w:rsidR="00773D96">
          <w:rPr>
            <w:webHidden/>
          </w:rPr>
          <w:fldChar w:fldCharType="end"/>
        </w:r>
      </w:hyperlink>
    </w:p>
    <w:p w14:paraId="7502AE04" w14:textId="51591670" w:rsidR="00773D96" w:rsidRDefault="00436E30">
      <w:pPr>
        <w:pStyle w:val="TOC2"/>
        <w:rPr>
          <w:rFonts w:asciiTheme="minorHAnsi" w:eastAsiaTheme="minorEastAsia" w:hAnsiTheme="minorHAnsi" w:cstheme="minorBidi"/>
          <w:sz w:val="22"/>
          <w:lang w:eastAsia="en-AU"/>
        </w:rPr>
      </w:pPr>
      <w:hyperlink w:anchor="_Toc85912300" w:history="1">
        <w:r w:rsidR="00773D96" w:rsidRPr="0038296A">
          <w:rPr>
            <w:rStyle w:val="Hyperlink"/>
          </w:rPr>
          <w:t>Outcome 3 – A fair and safe rental market</w:t>
        </w:r>
        <w:r w:rsidR="00773D96">
          <w:rPr>
            <w:webHidden/>
          </w:rPr>
          <w:tab/>
        </w:r>
        <w:r w:rsidR="00773D96">
          <w:rPr>
            <w:webHidden/>
          </w:rPr>
          <w:fldChar w:fldCharType="begin"/>
        </w:r>
        <w:r w:rsidR="00773D96">
          <w:rPr>
            <w:webHidden/>
          </w:rPr>
          <w:instrText xml:space="preserve"> PAGEREF _Toc85912300 \h </w:instrText>
        </w:r>
        <w:r w:rsidR="00773D96">
          <w:rPr>
            <w:webHidden/>
          </w:rPr>
        </w:r>
        <w:r w:rsidR="00773D96">
          <w:rPr>
            <w:webHidden/>
          </w:rPr>
          <w:fldChar w:fldCharType="separate"/>
        </w:r>
        <w:r w:rsidR="006C3CC1">
          <w:rPr>
            <w:webHidden/>
          </w:rPr>
          <w:t>20</w:t>
        </w:r>
        <w:r w:rsidR="00773D96">
          <w:rPr>
            <w:webHidden/>
          </w:rPr>
          <w:fldChar w:fldCharType="end"/>
        </w:r>
      </w:hyperlink>
    </w:p>
    <w:p w14:paraId="02DAB8A8" w14:textId="640A388E" w:rsidR="00773D96" w:rsidRDefault="00436E30">
      <w:pPr>
        <w:pStyle w:val="TOC1"/>
        <w:rPr>
          <w:rFonts w:asciiTheme="minorHAnsi" w:eastAsiaTheme="minorEastAsia" w:hAnsiTheme="minorHAnsi" w:cstheme="minorBidi"/>
          <w:b w:val="0"/>
          <w:noProof/>
          <w:sz w:val="22"/>
          <w:lang w:eastAsia="en-AU"/>
        </w:rPr>
      </w:pPr>
      <w:hyperlink w:anchor="_Toc85912301" w:history="1">
        <w:r w:rsidR="00773D96" w:rsidRPr="0038296A">
          <w:rPr>
            <w:rStyle w:val="Hyperlink"/>
            <w:noProof/>
          </w:rPr>
          <w:t>Trust funds managed by Consumer Affairs Victoria</w:t>
        </w:r>
        <w:r w:rsidR="00773D96">
          <w:rPr>
            <w:noProof/>
            <w:webHidden/>
          </w:rPr>
          <w:tab/>
        </w:r>
        <w:r w:rsidR="00773D96">
          <w:rPr>
            <w:noProof/>
            <w:webHidden/>
          </w:rPr>
          <w:fldChar w:fldCharType="begin"/>
        </w:r>
        <w:r w:rsidR="00773D96">
          <w:rPr>
            <w:noProof/>
            <w:webHidden/>
          </w:rPr>
          <w:instrText xml:space="preserve"> PAGEREF _Toc85912301 \h </w:instrText>
        </w:r>
        <w:r w:rsidR="00773D96">
          <w:rPr>
            <w:noProof/>
            <w:webHidden/>
          </w:rPr>
        </w:r>
        <w:r w:rsidR="00773D96">
          <w:rPr>
            <w:noProof/>
            <w:webHidden/>
          </w:rPr>
          <w:fldChar w:fldCharType="separate"/>
        </w:r>
        <w:r w:rsidR="006C3CC1">
          <w:rPr>
            <w:noProof/>
            <w:webHidden/>
          </w:rPr>
          <w:t>26</w:t>
        </w:r>
        <w:r w:rsidR="00773D96">
          <w:rPr>
            <w:noProof/>
            <w:webHidden/>
          </w:rPr>
          <w:fldChar w:fldCharType="end"/>
        </w:r>
      </w:hyperlink>
    </w:p>
    <w:p w14:paraId="1BEAB969" w14:textId="2046D8F1" w:rsidR="00773D96" w:rsidRDefault="00436E30">
      <w:pPr>
        <w:pStyle w:val="TOC1"/>
        <w:rPr>
          <w:rFonts w:asciiTheme="minorHAnsi" w:eastAsiaTheme="minorEastAsia" w:hAnsiTheme="minorHAnsi" w:cstheme="minorBidi"/>
          <w:b w:val="0"/>
          <w:noProof/>
          <w:sz w:val="22"/>
          <w:lang w:eastAsia="en-AU"/>
        </w:rPr>
      </w:pPr>
      <w:hyperlink w:anchor="_Toc85912302" w:history="1">
        <w:r w:rsidR="00773D96" w:rsidRPr="0038296A">
          <w:rPr>
            <w:rStyle w:val="Hyperlink"/>
            <w:noProof/>
          </w:rPr>
          <w:t>Statement of Expectations</w:t>
        </w:r>
        <w:r w:rsidR="00773D96">
          <w:rPr>
            <w:noProof/>
            <w:webHidden/>
          </w:rPr>
          <w:tab/>
        </w:r>
        <w:r w:rsidR="00773D96">
          <w:rPr>
            <w:noProof/>
            <w:webHidden/>
          </w:rPr>
          <w:fldChar w:fldCharType="begin"/>
        </w:r>
        <w:r w:rsidR="00773D96">
          <w:rPr>
            <w:noProof/>
            <w:webHidden/>
          </w:rPr>
          <w:instrText xml:space="preserve"> PAGEREF _Toc85912302 \h </w:instrText>
        </w:r>
        <w:r w:rsidR="00773D96">
          <w:rPr>
            <w:noProof/>
            <w:webHidden/>
          </w:rPr>
        </w:r>
        <w:r w:rsidR="00773D96">
          <w:rPr>
            <w:noProof/>
            <w:webHidden/>
          </w:rPr>
          <w:fldChar w:fldCharType="separate"/>
        </w:r>
        <w:r w:rsidR="006C3CC1">
          <w:rPr>
            <w:noProof/>
            <w:webHidden/>
          </w:rPr>
          <w:t>27</w:t>
        </w:r>
        <w:r w:rsidR="00773D96">
          <w:rPr>
            <w:noProof/>
            <w:webHidden/>
          </w:rPr>
          <w:fldChar w:fldCharType="end"/>
        </w:r>
      </w:hyperlink>
    </w:p>
    <w:p w14:paraId="16D7A35A" w14:textId="7C3C20FE" w:rsidR="00773D96" w:rsidRDefault="00436E30">
      <w:pPr>
        <w:pStyle w:val="TOC2"/>
        <w:rPr>
          <w:rFonts w:asciiTheme="minorHAnsi" w:eastAsiaTheme="minorEastAsia" w:hAnsiTheme="minorHAnsi" w:cstheme="minorBidi"/>
          <w:sz w:val="22"/>
          <w:lang w:eastAsia="en-AU"/>
        </w:rPr>
      </w:pPr>
      <w:hyperlink w:anchor="_Toc85912303" w:history="1">
        <w:r w:rsidR="00773D96" w:rsidRPr="0038296A">
          <w:rPr>
            <w:rStyle w:val="Hyperlink"/>
          </w:rPr>
          <w:t>Improved timeliness</w:t>
        </w:r>
        <w:r w:rsidR="00773D96">
          <w:rPr>
            <w:webHidden/>
          </w:rPr>
          <w:tab/>
        </w:r>
        <w:r w:rsidR="00773D96">
          <w:rPr>
            <w:webHidden/>
          </w:rPr>
          <w:fldChar w:fldCharType="begin"/>
        </w:r>
        <w:r w:rsidR="00773D96">
          <w:rPr>
            <w:webHidden/>
          </w:rPr>
          <w:instrText xml:space="preserve"> PAGEREF _Toc85912303 \h </w:instrText>
        </w:r>
        <w:r w:rsidR="00773D96">
          <w:rPr>
            <w:webHidden/>
          </w:rPr>
        </w:r>
        <w:r w:rsidR="00773D96">
          <w:rPr>
            <w:webHidden/>
          </w:rPr>
          <w:fldChar w:fldCharType="separate"/>
        </w:r>
        <w:r w:rsidR="006C3CC1">
          <w:rPr>
            <w:webHidden/>
          </w:rPr>
          <w:t>27</w:t>
        </w:r>
        <w:r w:rsidR="00773D96">
          <w:rPr>
            <w:webHidden/>
          </w:rPr>
          <w:fldChar w:fldCharType="end"/>
        </w:r>
      </w:hyperlink>
    </w:p>
    <w:p w14:paraId="69A272A2" w14:textId="61A56EBB" w:rsidR="00773D96" w:rsidRDefault="00436E30">
      <w:pPr>
        <w:pStyle w:val="TOC2"/>
        <w:rPr>
          <w:rFonts w:asciiTheme="minorHAnsi" w:eastAsiaTheme="minorEastAsia" w:hAnsiTheme="minorHAnsi" w:cstheme="minorBidi"/>
          <w:sz w:val="22"/>
          <w:lang w:eastAsia="en-AU"/>
        </w:rPr>
      </w:pPr>
      <w:hyperlink w:anchor="_Toc85912304" w:history="1">
        <w:r w:rsidR="00773D96" w:rsidRPr="0038296A">
          <w:rPr>
            <w:rStyle w:val="Hyperlink"/>
          </w:rPr>
          <w:t>Risk-based strategies</w:t>
        </w:r>
        <w:r w:rsidR="00773D96">
          <w:rPr>
            <w:webHidden/>
          </w:rPr>
          <w:tab/>
        </w:r>
        <w:r w:rsidR="00773D96">
          <w:rPr>
            <w:webHidden/>
          </w:rPr>
          <w:fldChar w:fldCharType="begin"/>
        </w:r>
        <w:r w:rsidR="00773D96">
          <w:rPr>
            <w:webHidden/>
          </w:rPr>
          <w:instrText xml:space="preserve"> PAGEREF _Toc85912304 \h </w:instrText>
        </w:r>
        <w:r w:rsidR="00773D96">
          <w:rPr>
            <w:webHidden/>
          </w:rPr>
        </w:r>
        <w:r w:rsidR="00773D96">
          <w:rPr>
            <w:webHidden/>
          </w:rPr>
          <w:fldChar w:fldCharType="separate"/>
        </w:r>
        <w:r w:rsidR="006C3CC1">
          <w:rPr>
            <w:webHidden/>
          </w:rPr>
          <w:t>27</w:t>
        </w:r>
        <w:r w:rsidR="00773D96">
          <w:rPr>
            <w:webHidden/>
          </w:rPr>
          <w:fldChar w:fldCharType="end"/>
        </w:r>
      </w:hyperlink>
    </w:p>
    <w:p w14:paraId="1814A0DF" w14:textId="0EAD0EAF" w:rsidR="00773D96" w:rsidRDefault="00436E30">
      <w:pPr>
        <w:pStyle w:val="TOC2"/>
        <w:rPr>
          <w:rFonts w:asciiTheme="minorHAnsi" w:eastAsiaTheme="minorEastAsia" w:hAnsiTheme="minorHAnsi" w:cstheme="minorBidi"/>
          <w:sz w:val="22"/>
          <w:lang w:eastAsia="en-AU"/>
        </w:rPr>
      </w:pPr>
      <w:hyperlink w:anchor="_Toc85912305" w:history="1">
        <w:r w:rsidR="00773D96" w:rsidRPr="0038296A">
          <w:rPr>
            <w:rStyle w:val="Hyperlink"/>
          </w:rPr>
          <w:t>Compliance related assistance and advice</w:t>
        </w:r>
        <w:r w:rsidR="00773D96">
          <w:rPr>
            <w:webHidden/>
          </w:rPr>
          <w:tab/>
        </w:r>
        <w:r w:rsidR="00773D96">
          <w:rPr>
            <w:webHidden/>
          </w:rPr>
          <w:fldChar w:fldCharType="begin"/>
        </w:r>
        <w:r w:rsidR="00773D96">
          <w:rPr>
            <w:webHidden/>
          </w:rPr>
          <w:instrText xml:space="preserve"> PAGEREF _Toc85912305 \h </w:instrText>
        </w:r>
        <w:r w:rsidR="00773D96">
          <w:rPr>
            <w:webHidden/>
          </w:rPr>
        </w:r>
        <w:r w:rsidR="00773D96">
          <w:rPr>
            <w:webHidden/>
          </w:rPr>
          <w:fldChar w:fldCharType="separate"/>
        </w:r>
        <w:r w:rsidR="006C3CC1">
          <w:rPr>
            <w:webHidden/>
          </w:rPr>
          <w:t>28</w:t>
        </w:r>
        <w:r w:rsidR="00773D96">
          <w:rPr>
            <w:webHidden/>
          </w:rPr>
          <w:fldChar w:fldCharType="end"/>
        </w:r>
      </w:hyperlink>
    </w:p>
    <w:p w14:paraId="6A6C53B1" w14:textId="3009D6C0" w:rsidR="00773D96" w:rsidRDefault="00436E30">
      <w:pPr>
        <w:pStyle w:val="TOC1"/>
        <w:rPr>
          <w:rFonts w:asciiTheme="minorHAnsi" w:eastAsiaTheme="minorEastAsia" w:hAnsiTheme="minorHAnsi" w:cstheme="minorBidi"/>
          <w:b w:val="0"/>
          <w:noProof/>
          <w:sz w:val="22"/>
          <w:lang w:eastAsia="en-AU"/>
        </w:rPr>
      </w:pPr>
      <w:hyperlink w:anchor="_Toc85912306" w:history="1">
        <w:r w:rsidR="00773D96" w:rsidRPr="0038296A">
          <w:rPr>
            <w:rStyle w:val="Hyperlink"/>
            <w:noProof/>
          </w:rPr>
          <w:t>Financial information 2020–21</w:t>
        </w:r>
        <w:r w:rsidR="00773D96">
          <w:rPr>
            <w:noProof/>
            <w:webHidden/>
          </w:rPr>
          <w:tab/>
        </w:r>
        <w:r w:rsidR="00773D96">
          <w:rPr>
            <w:noProof/>
            <w:webHidden/>
          </w:rPr>
          <w:fldChar w:fldCharType="begin"/>
        </w:r>
        <w:r w:rsidR="00773D96">
          <w:rPr>
            <w:noProof/>
            <w:webHidden/>
          </w:rPr>
          <w:instrText xml:space="preserve"> PAGEREF _Toc85912306 \h </w:instrText>
        </w:r>
        <w:r w:rsidR="00773D96">
          <w:rPr>
            <w:noProof/>
            <w:webHidden/>
          </w:rPr>
        </w:r>
        <w:r w:rsidR="00773D96">
          <w:rPr>
            <w:noProof/>
            <w:webHidden/>
          </w:rPr>
          <w:fldChar w:fldCharType="separate"/>
        </w:r>
        <w:r w:rsidR="006C3CC1">
          <w:rPr>
            <w:noProof/>
            <w:webHidden/>
          </w:rPr>
          <w:t>29</w:t>
        </w:r>
        <w:r w:rsidR="00773D96">
          <w:rPr>
            <w:noProof/>
            <w:webHidden/>
          </w:rPr>
          <w:fldChar w:fldCharType="end"/>
        </w:r>
      </w:hyperlink>
    </w:p>
    <w:p w14:paraId="58D38E7B" w14:textId="78A8A8BB" w:rsidR="00773D96" w:rsidRDefault="00436E30">
      <w:pPr>
        <w:pStyle w:val="TOC1"/>
        <w:rPr>
          <w:rFonts w:asciiTheme="minorHAnsi" w:eastAsiaTheme="minorEastAsia" w:hAnsiTheme="minorHAnsi" w:cstheme="minorBidi"/>
          <w:b w:val="0"/>
          <w:noProof/>
          <w:sz w:val="22"/>
          <w:lang w:eastAsia="en-AU"/>
        </w:rPr>
      </w:pPr>
      <w:hyperlink w:anchor="_Toc85912307" w:history="1">
        <w:r w:rsidR="00773D96" w:rsidRPr="0038296A">
          <w:rPr>
            <w:rStyle w:val="Hyperlink"/>
            <w:noProof/>
          </w:rPr>
          <w:t xml:space="preserve">Acts and regulations administered by CAV: passed, commenced, </w:t>
        </w:r>
        <w:r w:rsidR="00773D96">
          <w:rPr>
            <w:rStyle w:val="Hyperlink"/>
            <w:noProof/>
          </w:rPr>
          <w:br/>
        </w:r>
        <w:r w:rsidR="00773D96" w:rsidRPr="0038296A">
          <w:rPr>
            <w:rStyle w:val="Hyperlink"/>
            <w:noProof/>
          </w:rPr>
          <w:t>made and revoked in 2020–21</w:t>
        </w:r>
        <w:r w:rsidR="00773D96">
          <w:rPr>
            <w:noProof/>
            <w:webHidden/>
          </w:rPr>
          <w:tab/>
        </w:r>
        <w:r w:rsidR="00773D96">
          <w:rPr>
            <w:noProof/>
            <w:webHidden/>
          </w:rPr>
          <w:fldChar w:fldCharType="begin"/>
        </w:r>
        <w:r w:rsidR="00773D96">
          <w:rPr>
            <w:noProof/>
            <w:webHidden/>
          </w:rPr>
          <w:instrText xml:space="preserve"> PAGEREF _Toc85912307 \h </w:instrText>
        </w:r>
        <w:r w:rsidR="00773D96">
          <w:rPr>
            <w:noProof/>
            <w:webHidden/>
          </w:rPr>
        </w:r>
        <w:r w:rsidR="00773D96">
          <w:rPr>
            <w:noProof/>
            <w:webHidden/>
          </w:rPr>
          <w:fldChar w:fldCharType="separate"/>
        </w:r>
        <w:r w:rsidR="006C3CC1">
          <w:rPr>
            <w:noProof/>
            <w:webHidden/>
          </w:rPr>
          <w:t>30</w:t>
        </w:r>
        <w:r w:rsidR="00773D96">
          <w:rPr>
            <w:noProof/>
            <w:webHidden/>
          </w:rPr>
          <w:fldChar w:fldCharType="end"/>
        </w:r>
      </w:hyperlink>
    </w:p>
    <w:p w14:paraId="470DF513" w14:textId="758172F2" w:rsidR="00773D96" w:rsidRDefault="00436E30">
      <w:pPr>
        <w:pStyle w:val="TOC2"/>
        <w:rPr>
          <w:rFonts w:asciiTheme="minorHAnsi" w:eastAsiaTheme="minorEastAsia" w:hAnsiTheme="minorHAnsi" w:cstheme="minorBidi"/>
          <w:sz w:val="22"/>
          <w:lang w:eastAsia="en-AU"/>
        </w:rPr>
      </w:pPr>
      <w:hyperlink w:anchor="_Toc85912308" w:history="1">
        <w:r w:rsidR="00773D96" w:rsidRPr="0038296A">
          <w:rPr>
            <w:rStyle w:val="Hyperlink"/>
          </w:rPr>
          <w:t>Acts passed</w:t>
        </w:r>
        <w:r w:rsidR="00773D96">
          <w:rPr>
            <w:webHidden/>
          </w:rPr>
          <w:tab/>
        </w:r>
        <w:r w:rsidR="00773D96">
          <w:rPr>
            <w:webHidden/>
          </w:rPr>
          <w:fldChar w:fldCharType="begin"/>
        </w:r>
        <w:r w:rsidR="00773D96">
          <w:rPr>
            <w:webHidden/>
          </w:rPr>
          <w:instrText xml:space="preserve"> PAGEREF _Toc85912308 \h </w:instrText>
        </w:r>
        <w:r w:rsidR="00773D96">
          <w:rPr>
            <w:webHidden/>
          </w:rPr>
        </w:r>
        <w:r w:rsidR="00773D96">
          <w:rPr>
            <w:webHidden/>
          </w:rPr>
          <w:fldChar w:fldCharType="separate"/>
        </w:r>
        <w:r w:rsidR="006C3CC1">
          <w:rPr>
            <w:webHidden/>
          </w:rPr>
          <w:t>30</w:t>
        </w:r>
        <w:r w:rsidR="00773D96">
          <w:rPr>
            <w:webHidden/>
          </w:rPr>
          <w:fldChar w:fldCharType="end"/>
        </w:r>
      </w:hyperlink>
    </w:p>
    <w:p w14:paraId="7D7FC56C" w14:textId="664D8684" w:rsidR="00773D96" w:rsidRDefault="00436E30">
      <w:pPr>
        <w:pStyle w:val="TOC2"/>
        <w:rPr>
          <w:rFonts w:asciiTheme="minorHAnsi" w:eastAsiaTheme="minorEastAsia" w:hAnsiTheme="minorHAnsi" w:cstheme="minorBidi"/>
          <w:sz w:val="22"/>
          <w:lang w:eastAsia="en-AU"/>
        </w:rPr>
      </w:pPr>
      <w:hyperlink w:anchor="_Toc85912309" w:history="1">
        <w:r w:rsidR="00773D96" w:rsidRPr="0038296A">
          <w:rPr>
            <w:rStyle w:val="Hyperlink"/>
          </w:rPr>
          <w:t>Acts commenced</w:t>
        </w:r>
        <w:r w:rsidR="00773D96">
          <w:rPr>
            <w:webHidden/>
          </w:rPr>
          <w:tab/>
        </w:r>
        <w:r w:rsidR="00773D96">
          <w:rPr>
            <w:webHidden/>
          </w:rPr>
          <w:fldChar w:fldCharType="begin"/>
        </w:r>
        <w:r w:rsidR="00773D96">
          <w:rPr>
            <w:webHidden/>
          </w:rPr>
          <w:instrText xml:space="preserve"> PAGEREF _Toc85912309 \h </w:instrText>
        </w:r>
        <w:r w:rsidR="00773D96">
          <w:rPr>
            <w:webHidden/>
          </w:rPr>
        </w:r>
        <w:r w:rsidR="00773D96">
          <w:rPr>
            <w:webHidden/>
          </w:rPr>
          <w:fldChar w:fldCharType="separate"/>
        </w:r>
        <w:r w:rsidR="006C3CC1">
          <w:rPr>
            <w:webHidden/>
          </w:rPr>
          <w:t>30</w:t>
        </w:r>
        <w:r w:rsidR="00773D96">
          <w:rPr>
            <w:webHidden/>
          </w:rPr>
          <w:fldChar w:fldCharType="end"/>
        </w:r>
      </w:hyperlink>
    </w:p>
    <w:p w14:paraId="29C5B32D" w14:textId="72F26978" w:rsidR="00773D96" w:rsidRDefault="00436E30">
      <w:pPr>
        <w:pStyle w:val="TOC2"/>
        <w:rPr>
          <w:rFonts w:asciiTheme="minorHAnsi" w:eastAsiaTheme="minorEastAsia" w:hAnsiTheme="minorHAnsi" w:cstheme="minorBidi"/>
          <w:sz w:val="22"/>
          <w:lang w:eastAsia="en-AU"/>
        </w:rPr>
      </w:pPr>
      <w:hyperlink w:anchor="_Toc85912310" w:history="1">
        <w:r w:rsidR="00773D96" w:rsidRPr="0038296A">
          <w:rPr>
            <w:rStyle w:val="Hyperlink"/>
          </w:rPr>
          <w:t>Regulations made</w:t>
        </w:r>
        <w:r w:rsidR="00773D96">
          <w:rPr>
            <w:webHidden/>
          </w:rPr>
          <w:tab/>
        </w:r>
        <w:r w:rsidR="00773D96">
          <w:rPr>
            <w:webHidden/>
          </w:rPr>
          <w:fldChar w:fldCharType="begin"/>
        </w:r>
        <w:r w:rsidR="00773D96">
          <w:rPr>
            <w:webHidden/>
          </w:rPr>
          <w:instrText xml:space="preserve"> PAGEREF _Toc85912310 \h </w:instrText>
        </w:r>
        <w:r w:rsidR="00773D96">
          <w:rPr>
            <w:webHidden/>
          </w:rPr>
        </w:r>
        <w:r w:rsidR="00773D96">
          <w:rPr>
            <w:webHidden/>
          </w:rPr>
          <w:fldChar w:fldCharType="separate"/>
        </w:r>
        <w:r w:rsidR="006C3CC1">
          <w:rPr>
            <w:webHidden/>
          </w:rPr>
          <w:t>30</w:t>
        </w:r>
        <w:r w:rsidR="00773D96">
          <w:rPr>
            <w:webHidden/>
          </w:rPr>
          <w:fldChar w:fldCharType="end"/>
        </w:r>
      </w:hyperlink>
    </w:p>
    <w:p w14:paraId="20779167" w14:textId="56AFCFE3" w:rsidR="00773D96" w:rsidRDefault="00436E30">
      <w:pPr>
        <w:pStyle w:val="TOC2"/>
        <w:rPr>
          <w:rFonts w:asciiTheme="minorHAnsi" w:eastAsiaTheme="minorEastAsia" w:hAnsiTheme="minorHAnsi" w:cstheme="minorBidi"/>
          <w:sz w:val="22"/>
          <w:lang w:eastAsia="en-AU"/>
        </w:rPr>
      </w:pPr>
      <w:hyperlink w:anchor="_Toc85912311" w:history="1">
        <w:r w:rsidR="00773D96" w:rsidRPr="0038296A">
          <w:rPr>
            <w:rStyle w:val="Hyperlink"/>
          </w:rPr>
          <w:t>Regulations commenced</w:t>
        </w:r>
        <w:r w:rsidR="00773D96">
          <w:rPr>
            <w:webHidden/>
          </w:rPr>
          <w:tab/>
        </w:r>
        <w:r w:rsidR="00773D96">
          <w:rPr>
            <w:webHidden/>
          </w:rPr>
          <w:fldChar w:fldCharType="begin"/>
        </w:r>
        <w:r w:rsidR="00773D96">
          <w:rPr>
            <w:webHidden/>
          </w:rPr>
          <w:instrText xml:space="preserve"> PAGEREF _Toc85912311 \h </w:instrText>
        </w:r>
        <w:r w:rsidR="00773D96">
          <w:rPr>
            <w:webHidden/>
          </w:rPr>
        </w:r>
        <w:r w:rsidR="00773D96">
          <w:rPr>
            <w:webHidden/>
          </w:rPr>
          <w:fldChar w:fldCharType="separate"/>
        </w:r>
        <w:r w:rsidR="006C3CC1">
          <w:rPr>
            <w:webHidden/>
          </w:rPr>
          <w:t>30</w:t>
        </w:r>
        <w:r w:rsidR="00773D96">
          <w:rPr>
            <w:webHidden/>
          </w:rPr>
          <w:fldChar w:fldCharType="end"/>
        </w:r>
      </w:hyperlink>
    </w:p>
    <w:p w14:paraId="2611DDE8" w14:textId="6F99FEED" w:rsidR="00773D96" w:rsidRDefault="00436E30">
      <w:pPr>
        <w:pStyle w:val="TOC2"/>
        <w:rPr>
          <w:rFonts w:asciiTheme="minorHAnsi" w:eastAsiaTheme="minorEastAsia" w:hAnsiTheme="minorHAnsi" w:cstheme="minorBidi"/>
          <w:sz w:val="22"/>
          <w:lang w:eastAsia="en-AU"/>
        </w:rPr>
      </w:pPr>
      <w:hyperlink w:anchor="_Toc85912312" w:history="1">
        <w:r w:rsidR="00773D96" w:rsidRPr="0038296A">
          <w:rPr>
            <w:rStyle w:val="Hyperlink"/>
          </w:rPr>
          <w:t>Regulations revoked</w:t>
        </w:r>
        <w:r w:rsidR="00773D96">
          <w:rPr>
            <w:webHidden/>
          </w:rPr>
          <w:tab/>
        </w:r>
        <w:r w:rsidR="00773D96">
          <w:rPr>
            <w:webHidden/>
          </w:rPr>
          <w:fldChar w:fldCharType="begin"/>
        </w:r>
        <w:r w:rsidR="00773D96">
          <w:rPr>
            <w:webHidden/>
          </w:rPr>
          <w:instrText xml:space="preserve"> PAGEREF _Toc85912312 \h </w:instrText>
        </w:r>
        <w:r w:rsidR="00773D96">
          <w:rPr>
            <w:webHidden/>
          </w:rPr>
        </w:r>
        <w:r w:rsidR="00773D96">
          <w:rPr>
            <w:webHidden/>
          </w:rPr>
          <w:fldChar w:fldCharType="separate"/>
        </w:r>
        <w:r w:rsidR="006C3CC1">
          <w:rPr>
            <w:webHidden/>
          </w:rPr>
          <w:t>31</w:t>
        </w:r>
        <w:r w:rsidR="00773D96">
          <w:rPr>
            <w:webHidden/>
          </w:rPr>
          <w:fldChar w:fldCharType="end"/>
        </w:r>
      </w:hyperlink>
    </w:p>
    <w:p w14:paraId="167ADDAF" w14:textId="5C5D7C58" w:rsidR="00773D96" w:rsidRDefault="00436E30">
      <w:pPr>
        <w:pStyle w:val="TOC2"/>
        <w:rPr>
          <w:rFonts w:asciiTheme="minorHAnsi" w:eastAsiaTheme="minorEastAsia" w:hAnsiTheme="minorHAnsi" w:cstheme="minorBidi"/>
          <w:sz w:val="22"/>
          <w:lang w:eastAsia="en-AU"/>
        </w:rPr>
      </w:pPr>
      <w:hyperlink w:anchor="_Toc85912313" w:history="1">
        <w:r w:rsidR="00773D96" w:rsidRPr="0038296A">
          <w:rPr>
            <w:rStyle w:val="Hyperlink"/>
          </w:rPr>
          <w:t>Legislative instruments commenced</w:t>
        </w:r>
        <w:r w:rsidR="00773D96">
          <w:rPr>
            <w:webHidden/>
          </w:rPr>
          <w:tab/>
        </w:r>
        <w:r w:rsidR="00773D96">
          <w:rPr>
            <w:webHidden/>
          </w:rPr>
          <w:fldChar w:fldCharType="begin"/>
        </w:r>
        <w:r w:rsidR="00773D96">
          <w:rPr>
            <w:webHidden/>
          </w:rPr>
          <w:instrText xml:space="preserve"> PAGEREF _Toc85912313 \h </w:instrText>
        </w:r>
        <w:r w:rsidR="00773D96">
          <w:rPr>
            <w:webHidden/>
          </w:rPr>
        </w:r>
        <w:r w:rsidR="00773D96">
          <w:rPr>
            <w:webHidden/>
          </w:rPr>
          <w:fldChar w:fldCharType="separate"/>
        </w:r>
        <w:r w:rsidR="006C3CC1">
          <w:rPr>
            <w:webHidden/>
          </w:rPr>
          <w:t>31</w:t>
        </w:r>
        <w:r w:rsidR="00773D96">
          <w:rPr>
            <w:webHidden/>
          </w:rPr>
          <w:fldChar w:fldCharType="end"/>
        </w:r>
      </w:hyperlink>
    </w:p>
    <w:p w14:paraId="0297323C" w14:textId="460AAA10" w:rsidR="00773D96" w:rsidRDefault="00436E30">
      <w:pPr>
        <w:pStyle w:val="TOC1"/>
        <w:rPr>
          <w:rFonts w:asciiTheme="minorHAnsi" w:eastAsiaTheme="minorEastAsia" w:hAnsiTheme="minorHAnsi" w:cstheme="minorBidi"/>
          <w:b w:val="0"/>
          <w:noProof/>
          <w:sz w:val="22"/>
          <w:lang w:eastAsia="en-AU"/>
        </w:rPr>
      </w:pPr>
      <w:hyperlink w:anchor="_Toc85912314" w:history="1">
        <w:r w:rsidR="00773D96" w:rsidRPr="0038296A">
          <w:rPr>
            <w:rStyle w:val="Hyperlink"/>
            <w:noProof/>
          </w:rPr>
          <w:t>Appendix</w:t>
        </w:r>
        <w:r w:rsidR="00773D96">
          <w:rPr>
            <w:noProof/>
            <w:webHidden/>
          </w:rPr>
          <w:tab/>
        </w:r>
        <w:r w:rsidR="00773D96">
          <w:rPr>
            <w:noProof/>
            <w:webHidden/>
          </w:rPr>
          <w:fldChar w:fldCharType="begin"/>
        </w:r>
        <w:r w:rsidR="00773D96">
          <w:rPr>
            <w:noProof/>
            <w:webHidden/>
          </w:rPr>
          <w:instrText xml:space="preserve"> PAGEREF _Toc85912314 \h </w:instrText>
        </w:r>
        <w:r w:rsidR="00773D96">
          <w:rPr>
            <w:noProof/>
            <w:webHidden/>
          </w:rPr>
        </w:r>
        <w:r w:rsidR="00773D96">
          <w:rPr>
            <w:noProof/>
            <w:webHidden/>
          </w:rPr>
          <w:fldChar w:fldCharType="separate"/>
        </w:r>
        <w:r w:rsidR="006C3CC1">
          <w:rPr>
            <w:noProof/>
            <w:webHidden/>
          </w:rPr>
          <w:t>32</w:t>
        </w:r>
        <w:r w:rsidR="00773D96">
          <w:rPr>
            <w:noProof/>
            <w:webHidden/>
          </w:rPr>
          <w:fldChar w:fldCharType="end"/>
        </w:r>
      </w:hyperlink>
    </w:p>
    <w:p w14:paraId="7D6EC8FD" w14:textId="5ABC903A" w:rsidR="00773D96" w:rsidRDefault="00436E30">
      <w:pPr>
        <w:pStyle w:val="TOC2"/>
        <w:rPr>
          <w:rFonts w:asciiTheme="minorHAnsi" w:eastAsiaTheme="minorEastAsia" w:hAnsiTheme="minorHAnsi" w:cstheme="minorBidi"/>
          <w:sz w:val="22"/>
          <w:lang w:eastAsia="en-AU"/>
        </w:rPr>
      </w:pPr>
      <w:hyperlink w:anchor="_Toc85912315" w:history="1">
        <w:r w:rsidR="00773D96" w:rsidRPr="0038296A">
          <w:rPr>
            <w:rStyle w:val="Hyperlink"/>
          </w:rPr>
          <w:t>Legislation administered by CAV</w:t>
        </w:r>
        <w:r w:rsidR="00773D96">
          <w:rPr>
            <w:webHidden/>
          </w:rPr>
          <w:tab/>
        </w:r>
        <w:r w:rsidR="00773D96">
          <w:rPr>
            <w:webHidden/>
          </w:rPr>
          <w:fldChar w:fldCharType="begin"/>
        </w:r>
        <w:r w:rsidR="00773D96">
          <w:rPr>
            <w:webHidden/>
          </w:rPr>
          <w:instrText xml:space="preserve"> PAGEREF _Toc85912315 \h </w:instrText>
        </w:r>
        <w:r w:rsidR="00773D96">
          <w:rPr>
            <w:webHidden/>
          </w:rPr>
        </w:r>
        <w:r w:rsidR="00773D96">
          <w:rPr>
            <w:webHidden/>
          </w:rPr>
          <w:fldChar w:fldCharType="separate"/>
        </w:r>
        <w:r w:rsidR="006C3CC1">
          <w:rPr>
            <w:webHidden/>
          </w:rPr>
          <w:t>32</w:t>
        </w:r>
        <w:r w:rsidR="00773D96">
          <w:rPr>
            <w:webHidden/>
          </w:rPr>
          <w:fldChar w:fldCharType="end"/>
        </w:r>
      </w:hyperlink>
    </w:p>
    <w:p w14:paraId="1E217DA9" w14:textId="7C203AF1" w:rsidR="00773D96" w:rsidRDefault="00436E30">
      <w:pPr>
        <w:pStyle w:val="TOC1"/>
        <w:rPr>
          <w:rFonts w:asciiTheme="minorHAnsi" w:eastAsiaTheme="minorEastAsia" w:hAnsiTheme="minorHAnsi" w:cstheme="minorBidi"/>
          <w:b w:val="0"/>
          <w:noProof/>
          <w:sz w:val="22"/>
          <w:lang w:eastAsia="en-AU"/>
        </w:rPr>
      </w:pPr>
      <w:hyperlink w:anchor="_Toc85912316" w:history="1">
        <w:r w:rsidR="00773D96" w:rsidRPr="0038296A">
          <w:rPr>
            <w:rStyle w:val="Hyperlink"/>
            <w:noProof/>
          </w:rPr>
          <w:t>Consumer Affairs Victoria</w:t>
        </w:r>
        <w:r w:rsidR="00773D96">
          <w:rPr>
            <w:noProof/>
            <w:webHidden/>
          </w:rPr>
          <w:tab/>
        </w:r>
        <w:r w:rsidR="00773D96">
          <w:rPr>
            <w:noProof/>
            <w:webHidden/>
          </w:rPr>
          <w:fldChar w:fldCharType="begin"/>
        </w:r>
        <w:r w:rsidR="00773D96">
          <w:rPr>
            <w:noProof/>
            <w:webHidden/>
          </w:rPr>
          <w:instrText xml:space="preserve"> PAGEREF _Toc85912316 \h </w:instrText>
        </w:r>
        <w:r w:rsidR="00773D96">
          <w:rPr>
            <w:noProof/>
            <w:webHidden/>
          </w:rPr>
        </w:r>
        <w:r w:rsidR="00773D96">
          <w:rPr>
            <w:noProof/>
            <w:webHidden/>
          </w:rPr>
          <w:fldChar w:fldCharType="separate"/>
        </w:r>
        <w:r w:rsidR="006C3CC1">
          <w:rPr>
            <w:noProof/>
            <w:webHidden/>
          </w:rPr>
          <w:t>35</w:t>
        </w:r>
        <w:r w:rsidR="00773D96">
          <w:rPr>
            <w:noProof/>
            <w:webHidden/>
          </w:rPr>
          <w:fldChar w:fldCharType="end"/>
        </w:r>
      </w:hyperlink>
    </w:p>
    <w:p w14:paraId="6779D866" w14:textId="05DE8E98" w:rsidR="008E1660" w:rsidRDefault="009569B2" w:rsidP="008E1660">
      <w:pPr>
        <w:pStyle w:val="BodyText"/>
      </w:pPr>
      <w:r>
        <w:fldChar w:fldCharType="end"/>
      </w:r>
    </w:p>
    <w:p w14:paraId="7CB5E86D" w14:textId="359F5314" w:rsidR="00D31BFE" w:rsidRDefault="00D31BFE" w:rsidP="00D31BFE">
      <w:pPr>
        <w:pStyle w:val="Heading2"/>
      </w:pPr>
      <w:bookmarkStart w:id="1" w:name="_Toc85912288"/>
      <w:r>
        <w:lastRenderedPageBreak/>
        <w:t>Letter</w:t>
      </w:r>
      <w:r w:rsidR="00D23ECC">
        <w:t xml:space="preserve"> </w:t>
      </w:r>
      <w:r>
        <w:t>to</w:t>
      </w:r>
      <w:r w:rsidR="00D23ECC">
        <w:t xml:space="preserve"> </w:t>
      </w:r>
      <w:r>
        <w:t>the</w:t>
      </w:r>
      <w:r w:rsidR="00D23ECC">
        <w:t xml:space="preserve"> </w:t>
      </w:r>
      <w:r>
        <w:t>Minister</w:t>
      </w:r>
      <w:bookmarkEnd w:id="1"/>
    </w:p>
    <w:p w14:paraId="69A29F39" w14:textId="6E4DD1C8" w:rsidR="00D31BFE" w:rsidRDefault="00187474" w:rsidP="00D31BFE">
      <w:pPr>
        <w:pStyle w:val="BodyText"/>
      </w:pPr>
      <w:r>
        <w:rPr>
          <w:noProof/>
        </w:rPr>
        <w:drawing>
          <wp:inline distT="0" distB="0" distL="0" distR="0" wp14:anchorId="3A75E183" wp14:editId="742EC352">
            <wp:extent cx="1800000" cy="1804680"/>
            <wp:effectExtent l="0" t="0" r="0" b="5080"/>
            <wp:docPr id="2" name="Picture 2" descr="The Hon. Melissa Horn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Hon. Melissa Horne MP"/>
                    <pic:cNvPicPr/>
                  </pic:nvPicPr>
                  <pic:blipFill>
                    <a:blip r:embed="rId10">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1EC330D7" w14:textId="49E02B71" w:rsidR="00D31BFE" w:rsidRDefault="00D31BFE" w:rsidP="004D56A7">
      <w:pPr>
        <w:pStyle w:val="BodyText"/>
        <w:spacing w:before="40" w:after="40"/>
        <w:rPr>
          <w:rStyle w:val="Strong"/>
        </w:rPr>
      </w:pPr>
      <w:r w:rsidRPr="00347F6C">
        <w:rPr>
          <w:rStyle w:val="Strong"/>
        </w:rPr>
        <w:t>The</w:t>
      </w:r>
      <w:r w:rsidR="00D23ECC">
        <w:rPr>
          <w:rStyle w:val="Strong"/>
        </w:rPr>
        <w:t xml:space="preserve"> </w:t>
      </w:r>
      <w:r w:rsidRPr="00347F6C">
        <w:rPr>
          <w:rStyle w:val="Strong"/>
        </w:rPr>
        <w:t>Hon.</w:t>
      </w:r>
      <w:r w:rsidR="00D23ECC">
        <w:rPr>
          <w:rStyle w:val="Strong"/>
        </w:rPr>
        <w:t xml:space="preserve"> </w:t>
      </w:r>
      <w:r w:rsidRPr="00347F6C">
        <w:rPr>
          <w:rStyle w:val="Strong"/>
        </w:rPr>
        <w:t>Melissa</w:t>
      </w:r>
      <w:r w:rsidR="00D23ECC">
        <w:rPr>
          <w:rStyle w:val="Strong"/>
        </w:rPr>
        <w:t xml:space="preserve"> </w:t>
      </w:r>
      <w:r w:rsidRPr="00347F6C">
        <w:rPr>
          <w:rStyle w:val="Strong"/>
        </w:rPr>
        <w:t>Horne</w:t>
      </w:r>
      <w:r w:rsidR="00D23ECC">
        <w:rPr>
          <w:rStyle w:val="Strong"/>
        </w:rPr>
        <w:t xml:space="preserve"> </w:t>
      </w:r>
      <w:r w:rsidRPr="00347F6C">
        <w:rPr>
          <w:rStyle w:val="Strong"/>
        </w:rPr>
        <w:t>MP</w:t>
      </w:r>
    </w:p>
    <w:p w14:paraId="5B87B559" w14:textId="77777777" w:rsidR="00F22B33" w:rsidRDefault="00F22B33" w:rsidP="00773AA7">
      <w:pPr>
        <w:pStyle w:val="BodyText"/>
        <w:spacing w:before="40" w:after="40"/>
        <w:rPr>
          <w:b/>
          <w:bCs/>
          <w:color w:val="000000"/>
        </w:rPr>
      </w:pPr>
      <w:r>
        <w:rPr>
          <w:color w:val="000000"/>
        </w:rPr>
        <w:t>Minister</w:t>
      </w:r>
      <w:r>
        <w:rPr>
          <w:bCs/>
          <w:color w:val="000000"/>
        </w:rPr>
        <w:t xml:space="preserve"> </w:t>
      </w:r>
      <w:r>
        <w:rPr>
          <w:color w:val="000000"/>
        </w:rPr>
        <w:t>for</w:t>
      </w:r>
      <w:r>
        <w:rPr>
          <w:bCs/>
          <w:color w:val="000000"/>
        </w:rPr>
        <w:t xml:space="preserve"> </w:t>
      </w:r>
      <w:r>
        <w:rPr>
          <w:color w:val="000000"/>
        </w:rPr>
        <w:t>Consumer</w:t>
      </w:r>
      <w:r>
        <w:rPr>
          <w:bCs/>
          <w:color w:val="000000"/>
        </w:rPr>
        <w:t xml:space="preserve"> </w:t>
      </w:r>
      <w:r>
        <w:rPr>
          <w:color w:val="000000"/>
        </w:rPr>
        <w:t>Affairs,</w:t>
      </w:r>
      <w:r>
        <w:rPr>
          <w:bCs/>
          <w:color w:val="000000"/>
        </w:rPr>
        <w:t xml:space="preserve"> </w:t>
      </w:r>
      <w:r>
        <w:rPr>
          <w:color w:val="000000"/>
        </w:rPr>
        <w:br/>
        <w:t>Gaming</w:t>
      </w:r>
      <w:r>
        <w:rPr>
          <w:bCs/>
          <w:color w:val="000000"/>
        </w:rPr>
        <w:t xml:space="preserve"> </w:t>
      </w:r>
      <w:r>
        <w:rPr>
          <w:color w:val="000000"/>
        </w:rPr>
        <w:t>and</w:t>
      </w:r>
      <w:r>
        <w:rPr>
          <w:bCs/>
          <w:color w:val="000000"/>
        </w:rPr>
        <w:t xml:space="preserve"> </w:t>
      </w:r>
      <w:r>
        <w:rPr>
          <w:color w:val="000000"/>
        </w:rPr>
        <w:t>Liquor</w:t>
      </w:r>
      <w:r>
        <w:rPr>
          <w:bCs/>
          <w:color w:val="000000"/>
        </w:rPr>
        <w:t xml:space="preserve"> </w:t>
      </w:r>
      <w:r>
        <w:rPr>
          <w:color w:val="000000"/>
        </w:rPr>
        <w:t>Regulation</w:t>
      </w:r>
    </w:p>
    <w:p w14:paraId="0044EBDB" w14:textId="77777777" w:rsidR="00F22B33" w:rsidRDefault="00F22B33" w:rsidP="00F22B33">
      <w:pPr>
        <w:pStyle w:val="BodyText"/>
        <w:spacing w:before="40" w:after="40"/>
        <w:rPr>
          <w:b/>
          <w:bCs/>
          <w:color w:val="000000"/>
        </w:rPr>
      </w:pPr>
      <w:r>
        <w:rPr>
          <w:color w:val="000000"/>
        </w:rPr>
        <w:t>Minister</w:t>
      </w:r>
      <w:r>
        <w:rPr>
          <w:bCs/>
          <w:color w:val="000000"/>
        </w:rPr>
        <w:t xml:space="preserve"> </w:t>
      </w:r>
      <w:r>
        <w:rPr>
          <w:color w:val="000000"/>
        </w:rPr>
        <w:t>for</w:t>
      </w:r>
      <w:r>
        <w:rPr>
          <w:bCs/>
          <w:color w:val="000000"/>
        </w:rPr>
        <w:t xml:space="preserve"> </w:t>
      </w:r>
      <w:r>
        <w:rPr>
          <w:color w:val="000000"/>
        </w:rPr>
        <w:t>Ports</w:t>
      </w:r>
      <w:r>
        <w:rPr>
          <w:bCs/>
          <w:color w:val="000000"/>
        </w:rPr>
        <w:t xml:space="preserve"> </w:t>
      </w:r>
      <w:r>
        <w:rPr>
          <w:color w:val="000000"/>
        </w:rPr>
        <w:t>and</w:t>
      </w:r>
      <w:r>
        <w:rPr>
          <w:bCs/>
          <w:color w:val="000000"/>
        </w:rPr>
        <w:t xml:space="preserve"> </w:t>
      </w:r>
      <w:r>
        <w:rPr>
          <w:color w:val="000000"/>
        </w:rPr>
        <w:t>Freights</w:t>
      </w:r>
    </w:p>
    <w:p w14:paraId="6F18DFD6" w14:textId="77777777" w:rsidR="00F22B33" w:rsidRDefault="00F22B33" w:rsidP="00F22B33">
      <w:pPr>
        <w:pStyle w:val="BodyText"/>
        <w:spacing w:before="40" w:after="40"/>
      </w:pPr>
      <w:r>
        <w:rPr>
          <w:color w:val="000000"/>
        </w:rPr>
        <w:t>Minister</w:t>
      </w:r>
      <w:r>
        <w:rPr>
          <w:bCs/>
          <w:color w:val="000000"/>
        </w:rPr>
        <w:t xml:space="preserve"> </w:t>
      </w:r>
      <w:r>
        <w:rPr>
          <w:color w:val="000000"/>
        </w:rPr>
        <w:t>for</w:t>
      </w:r>
      <w:r>
        <w:rPr>
          <w:bCs/>
          <w:color w:val="000000"/>
        </w:rPr>
        <w:t xml:space="preserve"> </w:t>
      </w:r>
      <w:r>
        <w:rPr>
          <w:color w:val="000000"/>
        </w:rPr>
        <w:t>Fishing</w:t>
      </w:r>
      <w:r>
        <w:rPr>
          <w:bCs/>
          <w:color w:val="000000"/>
        </w:rPr>
        <w:t xml:space="preserve"> </w:t>
      </w:r>
      <w:r>
        <w:rPr>
          <w:color w:val="000000"/>
        </w:rPr>
        <w:t>and</w:t>
      </w:r>
      <w:r>
        <w:rPr>
          <w:bCs/>
          <w:color w:val="000000"/>
        </w:rPr>
        <w:t xml:space="preserve"> </w:t>
      </w:r>
      <w:r>
        <w:rPr>
          <w:color w:val="000000"/>
        </w:rPr>
        <w:t>Boating</w:t>
      </w:r>
    </w:p>
    <w:p w14:paraId="4FF93DC0" w14:textId="31B1B6AA" w:rsidR="00D31BFE" w:rsidRDefault="00D31BFE" w:rsidP="00187474">
      <w:pPr>
        <w:pStyle w:val="BodyText"/>
        <w:spacing w:before="1000"/>
      </w:pPr>
      <w:r>
        <w:t>Dear</w:t>
      </w:r>
      <w:r w:rsidR="00D23ECC">
        <w:t xml:space="preserve"> </w:t>
      </w:r>
      <w:r>
        <w:t>Minister,</w:t>
      </w:r>
    </w:p>
    <w:p w14:paraId="5920609B" w14:textId="77777777" w:rsidR="00F22B33" w:rsidRDefault="00F22B33" w:rsidP="00F22B33">
      <w:pPr>
        <w:pStyle w:val="BodyText"/>
      </w:pPr>
      <w:r>
        <w:t xml:space="preserve">In accordance with the </w:t>
      </w:r>
      <w:r w:rsidRPr="00ED78BD">
        <w:rPr>
          <w:rStyle w:val="Emphasis"/>
        </w:rPr>
        <w:t>Australian Consumer Law and Fair Trading Act 2012</w:t>
      </w:r>
      <w:r>
        <w:t xml:space="preserve">, the </w:t>
      </w:r>
      <w:r w:rsidRPr="00ED78BD">
        <w:rPr>
          <w:rStyle w:val="Emphasis"/>
        </w:rPr>
        <w:t>Credit (Administration) Act 1984</w:t>
      </w:r>
      <w:r>
        <w:t xml:space="preserve"> and the </w:t>
      </w:r>
      <w:r w:rsidRPr="00ED78BD">
        <w:rPr>
          <w:rStyle w:val="Emphasis"/>
        </w:rPr>
        <w:t>Veterans Act 2005</w:t>
      </w:r>
      <w:r>
        <w:t>, I am pleased to present the Consumer Affairs Victoria Annual Report for the year ending 30 June 2021.</w:t>
      </w:r>
    </w:p>
    <w:p w14:paraId="4A27115F" w14:textId="77777777" w:rsidR="00F22B33" w:rsidRDefault="00F22B33" w:rsidP="00F22B33">
      <w:pPr>
        <w:pStyle w:val="BodyText"/>
      </w:pPr>
      <w:r>
        <w:t>Yours sincerely,</w:t>
      </w:r>
    </w:p>
    <w:p w14:paraId="26BE625B" w14:textId="0BB22065" w:rsidR="00D31BFE" w:rsidRDefault="00F16268" w:rsidP="00F16268">
      <w:pPr>
        <w:pStyle w:val="BodyText"/>
        <w:spacing w:after="80"/>
      </w:pPr>
      <w:r>
        <w:rPr>
          <w:noProof/>
        </w:rPr>
        <w:drawing>
          <wp:inline distT="0" distB="0" distL="0" distR="0" wp14:anchorId="4B91689B" wp14:editId="14693FEB">
            <wp:extent cx="847725" cy="333375"/>
            <wp:effectExtent l="0" t="0" r="9525" b="9525"/>
            <wp:docPr id="8" name="Picture 8"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1">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70D01266" w14:textId="345D060F" w:rsidR="00D31BFE" w:rsidRDefault="00D31BFE" w:rsidP="00880587">
      <w:pPr>
        <w:pStyle w:val="BodyText"/>
        <w:spacing w:before="60"/>
      </w:pPr>
      <w:r w:rsidRPr="00D31BFE">
        <w:rPr>
          <w:rStyle w:val="Strong"/>
        </w:rPr>
        <w:t>Nicole</w:t>
      </w:r>
      <w:r w:rsidR="00D23ECC">
        <w:rPr>
          <w:rStyle w:val="Strong"/>
        </w:rPr>
        <w:t xml:space="preserve"> </w:t>
      </w:r>
      <w:r w:rsidRPr="00D31BFE">
        <w:rPr>
          <w:rStyle w:val="Strong"/>
        </w:rPr>
        <w:t>Rich</w:t>
      </w:r>
      <w:r>
        <w:br/>
        <w:t>Executive</w:t>
      </w:r>
      <w:r w:rsidR="00D23ECC">
        <w:t xml:space="preserve"> </w:t>
      </w:r>
      <w:r>
        <w:t>Director,</w:t>
      </w:r>
      <w:r w:rsidR="00D23ECC">
        <w:t xml:space="preserve"> </w:t>
      </w:r>
      <w:r>
        <w:t>Regulatory</w:t>
      </w:r>
      <w:r w:rsidR="00D23ECC">
        <w:t xml:space="preserve"> </w:t>
      </w:r>
      <w:r>
        <w:t>Services</w:t>
      </w:r>
      <w:r w:rsidR="00D23ECC">
        <w:t xml:space="preserve"> </w:t>
      </w:r>
      <w:r>
        <w:t>&amp;</w:t>
      </w:r>
      <w:r>
        <w:br/>
        <w:t>Director,</w:t>
      </w:r>
      <w:r w:rsidR="00D23ECC">
        <w:t xml:space="preserve"> </w:t>
      </w:r>
      <w:r>
        <w:t>Consumer</w:t>
      </w:r>
      <w:r w:rsidR="00D23ECC">
        <w:t xml:space="preserve"> </w:t>
      </w:r>
      <w:r>
        <w:t>Affairs</w:t>
      </w:r>
      <w:r w:rsidR="00D23ECC">
        <w:t xml:space="preserve"> </w:t>
      </w:r>
      <w:r>
        <w:t>Victoria</w:t>
      </w:r>
    </w:p>
    <w:p w14:paraId="795ECEFC" w14:textId="0E5097DA" w:rsidR="00D31BFE" w:rsidRDefault="00D31BFE" w:rsidP="00D31BFE">
      <w:pPr>
        <w:pStyle w:val="Heading2"/>
      </w:pPr>
      <w:bookmarkStart w:id="2" w:name="_Toc85912289"/>
      <w:r>
        <w:lastRenderedPageBreak/>
        <w:t>Director’s</w:t>
      </w:r>
      <w:r w:rsidR="00D23ECC">
        <w:t xml:space="preserve"> </w:t>
      </w:r>
      <w:r>
        <w:t>foreword</w:t>
      </w:r>
      <w:bookmarkEnd w:id="2"/>
    </w:p>
    <w:p w14:paraId="4537842B" w14:textId="64C3047C" w:rsidR="00D31BFE" w:rsidRDefault="00F16268" w:rsidP="00D31BFE">
      <w:pPr>
        <w:pStyle w:val="BodyText"/>
      </w:pPr>
      <w:r>
        <w:rPr>
          <w:noProof/>
        </w:rPr>
        <w:drawing>
          <wp:inline distT="0" distB="0" distL="0" distR="0" wp14:anchorId="288FF9F7" wp14:editId="735E4873">
            <wp:extent cx="1800000" cy="1804680"/>
            <wp:effectExtent l="0" t="0" r="0" b="5080"/>
            <wp:docPr id="11" name="Picture 11" descr="Nicole 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icole Rich"/>
                    <pic:cNvPicPr/>
                  </pic:nvPicPr>
                  <pic:blipFill>
                    <a:blip r:embed="rId12">
                      <a:extLst>
                        <a:ext uri="{28A0092B-C50C-407E-A947-70E740481C1C}">
                          <a14:useLocalDpi xmlns:a14="http://schemas.microsoft.com/office/drawing/2010/main" val="0"/>
                        </a:ext>
                      </a:extLst>
                    </a:blip>
                    <a:stretch>
                      <a:fillRect/>
                    </a:stretch>
                  </pic:blipFill>
                  <pic:spPr>
                    <a:xfrm>
                      <a:off x="0" y="0"/>
                      <a:ext cx="1800000" cy="1804680"/>
                    </a:xfrm>
                    <a:prstGeom prst="rect">
                      <a:avLst/>
                    </a:prstGeom>
                  </pic:spPr>
                </pic:pic>
              </a:graphicData>
            </a:graphic>
          </wp:inline>
        </w:drawing>
      </w:r>
    </w:p>
    <w:p w14:paraId="309FBBDF" w14:textId="77777777" w:rsidR="00F22B33" w:rsidRDefault="00F22B33" w:rsidP="00F22B33">
      <w:pPr>
        <w:pStyle w:val="BodyText"/>
      </w:pPr>
      <w:r>
        <w:t>Consumer Affairs Victoria’s (CAV) 2020–21 year was focussed on supporting the Victorian community and economy through the impacts of the coronavirus (COVID-19) pandemic and promoting Victoria’s social and economic recovery.</w:t>
      </w:r>
    </w:p>
    <w:p w14:paraId="7AF7375E" w14:textId="77777777" w:rsidR="00F22B33" w:rsidRDefault="00F22B33" w:rsidP="00F22B33">
      <w:pPr>
        <w:pStyle w:val="BodyText"/>
      </w:pPr>
      <w:r>
        <w:t>When the pandemic began in 2020, CAV responded quickly to support the community in a time of uncertainty. Our staff rose to the challenge of implementing COVIDSafe workplaces, and I would like to especially thank our front-line staff who continued to provide services, often during periods of increased demand and pressure. This includes our Information and Dispute Services Centre (IDSC) – the CAV contact centre – which kept our priority phone lines and online services open throughout the year with all remaining lines reopened by mid-December. During periods where our inspectors and investigators were unable to conduct on-site inspections, we turned our focus to desk-based compliance activities. As restrictions eased, we resumed on</w:t>
      </w:r>
      <w:r>
        <w:rPr>
          <w:rFonts w:ascii="Cambria Math" w:hAnsi="Cambria Math" w:cs="Cambria Math"/>
        </w:rPr>
        <w:t>‑</w:t>
      </w:r>
      <w:r>
        <w:t>site inspections, with a focus on high-risk transactions and conduct.</w:t>
      </w:r>
    </w:p>
    <w:p w14:paraId="79141DC9" w14:textId="77777777" w:rsidR="00F22B33" w:rsidRDefault="00F22B33" w:rsidP="00F22B33">
      <w:pPr>
        <w:pStyle w:val="BodyText"/>
      </w:pPr>
      <w:r>
        <w:t xml:space="preserve">This year we continued work to protect renters and rental providers under the </w:t>
      </w:r>
      <w:r w:rsidRPr="00ED78BD">
        <w:rPr>
          <w:rStyle w:val="Emphasis"/>
        </w:rPr>
        <w:t>COVID-19 Omnibus (Emergency Measures) Act 2020</w:t>
      </w:r>
      <w:r>
        <w:t>, particularly by delivering services under the Residential Tenancies Dispute Resolution Scheme (RTDRS). Our work in partnership with the Dispute Settlement Centre of Victoria (DSCV) helped tens of thousands of Victorians reach agreements on reduced rent and access various relief schemes.</w:t>
      </w:r>
    </w:p>
    <w:p w14:paraId="13C7A5FA" w14:textId="77777777" w:rsidR="00F22B33" w:rsidRDefault="00F22B33" w:rsidP="00F22B33">
      <w:pPr>
        <w:pStyle w:val="BodyText"/>
      </w:pPr>
      <w:r>
        <w:t xml:space="preserve">The end of these emergency measures on 28 March 2021 coincided with the introduction of new rental laws, ensuring there was no gap in protection for renters. The </w:t>
      </w:r>
      <w:r w:rsidRPr="00ED78BD">
        <w:rPr>
          <w:rStyle w:val="Emphasis"/>
        </w:rPr>
        <w:t>Residential Tenancies Amendment Act 2018</w:t>
      </w:r>
      <w:r>
        <w:t xml:space="preserve"> introduced more than 130 reforms to Victoria’s rental laws from 29 March 2021, creating a safer and fairer rental market for Victorian renters and rental providers. Our comprehensive communications and education campaign supported renters, rental providers, industry groups, community organisations and government partners to transition to the new laws.</w:t>
      </w:r>
    </w:p>
    <w:p w14:paraId="6D372855" w14:textId="77777777" w:rsidR="00F22B33" w:rsidRDefault="00F22B33" w:rsidP="00F22B33">
      <w:pPr>
        <w:pStyle w:val="BodyText"/>
      </w:pPr>
      <w:r>
        <w:t>Our compliance program supported safe and secure housing for rooming house residents. This included on-site inspections to check compliance with safety standards and to promote COVIDSafe environments in rooming houses. We also responded to Victorian community concerns about underquoting and trust account defalcations by identifying and responding to misconduct by estate agents.</w:t>
      </w:r>
    </w:p>
    <w:p w14:paraId="78132DC7" w14:textId="77777777" w:rsidR="00F22B33" w:rsidRDefault="00F22B33" w:rsidP="00F22B33">
      <w:pPr>
        <w:pStyle w:val="BodyText"/>
      </w:pPr>
      <w:r>
        <w:t xml:space="preserve">In 2020–21, we instigated a range of enforcement actions against businesses for unfair practices across our regulated industries. In addition to responding to conduct identified in our rooming house, underquoting and trust account compliance programs noted above, we finalised a significant court </w:t>
      </w:r>
      <w:r>
        <w:lastRenderedPageBreak/>
        <w:t>action against a solar panel business which was found in breach of the Australian Consumer Law. The company was fined $3 million in the Federal Court, and its director ordered to pay $450,000 and banned from being a company director for five years.</w:t>
      </w:r>
    </w:p>
    <w:p w14:paraId="12D01086" w14:textId="77777777" w:rsidR="00F22B33" w:rsidRDefault="00F22B33" w:rsidP="00F22B33">
      <w:pPr>
        <w:pStyle w:val="BodyText"/>
      </w:pPr>
      <w:r>
        <w:t>We also issued two public warnings, with the first about an unregistered builder who was misleading consumers and providing substandard building works and the second about a furniture removalist for a range of poor practices. Our enforcement work will continue into next year, with nine criminal matters currently before the courts.</w:t>
      </w:r>
    </w:p>
    <w:p w14:paraId="5316A771" w14:textId="77777777" w:rsidR="00F22B33" w:rsidRDefault="00F22B33" w:rsidP="00F22B33">
      <w:pPr>
        <w:pStyle w:val="BodyText"/>
      </w:pPr>
      <w:r>
        <w:t>As the COVID-19 pandemic continued to impact consumers and businesses across the state, we found avenues to make it easier for businesses to comply with their compliance obligations. We supported refunds and extensions of time to meet regulatory obligations and simplified fundraiser obligations.</w:t>
      </w:r>
    </w:p>
    <w:p w14:paraId="27226DD3" w14:textId="77777777" w:rsidR="00F22B33" w:rsidRDefault="00F22B33" w:rsidP="00F22B33">
      <w:pPr>
        <w:pStyle w:val="BodyText"/>
      </w:pPr>
      <w:r>
        <w:t xml:space="preserve">During the year we undertook significant work and consultation to prepare for the introduction of the </w:t>
      </w:r>
      <w:r w:rsidRPr="00ED78BD">
        <w:rPr>
          <w:rStyle w:val="Emphasis"/>
        </w:rPr>
        <w:t>Professional Engineers Registration Act 2019</w:t>
      </w:r>
      <w:r>
        <w:t xml:space="preserve"> on 1 July 2021. This new registration scheme delivers on an important government commitment, supporting infrastructure delivery in Victoria and giving Victorians greater confidence by ensuring only suitably qualified and experienced engineers provide professional engineering services. Under a co-regulatory model, and in a first for Victoria, registration will be jointly administered by the engineering profession and government.</w:t>
      </w:r>
    </w:p>
    <w:p w14:paraId="6EDBEDF9" w14:textId="77777777" w:rsidR="00F22B33" w:rsidRDefault="00F22B33" w:rsidP="00F22B33">
      <w:pPr>
        <w:pStyle w:val="BodyText"/>
      </w:pPr>
      <w:r>
        <w:t>Last year we reported our IDSC would be moving from Melbourne to the GovHub in Ballarat as part of the Victorian Government’s commitment to invest in regional Victoria. I am happy to advise the transition of 105 employees to the GovHub concluded on 28 June 2021, finalising a four-year transition of its operations and workforce to this important regional hub.</w:t>
      </w:r>
    </w:p>
    <w:p w14:paraId="06455DC0" w14:textId="77777777" w:rsidR="00F22B33" w:rsidRDefault="00F22B33" w:rsidP="00F22B33">
      <w:pPr>
        <w:pStyle w:val="BodyText"/>
      </w:pPr>
      <w:r>
        <w:t>Looking ahead to 2021–22, we are committed to focussing on consumer wellbeing, minimising the risk of consumer harm and supporting the confident participation of consumers and businesses in a market still impacted by the pandemic. We will continue to focus on responding to the impacts of COVID-19, providing funding for services to support the most vulnerable in our community and supporting consumers with up-to-date information through a range of communication channels. We will also work with businesses and organisations to ensure regulatory obligations can be clearly understood and that it is easier and faster to interact with us. Risk-based decision making will be central to our compliance program and working closely with partners will be an important element of achieving these aims.</w:t>
      </w:r>
    </w:p>
    <w:p w14:paraId="2E2A3EA1" w14:textId="77777777" w:rsidR="00F22B33" w:rsidRDefault="00F22B33" w:rsidP="00F22B33">
      <w:pPr>
        <w:pStyle w:val="BodyText"/>
      </w:pPr>
      <w:r>
        <w:t>I would like to thank the Minister for Consumer Affairs, the Hon Melissa Horne MP, for her ongoing support this year. I would also like to acknowledge and thank our colleagues in funded agencies delivering critical services to vulnerable Victorians, our partners across the department and other government agencies and regulators for their support, as well as again our staff for their resilience and hard work this year. While the year ahead will present new challenges, I am confident 2020–2021 has shown that as a regulator, Consumer Affairs Victoria has the flexibility, agility and expertise to contribute meaningfully to the government’s efforts to support Victorians through a period of ongoing change and uncertainty.</w:t>
      </w:r>
    </w:p>
    <w:p w14:paraId="2D9131B8" w14:textId="77777777" w:rsidR="00F16268" w:rsidRDefault="00F16268" w:rsidP="00F16268">
      <w:pPr>
        <w:pStyle w:val="BodyText"/>
        <w:spacing w:after="80"/>
      </w:pPr>
      <w:r>
        <w:rPr>
          <w:noProof/>
        </w:rPr>
        <w:drawing>
          <wp:inline distT="0" distB="0" distL="0" distR="0" wp14:anchorId="362D3483" wp14:editId="7F44692A">
            <wp:extent cx="847725" cy="333375"/>
            <wp:effectExtent l="0" t="0" r="9525" b="9525"/>
            <wp:docPr id="9" name="Picture 9" descr="Nicole Ric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cole Rich signature"/>
                    <pic:cNvPicPr/>
                  </pic:nvPicPr>
                  <pic:blipFill>
                    <a:blip r:embed="rId11">
                      <a:extLst>
                        <a:ext uri="{28A0092B-C50C-407E-A947-70E740481C1C}">
                          <a14:useLocalDpi xmlns:a14="http://schemas.microsoft.com/office/drawing/2010/main" val="0"/>
                        </a:ext>
                      </a:extLst>
                    </a:blip>
                    <a:stretch>
                      <a:fillRect/>
                    </a:stretch>
                  </pic:blipFill>
                  <pic:spPr>
                    <a:xfrm>
                      <a:off x="0" y="0"/>
                      <a:ext cx="847725" cy="333375"/>
                    </a:xfrm>
                    <a:prstGeom prst="rect">
                      <a:avLst/>
                    </a:prstGeom>
                  </pic:spPr>
                </pic:pic>
              </a:graphicData>
            </a:graphic>
          </wp:inline>
        </w:drawing>
      </w:r>
    </w:p>
    <w:p w14:paraId="6D7AF554" w14:textId="1DBE7AD1" w:rsidR="00D31BFE" w:rsidRDefault="00D31BFE" w:rsidP="00880587">
      <w:pPr>
        <w:pStyle w:val="BodyText"/>
        <w:spacing w:before="60"/>
      </w:pPr>
      <w:r w:rsidRPr="00347F6C">
        <w:rPr>
          <w:rStyle w:val="Strong"/>
        </w:rPr>
        <w:t>Nicole</w:t>
      </w:r>
      <w:r w:rsidR="00D23ECC">
        <w:rPr>
          <w:rStyle w:val="Strong"/>
        </w:rPr>
        <w:t xml:space="preserve"> </w:t>
      </w:r>
      <w:r w:rsidRPr="00347F6C">
        <w:rPr>
          <w:rStyle w:val="Strong"/>
        </w:rPr>
        <w:t>Rich</w:t>
      </w:r>
      <w:r w:rsidR="00F16268">
        <w:rPr>
          <w:rStyle w:val="Strong"/>
        </w:rPr>
        <w:br/>
      </w:r>
      <w:r>
        <w:t>Executive</w:t>
      </w:r>
      <w:r w:rsidR="00D23ECC">
        <w:t xml:space="preserve"> </w:t>
      </w:r>
      <w:r>
        <w:t>Director,</w:t>
      </w:r>
      <w:r w:rsidR="00D23ECC">
        <w:t xml:space="preserve"> </w:t>
      </w:r>
      <w:r>
        <w:t>Regulatory</w:t>
      </w:r>
      <w:r w:rsidR="00D23ECC">
        <w:t xml:space="preserve"> </w:t>
      </w:r>
      <w:r>
        <w:t>Services</w:t>
      </w:r>
      <w:r w:rsidR="00D23ECC">
        <w:t xml:space="preserve"> </w:t>
      </w:r>
      <w:r>
        <w:t>&amp;</w:t>
      </w:r>
      <w:r>
        <w:br/>
        <w:t>Director,</w:t>
      </w:r>
      <w:r w:rsidR="00D23ECC">
        <w:t xml:space="preserve"> </w:t>
      </w:r>
      <w:r>
        <w:t>Consumer</w:t>
      </w:r>
      <w:r w:rsidR="00D23ECC">
        <w:t xml:space="preserve"> </w:t>
      </w:r>
      <w:r>
        <w:t>Affairs</w:t>
      </w:r>
      <w:r w:rsidR="00D23ECC">
        <w:t xml:space="preserve"> </w:t>
      </w:r>
      <w:r>
        <w:t>Victoria</w:t>
      </w:r>
    </w:p>
    <w:p w14:paraId="02A3625C" w14:textId="00EDA4E7" w:rsidR="00DE3B0D" w:rsidRDefault="00DE3B0D" w:rsidP="00AE374E">
      <w:pPr>
        <w:pStyle w:val="Heading2"/>
      </w:pPr>
      <w:bookmarkStart w:id="3" w:name="_Toc85912290"/>
      <w:r>
        <w:lastRenderedPageBreak/>
        <w:t>About</w:t>
      </w:r>
      <w:r w:rsidR="00D23ECC">
        <w:t xml:space="preserve"> </w:t>
      </w:r>
      <w:r>
        <w:t>us</w:t>
      </w:r>
      <w:bookmarkEnd w:id="3"/>
    </w:p>
    <w:p w14:paraId="510106A3" w14:textId="56B0FBD2" w:rsidR="00DE3B0D" w:rsidRDefault="00DE3B0D" w:rsidP="00D23ECC">
      <w:pPr>
        <w:pStyle w:val="BodyText"/>
      </w:pPr>
      <w:r>
        <w:t>We</w:t>
      </w:r>
      <w:r w:rsidR="00D23ECC">
        <w:t xml:space="preserve"> </w:t>
      </w:r>
      <w:r>
        <w:t>are</w:t>
      </w:r>
      <w:r w:rsidR="00D23ECC">
        <w:t xml:space="preserve"> </w:t>
      </w:r>
      <w:r>
        <w:t>Victoria’s</w:t>
      </w:r>
      <w:r w:rsidR="00D23ECC">
        <w:t xml:space="preserve"> </w:t>
      </w:r>
      <w:r>
        <w:t>consumer</w:t>
      </w:r>
      <w:r w:rsidR="00D23ECC">
        <w:t xml:space="preserve"> </w:t>
      </w:r>
      <w:r>
        <w:t>affairs</w:t>
      </w:r>
      <w:r w:rsidR="00D23ECC">
        <w:t xml:space="preserve"> </w:t>
      </w:r>
      <w:r>
        <w:t>regulator,</w:t>
      </w:r>
      <w:r w:rsidR="00D23ECC">
        <w:t xml:space="preserve"> </w:t>
      </w:r>
      <w:r>
        <w:t>operating</w:t>
      </w:r>
      <w:r w:rsidR="00D23ECC">
        <w:t xml:space="preserve"> </w:t>
      </w:r>
      <w:r>
        <w:t>within</w:t>
      </w:r>
      <w:r w:rsidR="00D23ECC">
        <w:t xml:space="preserve"> </w:t>
      </w:r>
      <w:r>
        <w:t>the</w:t>
      </w:r>
      <w:r w:rsidR="00D23ECC">
        <w:t xml:space="preserve"> </w:t>
      </w:r>
      <w:r>
        <w:t>national</w:t>
      </w:r>
      <w:r w:rsidR="00D23ECC">
        <w:t xml:space="preserve"> </w:t>
      </w:r>
      <w:r>
        <w:t>consumer</w:t>
      </w:r>
      <w:r w:rsidR="00D23ECC">
        <w:t xml:space="preserve"> </w:t>
      </w:r>
      <w:r>
        <w:t>protection</w:t>
      </w:r>
      <w:r w:rsidR="00D23ECC">
        <w:t xml:space="preserve"> </w:t>
      </w:r>
      <w:r>
        <w:t>framework.</w:t>
      </w:r>
      <w:r w:rsidR="00D23ECC">
        <w:t xml:space="preserve"> </w:t>
      </w:r>
      <w:r>
        <w:t>We</w:t>
      </w:r>
      <w:r w:rsidR="00D23ECC">
        <w:t xml:space="preserve"> </w:t>
      </w:r>
      <w:r>
        <w:t>are</w:t>
      </w:r>
      <w:r w:rsidR="00D23ECC">
        <w:t xml:space="preserve"> </w:t>
      </w:r>
      <w:r>
        <w:t>part</w:t>
      </w:r>
      <w:r w:rsidR="00D23ECC">
        <w:t xml:space="preserve"> </w:t>
      </w:r>
      <w:r>
        <w:t>of</w:t>
      </w:r>
      <w:r w:rsidR="00D23ECC">
        <w:t xml:space="preserve"> </w:t>
      </w:r>
      <w:r>
        <w:t>Consumer</w:t>
      </w:r>
      <w:r w:rsidR="00D23ECC">
        <w:t xml:space="preserve"> </w:t>
      </w:r>
      <w:r>
        <w:t>Affairs,</w:t>
      </w:r>
      <w:r w:rsidR="00D23ECC">
        <w:t xml:space="preserve"> </w:t>
      </w:r>
      <w:r>
        <w:t>Liquor,</w:t>
      </w:r>
      <w:r w:rsidR="00D23ECC">
        <w:t xml:space="preserve"> </w:t>
      </w:r>
      <w:r>
        <w:t>Gaming</w:t>
      </w:r>
      <w:r w:rsidR="00D23ECC">
        <w:t xml:space="preserve"> </w:t>
      </w:r>
      <w:r>
        <w:t>and</w:t>
      </w:r>
      <w:r w:rsidR="00D23ECC">
        <w:t xml:space="preserve"> </w:t>
      </w:r>
      <w:r>
        <w:t>Dispute</w:t>
      </w:r>
      <w:r w:rsidR="00D23ECC">
        <w:t xml:space="preserve"> </w:t>
      </w:r>
      <w:r>
        <w:t>Services</w:t>
      </w:r>
      <w:r w:rsidR="00D23ECC">
        <w:t xml:space="preserve"> </w:t>
      </w:r>
      <w:r>
        <w:t>Group</w:t>
      </w:r>
      <w:r w:rsidR="00D23ECC">
        <w:t xml:space="preserve"> </w:t>
      </w:r>
      <w:r>
        <w:t>of</w:t>
      </w:r>
      <w:r w:rsidR="00D23ECC">
        <w:t xml:space="preserve"> </w:t>
      </w:r>
      <w:r>
        <w:t>the</w:t>
      </w:r>
      <w:r w:rsidR="00D23ECC">
        <w:t xml:space="preserve"> </w:t>
      </w:r>
      <w:r>
        <w:t>Department</w:t>
      </w:r>
      <w:r w:rsidR="00D23ECC">
        <w:t xml:space="preserve"> </w:t>
      </w:r>
      <w:r>
        <w:t>of</w:t>
      </w:r>
      <w:r w:rsidR="00D23ECC">
        <w:t xml:space="preserve"> </w:t>
      </w:r>
      <w:r>
        <w:t>Justice</w:t>
      </w:r>
      <w:r w:rsidR="00D23ECC">
        <w:t xml:space="preserve"> </w:t>
      </w:r>
      <w:r>
        <w:t>and</w:t>
      </w:r>
      <w:r w:rsidR="00D23ECC">
        <w:t xml:space="preserve"> </w:t>
      </w:r>
      <w:r>
        <w:t>Community</w:t>
      </w:r>
      <w:r w:rsidR="00D23ECC">
        <w:t xml:space="preserve"> </w:t>
      </w:r>
      <w:r>
        <w:t>Safety</w:t>
      </w:r>
      <w:r w:rsidR="00D23ECC">
        <w:t xml:space="preserve"> </w:t>
      </w:r>
      <w:r>
        <w:t>(DJCS).</w:t>
      </w:r>
    </w:p>
    <w:p w14:paraId="2F68834B" w14:textId="11BA9133" w:rsidR="00DE3B0D" w:rsidRPr="00B04B74" w:rsidRDefault="00DE3B0D" w:rsidP="00B04B74">
      <w:pPr>
        <w:pStyle w:val="Heading3"/>
      </w:pPr>
      <w:bookmarkStart w:id="4" w:name="_Toc85912291"/>
      <w:r w:rsidRPr="00B04B74">
        <w:t>Our</w:t>
      </w:r>
      <w:r w:rsidR="00D23ECC" w:rsidRPr="00B04B74">
        <w:t xml:space="preserve"> </w:t>
      </w:r>
      <w:r w:rsidRPr="00B04B74">
        <w:t>values</w:t>
      </w:r>
      <w:bookmarkEnd w:id="4"/>
    </w:p>
    <w:p w14:paraId="5781AA30" w14:textId="0012E66C" w:rsidR="00DE3B0D" w:rsidRDefault="00DE3B0D" w:rsidP="00D23ECC">
      <w:pPr>
        <w:pStyle w:val="BodyText"/>
      </w:pPr>
      <w:r>
        <w:t>As</w:t>
      </w:r>
      <w:r w:rsidR="00D23ECC">
        <w:t xml:space="preserve"> </w:t>
      </w:r>
      <w:r>
        <w:t>part</w:t>
      </w:r>
      <w:r w:rsidR="00D23ECC">
        <w:t xml:space="preserve"> </w:t>
      </w:r>
      <w:r>
        <w:t>of</w:t>
      </w:r>
      <w:r w:rsidR="00D23ECC">
        <w:t xml:space="preserve"> </w:t>
      </w:r>
      <w:r>
        <w:t>DJCS,</w:t>
      </w:r>
      <w:r w:rsidR="00D23ECC">
        <w:t xml:space="preserve"> </w:t>
      </w:r>
      <w:r>
        <w:t>we</w:t>
      </w:r>
      <w:r w:rsidR="00D23ECC">
        <w:t xml:space="preserve"> </w:t>
      </w:r>
      <w:r>
        <w:t>promote</w:t>
      </w:r>
      <w:r w:rsidR="00D23ECC">
        <w:t xml:space="preserve"> </w:t>
      </w:r>
      <w:r>
        <w:t>and</w:t>
      </w:r>
      <w:r w:rsidR="00D23ECC">
        <w:t xml:space="preserve"> </w:t>
      </w:r>
      <w:r>
        <w:t>embrace</w:t>
      </w:r>
      <w:r w:rsidR="00D23ECC">
        <w:t xml:space="preserve"> </w:t>
      </w:r>
      <w:r>
        <w:t>the</w:t>
      </w:r>
      <w:r w:rsidR="00D23ECC">
        <w:t xml:space="preserve"> </w:t>
      </w:r>
      <w:r>
        <w:t>department’s</w:t>
      </w:r>
      <w:r w:rsidR="00D23ECC">
        <w:t xml:space="preserve"> </w:t>
      </w:r>
      <w:r>
        <w:t>values</w:t>
      </w:r>
      <w:r w:rsidR="00D23ECC">
        <w:t xml:space="preserve"> </w:t>
      </w:r>
      <w:r>
        <w:t>of:</w:t>
      </w:r>
    </w:p>
    <w:p w14:paraId="246ADA64" w14:textId="59C5B413" w:rsidR="00DE3B0D" w:rsidRDefault="00DE3B0D" w:rsidP="00D6001A">
      <w:pPr>
        <w:pStyle w:val="ListBullet"/>
      </w:pPr>
      <w:r>
        <w:t>working</w:t>
      </w:r>
      <w:r w:rsidR="00D23ECC">
        <w:t xml:space="preserve"> </w:t>
      </w:r>
      <w:r>
        <w:t>together</w:t>
      </w:r>
    </w:p>
    <w:p w14:paraId="3248F7D5" w14:textId="539E767E" w:rsidR="00DE3B0D" w:rsidRDefault="00DE3B0D" w:rsidP="00D6001A">
      <w:pPr>
        <w:pStyle w:val="ListBullet"/>
      </w:pPr>
      <w:r>
        <w:t>making</w:t>
      </w:r>
      <w:r w:rsidR="00D23ECC">
        <w:t xml:space="preserve"> </w:t>
      </w:r>
      <w:r>
        <w:t>it</w:t>
      </w:r>
      <w:r w:rsidR="00D23ECC">
        <w:t xml:space="preserve"> </w:t>
      </w:r>
      <w:r>
        <w:t>happen</w:t>
      </w:r>
    </w:p>
    <w:p w14:paraId="3458877D" w14:textId="3FDD34C5" w:rsidR="00DE3B0D" w:rsidRDefault="00DE3B0D" w:rsidP="00D6001A">
      <w:pPr>
        <w:pStyle w:val="ListBullet"/>
      </w:pPr>
      <w:r>
        <w:t>respecting</w:t>
      </w:r>
      <w:r w:rsidR="00D23ECC">
        <w:t xml:space="preserve"> </w:t>
      </w:r>
      <w:r>
        <w:t>other</w:t>
      </w:r>
      <w:r w:rsidR="00D23ECC">
        <w:t xml:space="preserve"> </w:t>
      </w:r>
      <w:r>
        <w:t>people</w:t>
      </w:r>
    </w:p>
    <w:p w14:paraId="43528979" w14:textId="7A5321BC" w:rsidR="00DE3B0D" w:rsidRDefault="00DE3B0D" w:rsidP="00D6001A">
      <w:pPr>
        <w:pStyle w:val="ListBullet"/>
      </w:pPr>
      <w:r>
        <w:t>serving</w:t>
      </w:r>
      <w:r w:rsidR="00D23ECC">
        <w:t xml:space="preserve"> </w:t>
      </w:r>
      <w:r>
        <w:t>the</w:t>
      </w:r>
      <w:r w:rsidR="00D23ECC">
        <w:t xml:space="preserve"> </w:t>
      </w:r>
      <w:r>
        <w:t>community</w:t>
      </w:r>
    </w:p>
    <w:p w14:paraId="5070B03C" w14:textId="6A9A3DA5" w:rsidR="00DE3B0D" w:rsidRDefault="00DE3B0D" w:rsidP="00D6001A">
      <w:pPr>
        <w:pStyle w:val="ListBullet"/>
      </w:pPr>
      <w:r>
        <w:t>acting</w:t>
      </w:r>
      <w:r w:rsidR="00D23ECC">
        <w:t xml:space="preserve"> </w:t>
      </w:r>
      <w:r>
        <w:t>with</w:t>
      </w:r>
      <w:r w:rsidR="00D23ECC">
        <w:t xml:space="preserve"> </w:t>
      </w:r>
      <w:r>
        <w:t>integrity.</w:t>
      </w:r>
    </w:p>
    <w:p w14:paraId="0E25E05E" w14:textId="5E494155" w:rsidR="00DE3B0D" w:rsidRDefault="00DE3B0D" w:rsidP="00D23ECC">
      <w:pPr>
        <w:pStyle w:val="BodyText"/>
      </w:pPr>
      <w:r>
        <w:t>These</w:t>
      </w:r>
      <w:r w:rsidR="00D23ECC">
        <w:t xml:space="preserve"> </w:t>
      </w:r>
      <w:r>
        <w:t>values</w:t>
      </w:r>
      <w:r w:rsidR="00D23ECC">
        <w:t xml:space="preserve"> </w:t>
      </w:r>
      <w:r>
        <w:t>inform</w:t>
      </w:r>
      <w:r w:rsidR="00D23ECC">
        <w:t xml:space="preserve"> </w:t>
      </w:r>
      <w:r>
        <w:t>the</w:t>
      </w:r>
      <w:r w:rsidR="00D23ECC">
        <w:t xml:space="preserve"> </w:t>
      </w:r>
      <w:r>
        <w:t>way</w:t>
      </w:r>
      <w:r w:rsidR="00D23ECC">
        <w:t xml:space="preserve"> </w:t>
      </w:r>
      <w:r>
        <w:t>we</w:t>
      </w:r>
      <w:r w:rsidR="00D23ECC">
        <w:t xml:space="preserve"> </w:t>
      </w:r>
      <w:r>
        <w:t>do</w:t>
      </w:r>
      <w:r w:rsidR="00D23ECC">
        <w:t xml:space="preserve"> </w:t>
      </w:r>
      <w:r>
        <w:t>business</w:t>
      </w:r>
      <w:r w:rsidR="00D23ECC">
        <w:t xml:space="preserve"> </w:t>
      </w:r>
      <w:r>
        <w:t>and</w:t>
      </w:r>
      <w:r w:rsidR="00D23ECC">
        <w:t xml:space="preserve"> </w:t>
      </w:r>
      <w:r>
        <w:t>are</w:t>
      </w:r>
      <w:r w:rsidR="00D23ECC">
        <w:t xml:space="preserve"> </w:t>
      </w:r>
      <w:r>
        <w:t>demonstrated</w:t>
      </w:r>
      <w:r w:rsidR="00D23ECC">
        <w:t xml:space="preserve"> </w:t>
      </w:r>
      <w:r>
        <w:t>every</w:t>
      </w:r>
      <w:r w:rsidR="00D23ECC">
        <w:t xml:space="preserve"> </w:t>
      </w:r>
      <w:r>
        <w:t>day</w:t>
      </w:r>
      <w:r w:rsidR="00D23ECC">
        <w:t xml:space="preserve"> </w:t>
      </w:r>
      <w:r>
        <w:t>through</w:t>
      </w:r>
      <w:r w:rsidR="00D23ECC">
        <w:t xml:space="preserve"> </w:t>
      </w:r>
      <w:r>
        <w:t>the</w:t>
      </w:r>
      <w:r w:rsidR="00D23ECC">
        <w:t xml:space="preserve"> </w:t>
      </w:r>
      <w:r>
        <w:t>actions</w:t>
      </w:r>
      <w:r w:rsidR="00D23ECC">
        <w:t xml:space="preserve"> </w:t>
      </w:r>
      <w:r>
        <w:t>of</w:t>
      </w:r>
      <w:r w:rsidR="00D23ECC">
        <w:t xml:space="preserve"> </w:t>
      </w:r>
      <w:r>
        <w:t>our</w:t>
      </w:r>
      <w:r w:rsidR="00D23ECC">
        <w:t xml:space="preserve"> </w:t>
      </w:r>
      <w:r>
        <w:t>staff.</w:t>
      </w:r>
    </w:p>
    <w:p w14:paraId="5E1D1F35" w14:textId="5FA298B0" w:rsidR="00DE3B0D" w:rsidRPr="00B04B74" w:rsidRDefault="00DE3B0D" w:rsidP="00B04B74">
      <w:pPr>
        <w:pStyle w:val="Heading3"/>
      </w:pPr>
      <w:bookmarkStart w:id="5" w:name="_Toc85912292"/>
      <w:r w:rsidRPr="00B04B74">
        <w:t>Our</w:t>
      </w:r>
      <w:r w:rsidR="00D23ECC" w:rsidRPr="00B04B74">
        <w:t xml:space="preserve"> </w:t>
      </w:r>
      <w:r w:rsidRPr="00B04B74">
        <w:t>vision</w:t>
      </w:r>
      <w:bookmarkEnd w:id="5"/>
    </w:p>
    <w:p w14:paraId="1E4322C7" w14:textId="7C1DCC55" w:rsidR="00DE3B0D" w:rsidRDefault="00DE3B0D" w:rsidP="00D23ECC">
      <w:pPr>
        <w:pStyle w:val="BodyText"/>
      </w:pPr>
      <w:r>
        <w:t>A</w:t>
      </w:r>
      <w:r w:rsidR="00D23ECC">
        <w:t xml:space="preserve"> </w:t>
      </w:r>
      <w:r>
        <w:t>fair</w:t>
      </w:r>
      <w:r w:rsidR="00D23ECC">
        <w:t xml:space="preserve"> </w:t>
      </w:r>
      <w:r>
        <w:t>and</w:t>
      </w:r>
      <w:r w:rsidR="00D23ECC">
        <w:t xml:space="preserve"> </w:t>
      </w:r>
      <w:r>
        <w:t>competitive</w:t>
      </w:r>
      <w:r w:rsidR="00D23ECC">
        <w:t xml:space="preserve"> </w:t>
      </w:r>
      <w:r>
        <w:t>marketplace</w:t>
      </w:r>
      <w:r w:rsidR="00D23ECC">
        <w:t xml:space="preserve"> </w:t>
      </w:r>
      <w:r>
        <w:t>in</w:t>
      </w:r>
      <w:r w:rsidR="00D23ECC">
        <w:t xml:space="preserve"> </w:t>
      </w:r>
      <w:r>
        <w:t>Victoria.</w:t>
      </w:r>
    </w:p>
    <w:p w14:paraId="1099DCB3" w14:textId="6B425A57" w:rsidR="00DE3B0D" w:rsidRPr="00B04B74" w:rsidRDefault="00DE3B0D" w:rsidP="00B04B74">
      <w:pPr>
        <w:pStyle w:val="Heading3"/>
      </w:pPr>
      <w:bookmarkStart w:id="6" w:name="_Toc85912293"/>
      <w:r w:rsidRPr="00B04B74">
        <w:t>Our</w:t>
      </w:r>
      <w:r w:rsidR="00D23ECC" w:rsidRPr="00B04B74">
        <w:t xml:space="preserve"> </w:t>
      </w:r>
      <w:r w:rsidRPr="00B04B74">
        <w:t>outcomes</w:t>
      </w:r>
      <w:bookmarkEnd w:id="6"/>
    </w:p>
    <w:p w14:paraId="79B47F8A" w14:textId="552A30E0" w:rsidR="00DE3B0D" w:rsidRDefault="00DE3B0D" w:rsidP="00D6001A">
      <w:pPr>
        <w:pStyle w:val="ListBullet"/>
      </w:pPr>
      <w:r>
        <w:t>Businesses</w:t>
      </w:r>
      <w:r w:rsidR="00D23ECC">
        <w:t xml:space="preserve"> </w:t>
      </w:r>
      <w:r>
        <w:t>comply</w:t>
      </w:r>
      <w:r w:rsidR="00D23ECC">
        <w:t xml:space="preserve"> </w:t>
      </w:r>
      <w:r>
        <w:t>with</w:t>
      </w:r>
      <w:r w:rsidR="00D23ECC">
        <w:t xml:space="preserve"> </w:t>
      </w:r>
      <w:r>
        <w:t>consumer</w:t>
      </w:r>
      <w:r w:rsidR="00D23ECC">
        <w:t xml:space="preserve"> </w:t>
      </w:r>
      <w:r>
        <w:t>laws.</w:t>
      </w:r>
    </w:p>
    <w:p w14:paraId="1C8DBA09" w14:textId="1F432BC5" w:rsidR="00DE3B0D" w:rsidRDefault="00DE3B0D" w:rsidP="00D6001A">
      <w:pPr>
        <w:pStyle w:val="ListBullet"/>
      </w:pPr>
      <w:r>
        <w:t>Victorians</w:t>
      </w:r>
      <w:r w:rsidR="00D23ECC">
        <w:t xml:space="preserve"> </w:t>
      </w:r>
      <w:r>
        <w:t>exercise</w:t>
      </w:r>
      <w:r w:rsidR="00D23ECC">
        <w:t xml:space="preserve"> </w:t>
      </w:r>
      <w:r>
        <w:t>their</w:t>
      </w:r>
      <w:r w:rsidR="00D23ECC">
        <w:t xml:space="preserve"> </w:t>
      </w:r>
      <w:r>
        <w:t>consumer</w:t>
      </w:r>
      <w:r w:rsidR="00D23ECC">
        <w:t xml:space="preserve"> </w:t>
      </w:r>
      <w:r>
        <w:t>rights.</w:t>
      </w:r>
    </w:p>
    <w:p w14:paraId="0426AA23" w14:textId="29B336A7" w:rsidR="00DE3B0D" w:rsidRDefault="00DE3B0D" w:rsidP="00D6001A">
      <w:pPr>
        <w:pStyle w:val="ListBullet"/>
      </w:pPr>
      <w:r>
        <w:t>A</w:t>
      </w:r>
      <w:r w:rsidR="00D23ECC">
        <w:t xml:space="preserve"> </w:t>
      </w:r>
      <w:r>
        <w:t>fair</w:t>
      </w:r>
      <w:r w:rsidR="00D23ECC">
        <w:t xml:space="preserve"> </w:t>
      </w:r>
      <w:r>
        <w:t>and</w:t>
      </w:r>
      <w:r w:rsidR="00D23ECC">
        <w:t xml:space="preserve"> </w:t>
      </w:r>
      <w:r>
        <w:t>safe</w:t>
      </w:r>
      <w:r w:rsidR="00D23ECC">
        <w:t xml:space="preserve"> </w:t>
      </w:r>
      <w:r>
        <w:t>rental</w:t>
      </w:r>
      <w:r w:rsidR="00D23ECC">
        <w:t xml:space="preserve"> </w:t>
      </w:r>
      <w:r>
        <w:t>market</w:t>
      </w:r>
      <w:r w:rsidR="00D23ECC">
        <w:t xml:space="preserve"> </w:t>
      </w:r>
      <w:r>
        <w:t>for</w:t>
      </w:r>
      <w:r w:rsidR="00D23ECC">
        <w:t xml:space="preserve"> </w:t>
      </w:r>
      <w:r>
        <w:t>Victorians.</w:t>
      </w:r>
    </w:p>
    <w:p w14:paraId="5A59C366" w14:textId="6BB38A0C" w:rsidR="00DE3B0D" w:rsidRPr="00B04B74" w:rsidRDefault="00DE3B0D" w:rsidP="00B04B74">
      <w:pPr>
        <w:pStyle w:val="Heading3"/>
      </w:pPr>
      <w:bookmarkStart w:id="7" w:name="_Toc85912294"/>
      <w:r w:rsidRPr="00B04B74">
        <w:t>Our</w:t>
      </w:r>
      <w:r w:rsidR="00D23ECC" w:rsidRPr="00B04B74">
        <w:t xml:space="preserve"> </w:t>
      </w:r>
      <w:r w:rsidRPr="00B04B74">
        <w:t>functions</w:t>
      </w:r>
      <w:bookmarkEnd w:id="7"/>
    </w:p>
    <w:p w14:paraId="40AA1338" w14:textId="10B8FC1D" w:rsidR="00DE3B0D" w:rsidRDefault="00DE3B0D" w:rsidP="00D23ECC">
      <w:pPr>
        <w:pStyle w:val="BodyText"/>
      </w:pPr>
      <w:r>
        <w:t>We</w:t>
      </w:r>
      <w:r w:rsidR="00D23ECC">
        <w:t xml:space="preserve"> </w:t>
      </w:r>
      <w:r>
        <w:t>help</w:t>
      </w:r>
      <w:r w:rsidR="00D23ECC">
        <w:t xml:space="preserve"> </w:t>
      </w:r>
      <w:r>
        <w:t>Victorians</w:t>
      </w:r>
      <w:r w:rsidR="00D23ECC">
        <w:t xml:space="preserve"> </w:t>
      </w:r>
      <w:r>
        <w:t>to</w:t>
      </w:r>
      <w:r w:rsidR="00D23ECC">
        <w:t xml:space="preserve"> </w:t>
      </w:r>
      <w:r>
        <w:t>be</w:t>
      </w:r>
      <w:r w:rsidR="00D23ECC">
        <w:t xml:space="preserve"> </w:t>
      </w:r>
      <w:r>
        <w:t>responsible</w:t>
      </w:r>
      <w:r w:rsidR="00D23ECC">
        <w:t xml:space="preserve"> </w:t>
      </w:r>
      <w:r>
        <w:t>and</w:t>
      </w:r>
      <w:r w:rsidR="00D23ECC">
        <w:t xml:space="preserve"> </w:t>
      </w:r>
      <w:r>
        <w:t>informed</w:t>
      </w:r>
      <w:r w:rsidR="00D23ECC">
        <w:t xml:space="preserve"> </w:t>
      </w:r>
      <w:r>
        <w:t>businesses</w:t>
      </w:r>
      <w:r w:rsidR="00D23ECC">
        <w:t xml:space="preserve"> </w:t>
      </w:r>
      <w:r>
        <w:t>and</w:t>
      </w:r>
      <w:r w:rsidR="00D23ECC">
        <w:t xml:space="preserve"> </w:t>
      </w:r>
      <w:r>
        <w:t>consumers.</w:t>
      </w:r>
      <w:r w:rsidR="00D23ECC">
        <w:t xml:space="preserve"> </w:t>
      </w:r>
      <w:r>
        <w:t>To</w:t>
      </w:r>
      <w:r w:rsidR="00D23ECC">
        <w:t xml:space="preserve"> </w:t>
      </w:r>
      <w:r>
        <w:t>do</w:t>
      </w:r>
      <w:r w:rsidR="00D23ECC">
        <w:t xml:space="preserve"> </w:t>
      </w:r>
      <w:r>
        <w:t>this</w:t>
      </w:r>
      <w:r w:rsidR="00D23ECC">
        <w:t xml:space="preserve"> </w:t>
      </w:r>
      <w:r>
        <w:t>we:</w:t>
      </w:r>
    </w:p>
    <w:p w14:paraId="57B02C26" w14:textId="38E6F967" w:rsidR="00DE3B0D" w:rsidRDefault="00DE3B0D" w:rsidP="00D6001A">
      <w:pPr>
        <w:pStyle w:val="ListBullet"/>
      </w:pPr>
      <w:r>
        <w:t>provide</w:t>
      </w:r>
      <w:r w:rsidR="00D23ECC">
        <w:t xml:space="preserve"> </w:t>
      </w:r>
      <w:r>
        <w:t>information</w:t>
      </w:r>
      <w:r w:rsidR="00D23ECC">
        <w:t xml:space="preserve"> </w:t>
      </w:r>
      <w:r>
        <w:t>and</w:t>
      </w:r>
      <w:r w:rsidR="00D23ECC">
        <w:t xml:space="preserve"> </w:t>
      </w:r>
      <w:r>
        <w:t>advice</w:t>
      </w:r>
      <w:r w:rsidR="00D23ECC">
        <w:t xml:space="preserve"> </w:t>
      </w:r>
      <w:r>
        <w:t>to</w:t>
      </w:r>
      <w:r w:rsidR="00D23ECC">
        <w:t xml:space="preserve"> </w:t>
      </w:r>
      <w:r>
        <w:t>consumers,</w:t>
      </w:r>
      <w:r w:rsidR="00D23ECC">
        <w:t xml:space="preserve"> </w:t>
      </w:r>
      <w:r>
        <w:t>renters,</w:t>
      </w:r>
      <w:r w:rsidR="00D23ECC">
        <w:t xml:space="preserve"> </w:t>
      </w:r>
      <w:r>
        <w:t>businesses</w:t>
      </w:r>
      <w:r w:rsidR="00D23ECC">
        <w:t xml:space="preserve"> </w:t>
      </w:r>
      <w:r>
        <w:t>and</w:t>
      </w:r>
      <w:r w:rsidR="00D23ECC">
        <w:t xml:space="preserve"> </w:t>
      </w:r>
      <w:r>
        <w:t>rental</w:t>
      </w:r>
      <w:r w:rsidR="00D23ECC">
        <w:t xml:space="preserve"> </w:t>
      </w:r>
      <w:r>
        <w:t>providers</w:t>
      </w:r>
      <w:r w:rsidR="00D23ECC">
        <w:t xml:space="preserve"> </w:t>
      </w:r>
      <w:r>
        <w:t>about</w:t>
      </w:r>
      <w:r w:rsidR="00D23ECC">
        <w:t xml:space="preserve"> </w:t>
      </w:r>
      <w:r>
        <w:t>their</w:t>
      </w:r>
      <w:r w:rsidR="00D23ECC">
        <w:t xml:space="preserve"> </w:t>
      </w:r>
      <w:r>
        <w:t>rights,</w:t>
      </w:r>
      <w:r w:rsidR="00D23ECC">
        <w:t xml:space="preserve"> </w:t>
      </w:r>
      <w:r>
        <w:t>responsibilities</w:t>
      </w:r>
      <w:r w:rsidR="00D23ECC">
        <w:t xml:space="preserve"> </w:t>
      </w:r>
      <w:r>
        <w:t>and</w:t>
      </w:r>
      <w:r w:rsidR="00D23ECC">
        <w:t xml:space="preserve"> </w:t>
      </w:r>
      <w:r>
        <w:t>changes</w:t>
      </w:r>
      <w:r w:rsidR="00D23ECC">
        <w:t xml:space="preserve"> </w:t>
      </w:r>
      <w:r>
        <w:t>to</w:t>
      </w:r>
      <w:r w:rsidR="00D23ECC">
        <w:t xml:space="preserve"> </w:t>
      </w:r>
      <w:r>
        <w:t>relevant</w:t>
      </w:r>
      <w:r w:rsidR="00D23ECC">
        <w:t xml:space="preserve"> </w:t>
      </w:r>
      <w:r>
        <w:t>laws</w:t>
      </w:r>
    </w:p>
    <w:p w14:paraId="1C9AA1B9" w14:textId="528A9B64" w:rsidR="00DE3B0D" w:rsidRDefault="00DE3B0D" w:rsidP="00D6001A">
      <w:pPr>
        <w:pStyle w:val="ListBullet"/>
      </w:pPr>
      <w:r>
        <w:t>register</w:t>
      </w:r>
      <w:r w:rsidR="00D23ECC">
        <w:t xml:space="preserve"> </w:t>
      </w:r>
      <w:r>
        <w:t>and</w:t>
      </w:r>
      <w:r w:rsidR="00D23ECC">
        <w:t xml:space="preserve"> </w:t>
      </w:r>
      <w:r>
        <w:t>license</w:t>
      </w:r>
      <w:r w:rsidR="00D23ECC">
        <w:t xml:space="preserve"> </w:t>
      </w:r>
      <w:r>
        <w:t>certain</w:t>
      </w:r>
      <w:r w:rsidR="00D23ECC">
        <w:t xml:space="preserve"> </w:t>
      </w:r>
      <w:r>
        <w:t>businesses</w:t>
      </w:r>
      <w:r w:rsidR="00D23ECC">
        <w:t xml:space="preserve"> </w:t>
      </w:r>
      <w:r>
        <w:t>and</w:t>
      </w:r>
      <w:r w:rsidR="00D23ECC">
        <w:t xml:space="preserve"> </w:t>
      </w:r>
      <w:r>
        <w:t>occupations</w:t>
      </w:r>
    </w:p>
    <w:p w14:paraId="733AE99B" w14:textId="61C37EEE" w:rsidR="00DE3B0D" w:rsidRDefault="00DE3B0D" w:rsidP="00D6001A">
      <w:pPr>
        <w:pStyle w:val="ListBullet"/>
      </w:pPr>
      <w:r>
        <w:t>enforce</w:t>
      </w:r>
      <w:r w:rsidR="00D23ECC">
        <w:t xml:space="preserve"> </w:t>
      </w:r>
      <w:r>
        <w:t>compliance</w:t>
      </w:r>
      <w:r w:rsidR="00D23ECC">
        <w:t xml:space="preserve"> </w:t>
      </w:r>
      <w:r>
        <w:t>with</w:t>
      </w:r>
      <w:r w:rsidR="00D23ECC">
        <w:t xml:space="preserve"> </w:t>
      </w:r>
      <w:r>
        <w:t>consumer</w:t>
      </w:r>
      <w:r w:rsidR="00D23ECC">
        <w:t xml:space="preserve"> </w:t>
      </w:r>
      <w:r>
        <w:t>laws</w:t>
      </w:r>
    </w:p>
    <w:p w14:paraId="3620D060" w14:textId="6E4F47E2" w:rsidR="00DE3B0D" w:rsidRDefault="00DE3B0D" w:rsidP="00D6001A">
      <w:pPr>
        <w:pStyle w:val="ListBullet"/>
      </w:pPr>
      <w:r>
        <w:t>review</w:t>
      </w:r>
      <w:r w:rsidR="00D23ECC">
        <w:t xml:space="preserve"> </w:t>
      </w:r>
      <w:r>
        <w:t>and</w:t>
      </w:r>
      <w:r w:rsidR="00D23ECC">
        <w:t xml:space="preserve"> </w:t>
      </w:r>
      <w:r>
        <w:t>advise</w:t>
      </w:r>
      <w:r w:rsidR="00D23ECC">
        <w:t xml:space="preserve"> </w:t>
      </w:r>
      <w:r>
        <w:t>the</w:t>
      </w:r>
      <w:r w:rsidR="00D23ECC">
        <w:t xml:space="preserve"> </w:t>
      </w:r>
      <w:r>
        <w:t>Victorian</w:t>
      </w:r>
      <w:r w:rsidR="00D23ECC">
        <w:t xml:space="preserve"> </w:t>
      </w:r>
      <w:r>
        <w:t>Government</w:t>
      </w:r>
      <w:r w:rsidR="00D23ECC">
        <w:t xml:space="preserve"> </w:t>
      </w:r>
      <w:r>
        <w:t>on</w:t>
      </w:r>
      <w:r w:rsidR="00D23ECC">
        <w:t xml:space="preserve"> </w:t>
      </w:r>
      <w:r>
        <w:t>the</w:t>
      </w:r>
      <w:r w:rsidR="00D23ECC">
        <w:t xml:space="preserve"> </w:t>
      </w:r>
      <w:r>
        <w:t>consumer</w:t>
      </w:r>
      <w:r w:rsidR="00D23ECC">
        <w:t xml:space="preserve"> </w:t>
      </w:r>
      <w:r>
        <w:t>protection</w:t>
      </w:r>
      <w:r w:rsidR="00D23ECC">
        <w:t xml:space="preserve"> </w:t>
      </w:r>
      <w:r>
        <w:t>framework.</w:t>
      </w:r>
    </w:p>
    <w:p w14:paraId="23E6D076" w14:textId="60AF36E2" w:rsidR="00DE3B0D" w:rsidRDefault="00DE3B0D" w:rsidP="00D23ECC">
      <w:pPr>
        <w:pStyle w:val="BodyText"/>
      </w:pPr>
      <w:r>
        <w:t>We</w:t>
      </w:r>
      <w:r w:rsidR="00D23ECC">
        <w:t xml:space="preserve"> </w:t>
      </w:r>
      <w:r>
        <w:t>also</w:t>
      </w:r>
      <w:r w:rsidR="00D23ECC">
        <w:t xml:space="preserve"> </w:t>
      </w:r>
      <w:r>
        <w:t>provide</w:t>
      </w:r>
      <w:r w:rsidR="00D23ECC">
        <w:t xml:space="preserve"> </w:t>
      </w:r>
      <w:r>
        <w:t>administrative</w:t>
      </w:r>
      <w:r w:rsidR="00D23ECC">
        <w:t xml:space="preserve"> </w:t>
      </w:r>
      <w:r>
        <w:t>support</w:t>
      </w:r>
      <w:r w:rsidR="00D23ECC">
        <w:t xml:space="preserve"> </w:t>
      </w:r>
      <w:r>
        <w:t>to</w:t>
      </w:r>
      <w:r w:rsidR="00D23ECC">
        <w:t xml:space="preserve"> </w:t>
      </w:r>
      <w:r>
        <w:t>several</w:t>
      </w:r>
      <w:r w:rsidR="00D23ECC">
        <w:t xml:space="preserve"> </w:t>
      </w:r>
      <w:r>
        <w:t>statutory</w:t>
      </w:r>
      <w:r w:rsidR="00D23ECC">
        <w:t xml:space="preserve"> </w:t>
      </w:r>
      <w:r>
        <w:t>offices</w:t>
      </w:r>
      <w:r w:rsidR="00D23ECC">
        <w:t xml:space="preserve"> </w:t>
      </w:r>
      <w:r>
        <w:t>and</w:t>
      </w:r>
      <w:r w:rsidR="00D23ECC">
        <w:t xml:space="preserve"> </w:t>
      </w:r>
      <w:r>
        <w:t>bodies.</w:t>
      </w:r>
      <w:r w:rsidR="00D23ECC">
        <w:t xml:space="preserve"> </w:t>
      </w:r>
      <w:r>
        <w:t>These</w:t>
      </w:r>
      <w:r w:rsidR="00D23ECC">
        <w:t xml:space="preserve"> </w:t>
      </w:r>
      <w:r>
        <w:t>include</w:t>
      </w:r>
      <w:r w:rsidR="00D23ECC">
        <w:t xml:space="preserve"> </w:t>
      </w:r>
      <w:r>
        <w:t>the:</w:t>
      </w:r>
    </w:p>
    <w:p w14:paraId="68D813AF" w14:textId="359E74C2" w:rsidR="00DE3B0D" w:rsidRDefault="00DE3B0D" w:rsidP="00D6001A">
      <w:pPr>
        <w:pStyle w:val="ListBullet"/>
      </w:pPr>
      <w:r>
        <w:t>Business</w:t>
      </w:r>
      <w:r w:rsidR="00D23ECC">
        <w:t xml:space="preserve"> </w:t>
      </w:r>
      <w:r>
        <w:t>Licensing</w:t>
      </w:r>
      <w:r w:rsidR="00D23ECC">
        <w:t xml:space="preserve"> </w:t>
      </w:r>
      <w:r>
        <w:t>Authority</w:t>
      </w:r>
    </w:p>
    <w:p w14:paraId="44781217" w14:textId="36892D76" w:rsidR="00DE3B0D" w:rsidRDefault="00DE3B0D" w:rsidP="00D6001A">
      <w:pPr>
        <w:pStyle w:val="ListBullet"/>
      </w:pPr>
      <w:r>
        <w:t>Estate</w:t>
      </w:r>
      <w:r w:rsidR="00D23ECC">
        <w:t xml:space="preserve"> </w:t>
      </w:r>
      <w:r>
        <w:t>Agents</w:t>
      </w:r>
      <w:r w:rsidR="00D23ECC">
        <w:t xml:space="preserve"> </w:t>
      </w:r>
      <w:r>
        <w:t>Council</w:t>
      </w:r>
    </w:p>
    <w:p w14:paraId="4D5ADD50" w14:textId="67B997CE" w:rsidR="00DE3B0D" w:rsidRDefault="00DE3B0D" w:rsidP="00D6001A">
      <w:pPr>
        <w:pStyle w:val="ListBullet"/>
      </w:pPr>
      <w:r>
        <w:t>Motor</w:t>
      </w:r>
      <w:r w:rsidR="00D23ECC">
        <w:t xml:space="preserve"> </w:t>
      </w:r>
      <w:r>
        <w:t>Car</w:t>
      </w:r>
      <w:r w:rsidR="00D23ECC">
        <w:t xml:space="preserve"> </w:t>
      </w:r>
      <w:r>
        <w:t>Traders</w:t>
      </w:r>
      <w:r w:rsidR="00D23ECC">
        <w:t xml:space="preserve"> </w:t>
      </w:r>
      <w:r>
        <w:t>Claims</w:t>
      </w:r>
      <w:r w:rsidR="00D23ECC">
        <w:t xml:space="preserve"> </w:t>
      </w:r>
      <w:r>
        <w:t>Committee</w:t>
      </w:r>
    </w:p>
    <w:p w14:paraId="31E9218D" w14:textId="1E6B9FC0" w:rsidR="00DE3B0D" w:rsidRDefault="00DE3B0D" w:rsidP="00D6001A">
      <w:pPr>
        <w:pStyle w:val="ListBullet"/>
      </w:pPr>
      <w:r>
        <w:t>Residential</w:t>
      </w:r>
      <w:r w:rsidR="00D23ECC">
        <w:t xml:space="preserve"> </w:t>
      </w:r>
      <w:r>
        <w:t>Tenancies</w:t>
      </w:r>
      <w:r w:rsidR="00D23ECC">
        <w:t xml:space="preserve"> </w:t>
      </w:r>
      <w:r>
        <w:t>Bond</w:t>
      </w:r>
      <w:r w:rsidR="00D23ECC">
        <w:t xml:space="preserve"> </w:t>
      </w:r>
      <w:r>
        <w:t>Authority.</w:t>
      </w:r>
    </w:p>
    <w:p w14:paraId="57B8EFBE" w14:textId="3EAA3587" w:rsidR="00DE3B0D" w:rsidRPr="00B04B74" w:rsidRDefault="00DE3B0D" w:rsidP="00B04B74">
      <w:pPr>
        <w:pStyle w:val="Heading3"/>
      </w:pPr>
      <w:bookmarkStart w:id="8" w:name="_Toc85912295"/>
      <w:r w:rsidRPr="00B04B74">
        <w:lastRenderedPageBreak/>
        <w:t>Our</w:t>
      </w:r>
      <w:r w:rsidR="00D23ECC" w:rsidRPr="00B04B74">
        <w:t xml:space="preserve"> </w:t>
      </w:r>
      <w:r w:rsidRPr="00B04B74">
        <w:t>regulatory</w:t>
      </w:r>
      <w:r w:rsidR="00D23ECC" w:rsidRPr="00B04B74">
        <w:t xml:space="preserve"> </w:t>
      </w:r>
      <w:r w:rsidRPr="00B04B74">
        <w:t>approach</w:t>
      </w:r>
      <w:bookmarkEnd w:id="8"/>
    </w:p>
    <w:p w14:paraId="6CD23DD6" w14:textId="09C50F35" w:rsidR="00DE3B0D" w:rsidRDefault="00DE3B0D" w:rsidP="00D23ECC">
      <w:pPr>
        <w:pStyle w:val="BodyText"/>
      </w:pPr>
      <w:r>
        <w:t>Our</w:t>
      </w:r>
      <w:r w:rsidR="00D23ECC">
        <w:t xml:space="preserve"> </w:t>
      </w:r>
      <w:r>
        <w:t>regulatory</w:t>
      </w:r>
      <w:r w:rsidR="00D23ECC">
        <w:t xml:space="preserve"> </w:t>
      </w:r>
      <w:r>
        <w:t>approach</w:t>
      </w:r>
      <w:r w:rsidR="00D23ECC">
        <w:t xml:space="preserve"> </w:t>
      </w:r>
      <w:r>
        <w:t>is</w:t>
      </w:r>
      <w:r w:rsidR="00D23ECC">
        <w:t xml:space="preserve"> </w:t>
      </w:r>
      <w:r>
        <w:t>intelligence-led,</w:t>
      </w:r>
      <w:r w:rsidR="00D23ECC">
        <w:t xml:space="preserve"> </w:t>
      </w:r>
      <w:r>
        <w:t>risk-based</w:t>
      </w:r>
      <w:r w:rsidR="00D23ECC">
        <w:t xml:space="preserve"> </w:t>
      </w:r>
      <w:r>
        <w:t>and</w:t>
      </w:r>
      <w:r w:rsidR="00D23ECC">
        <w:t xml:space="preserve"> </w:t>
      </w:r>
      <w:r>
        <w:t>outcome-focused.</w:t>
      </w:r>
      <w:r w:rsidR="00D23ECC">
        <w:t xml:space="preserve"> </w:t>
      </w:r>
      <w:r>
        <w:t>This</w:t>
      </w:r>
      <w:r w:rsidR="00D23ECC">
        <w:t xml:space="preserve"> </w:t>
      </w:r>
      <w:r>
        <w:t>enables</w:t>
      </w:r>
      <w:r w:rsidR="00D23ECC">
        <w:t xml:space="preserve"> </w:t>
      </w:r>
      <w:r>
        <w:t>us</w:t>
      </w:r>
      <w:r w:rsidR="00D23ECC">
        <w:t xml:space="preserve"> </w:t>
      </w:r>
      <w:r>
        <w:t>to</w:t>
      </w:r>
      <w:r w:rsidR="00FB4DDA">
        <w:t> </w:t>
      </w:r>
      <w:r>
        <w:t>target</w:t>
      </w:r>
      <w:r w:rsidR="00D23ECC">
        <w:t xml:space="preserve"> </w:t>
      </w:r>
      <w:r>
        <w:t>the</w:t>
      </w:r>
      <w:r w:rsidR="00D23ECC">
        <w:t xml:space="preserve"> </w:t>
      </w:r>
      <w:r>
        <w:t>conduct</w:t>
      </w:r>
      <w:r w:rsidR="00D23ECC">
        <w:t xml:space="preserve"> </w:t>
      </w:r>
      <w:r>
        <w:t>posing</w:t>
      </w:r>
      <w:r w:rsidR="00D23ECC">
        <w:t xml:space="preserve"> </w:t>
      </w:r>
      <w:r>
        <w:t>the</w:t>
      </w:r>
      <w:r w:rsidR="00D23ECC">
        <w:t xml:space="preserve"> </w:t>
      </w:r>
      <w:r>
        <w:t>highest</w:t>
      </w:r>
      <w:r w:rsidR="00D23ECC">
        <w:t xml:space="preserve"> </w:t>
      </w:r>
      <w:r>
        <w:t>risk</w:t>
      </w:r>
      <w:r w:rsidR="00D23ECC">
        <w:t xml:space="preserve"> </w:t>
      </w:r>
      <w:r>
        <w:t>to</w:t>
      </w:r>
      <w:r w:rsidR="00D23ECC">
        <w:t xml:space="preserve"> </w:t>
      </w:r>
      <w:r>
        <w:t>Victorians,</w:t>
      </w:r>
      <w:r w:rsidR="00D23ECC">
        <w:t xml:space="preserve"> </w:t>
      </w:r>
      <w:r>
        <w:t>making</w:t>
      </w:r>
      <w:r w:rsidR="00D23ECC">
        <w:t xml:space="preserve"> </w:t>
      </w:r>
      <w:r>
        <w:t>the</w:t>
      </w:r>
      <w:r w:rsidR="00D23ECC">
        <w:t xml:space="preserve"> </w:t>
      </w:r>
      <w:r>
        <w:t>best</w:t>
      </w:r>
      <w:r w:rsidR="00D23ECC">
        <w:t xml:space="preserve"> </w:t>
      </w:r>
      <w:r>
        <w:t>use</w:t>
      </w:r>
      <w:r w:rsidR="00D23ECC">
        <w:t xml:space="preserve"> </w:t>
      </w:r>
      <w:r>
        <w:t>of</w:t>
      </w:r>
      <w:r w:rsidR="00D23ECC">
        <w:t xml:space="preserve"> </w:t>
      </w:r>
      <w:r>
        <w:t>our</w:t>
      </w:r>
      <w:r w:rsidR="00D23ECC">
        <w:t xml:space="preserve"> </w:t>
      </w:r>
      <w:r>
        <w:t>available</w:t>
      </w:r>
      <w:r w:rsidR="00D23ECC">
        <w:t xml:space="preserve"> </w:t>
      </w:r>
      <w:r>
        <w:t>resources.</w:t>
      </w:r>
      <w:r w:rsidR="00D23ECC">
        <w:t xml:space="preserve"> </w:t>
      </w:r>
      <w:r>
        <w:t>Our</w:t>
      </w:r>
      <w:r w:rsidR="00D23ECC">
        <w:t xml:space="preserve"> </w:t>
      </w:r>
      <w:r>
        <w:t>compliance</w:t>
      </w:r>
      <w:r w:rsidR="00D23ECC">
        <w:t xml:space="preserve"> </w:t>
      </w:r>
      <w:r>
        <w:t>operating</w:t>
      </w:r>
      <w:r w:rsidR="00D23ECC">
        <w:t xml:space="preserve"> </w:t>
      </w:r>
      <w:r>
        <w:t>model</w:t>
      </w:r>
      <w:r w:rsidR="00D23ECC">
        <w:t xml:space="preserve"> </w:t>
      </w:r>
      <w:r>
        <w:t>ensures</w:t>
      </w:r>
      <w:r w:rsidR="00D23ECC">
        <w:t xml:space="preserve"> </w:t>
      </w:r>
      <w:r>
        <w:t>the</w:t>
      </w:r>
      <w:r w:rsidR="00D23ECC">
        <w:t xml:space="preserve"> </w:t>
      </w:r>
      <w:r>
        <w:t>approach</w:t>
      </w:r>
      <w:r w:rsidR="00D23ECC">
        <w:t xml:space="preserve"> </w:t>
      </w:r>
      <w:r>
        <w:t>is</w:t>
      </w:r>
      <w:r w:rsidR="00D23ECC">
        <w:t xml:space="preserve"> </w:t>
      </w:r>
      <w:r>
        <w:t>embedded</w:t>
      </w:r>
      <w:r w:rsidR="00D23ECC">
        <w:t xml:space="preserve"> </w:t>
      </w:r>
      <w:r>
        <w:t>in</w:t>
      </w:r>
      <w:r w:rsidR="00D23ECC">
        <w:t xml:space="preserve"> </w:t>
      </w:r>
      <w:r>
        <w:t>our</w:t>
      </w:r>
      <w:r w:rsidR="00D23ECC">
        <w:t xml:space="preserve"> </w:t>
      </w:r>
      <w:r>
        <w:t>day-to-day</w:t>
      </w:r>
      <w:r w:rsidR="00D23ECC">
        <w:t xml:space="preserve"> </w:t>
      </w:r>
      <w:r>
        <w:t>work.</w:t>
      </w:r>
    </w:p>
    <w:p w14:paraId="589B3792" w14:textId="77777777" w:rsidR="00DE3B0D" w:rsidRDefault="00DE3B0D" w:rsidP="00AE374E">
      <w:pPr>
        <w:pStyle w:val="Heading4"/>
      </w:pPr>
      <w:r>
        <w:rPr>
          <w:color w:val="000000"/>
        </w:rPr>
        <w:t>Intelligence-led</w:t>
      </w:r>
    </w:p>
    <w:p w14:paraId="55AFCD8E" w14:textId="15990F6F" w:rsidR="00DE3B0D" w:rsidRDefault="00DE3B0D" w:rsidP="00D23ECC">
      <w:pPr>
        <w:pStyle w:val="BodyText"/>
      </w:pPr>
      <w:r>
        <w:t>A</w:t>
      </w:r>
      <w:r w:rsidR="00D23ECC">
        <w:t xml:space="preserve"> </w:t>
      </w:r>
      <w:r>
        <w:t>core</w:t>
      </w:r>
      <w:r w:rsidR="00D23ECC">
        <w:t xml:space="preserve"> </w:t>
      </w:r>
      <w:r>
        <w:t>element</w:t>
      </w:r>
      <w:r w:rsidR="00D23ECC">
        <w:t xml:space="preserve"> </w:t>
      </w:r>
      <w:r>
        <w:t>of</w:t>
      </w:r>
      <w:r w:rsidR="00D23ECC">
        <w:t xml:space="preserve"> </w:t>
      </w:r>
      <w:r>
        <w:t>our</w:t>
      </w:r>
      <w:r w:rsidR="00D23ECC">
        <w:t xml:space="preserve"> </w:t>
      </w:r>
      <w:r>
        <w:t>regulatory</w:t>
      </w:r>
      <w:r w:rsidR="00D23ECC">
        <w:t xml:space="preserve"> </w:t>
      </w:r>
      <w:r>
        <w:t>approach</w:t>
      </w:r>
      <w:r w:rsidR="00D23ECC">
        <w:t xml:space="preserve"> </w:t>
      </w:r>
      <w:r>
        <w:t>is</w:t>
      </w:r>
      <w:r w:rsidR="00D23ECC">
        <w:t xml:space="preserve"> </w:t>
      </w:r>
      <w:r>
        <w:t>the</w:t>
      </w:r>
      <w:r w:rsidR="00D23ECC">
        <w:t xml:space="preserve"> </w:t>
      </w:r>
      <w:r>
        <w:t>effective</w:t>
      </w:r>
      <w:r w:rsidR="00D23ECC">
        <w:t xml:space="preserve"> </w:t>
      </w:r>
      <w:r>
        <w:t>use</w:t>
      </w:r>
      <w:r w:rsidR="00D23ECC">
        <w:t xml:space="preserve"> </w:t>
      </w:r>
      <w:r>
        <w:t>of</w:t>
      </w:r>
      <w:r w:rsidR="00D23ECC">
        <w:t xml:space="preserve"> </w:t>
      </w:r>
      <w:r>
        <w:t>intelligence</w:t>
      </w:r>
      <w:r w:rsidR="00D23ECC">
        <w:t xml:space="preserve"> </w:t>
      </w:r>
      <w:r>
        <w:t>to</w:t>
      </w:r>
      <w:r w:rsidR="00D23ECC">
        <w:t xml:space="preserve"> </w:t>
      </w:r>
      <w:r>
        <w:t>inform</w:t>
      </w:r>
      <w:r w:rsidR="00D23ECC">
        <w:t xml:space="preserve"> </w:t>
      </w:r>
      <w:r>
        <w:br/>
        <w:t>decision-making.</w:t>
      </w:r>
    </w:p>
    <w:p w14:paraId="546DA18B" w14:textId="0A898B36" w:rsidR="00DE3B0D" w:rsidRDefault="00DE3B0D" w:rsidP="00D23ECC">
      <w:pPr>
        <w:pStyle w:val="BodyText"/>
      </w:pPr>
      <w:r>
        <w:t>Intelligence</w:t>
      </w:r>
      <w:r w:rsidR="00D23ECC">
        <w:t xml:space="preserve"> </w:t>
      </w:r>
      <w:r>
        <w:t>gathered</w:t>
      </w:r>
      <w:r w:rsidR="00D23ECC">
        <w:t xml:space="preserve"> </w:t>
      </w:r>
      <w:r>
        <w:t>in</w:t>
      </w:r>
      <w:r w:rsidR="00D23ECC">
        <w:t xml:space="preserve"> </w:t>
      </w:r>
      <w:r>
        <w:t>the</w:t>
      </w:r>
      <w:r w:rsidR="00D23ECC">
        <w:t xml:space="preserve"> </w:t>
      </w:r>
      <w:r>
        <w:t>course</w:t>
      </w:r>
      <w:r w:rsidR="00D23ECC">
        <w:t xml:space="preserve"> </w:t>
      </w:r>
      <w:r>
        <w:t>of</w:t>
      </w:r>
      <w:r w:rsidR="00D23ECC">
        <w:t xml:space="preserve"> </w:t>
      </w:r>
      <w:r>
        <w:t>our</w:t>
      </w:r>
      <w:r w:rsidR="00D23ECC">
        <w:t xml:space="preserve"> </w:t>
      </w:r>
      <w:r>
        <w:t>regulatory</w:t>
      </w:r>
      <w:r w:rsidR="00D23ECC">
        <w:t xml:space="preserve"> </w:t>
      </w:r>
      <w:r>
        <w:t>operations</w:t>
      </w:r>
      <w:r w:rsidR="00D23ECC">
        <w:t xml:space="preserve"> </w:t>
      </w:r>
      <w:r>
        <w:t>is</w:t>
      </w:r>
      <w:r w:rsidR="00D23ECC">
        <w:t xml:space="preserve"> </w:t>
      </w:r>
      <w:r>
        <w:t>supplemented</w:t>
      </w:r>
      <w:r w:rsidR="00D23ECC">
        <w:t xml:space="preserve"> </w:t>
      </w:r>
      <w:r>
        <w:t>by</w:t>
      </w:r>
      <w:r w:rsidR="00D23ECC">
        <w:t xml:space="preserve"> </w:t>
      </w:r>
      <w:r>
        <w:t>other</w:t>
      </w:r>
      <w:r w:rsidR="00D23ECC">
        <w:t xml:space="preserve"> </w:t>
      </w:r>
      <w:r>
        <w:t>sources,</w:t>
      </w:r>
      <w:r w:rsidR="00D23ECC">
        <w:t xml:space="preserve"> </w:t>
      </w:r>
      <w:r>
        <w:t>including:</w:t>
      </w:r>
    </w:p>
    <w:p w14:paraId="0CDB2CFD" w14:textId="2DD0E676" w:rsidR="00DE3B0D" w:rsidRDefault="00DE3B0D" w:rsidP="00D6001A">
      <w:pPr>
        <w:pStyle w:val="ListBullet"/>
      </w:pPr>
      <w:r>
        <w:t>national</w:t>
      </w:r>
      <w:r w:rsidR="00D23ECC">
        <w:t xml:space="preserve"> </w:t>
      </w:r>
      <w:r>
        <w:t>information</w:t>
      </w:r>
      <w:r w:rsidR="00D23ECC">
        <w:t xml:space="preserve"> </w:t>
      </w:r>
      <w:r>
        <w:t>shared</w:t>
      </w:r>
      <w:r w:rsidR="00D23ECC">
        <w:t xml:space="preserve"> </w:t>
      </w:r>
      <w:r>
        <w:t>among</w:t>
      </w:r>
      <w:r w:rsidR="00D23ECC">
        <w:t xml:space="preserve"> </w:t>
      </w:r>
      <w:r>
        <w:t>Australian</w:t>
      </w:r>
      <w:r w:rsidR="00D23ECC">
        <w:t xml:space="preserve"> </w:t>
      </w:r>
      <w:r>
        <w:t>Consumer</w:t>
      </w:r>
      <w:r w:rsidR="00D23ECC">
        <w:t xml:space="preserve"> </w:t>
      </w:r>
      <w:r>
        <w:t>Law</w:t>
      </w:r>
      <w:r w:rsidR="00D23ECC">
        <w:t xml:space="preserve"> </w:t>
      </w:r>
      <w:r>
        <w:t>(ACL)</w:t>
      </w:r>
      <w:r w:rsidR="00D23ECC">
        <w:t xml:space="preserve"> </w:t>
      </w:r>
      <w:r>
        <w:t>regulators</w:t>
      </w:r>
    </w:p>
    <w:p w14:paraId="4F599111" w14:textId="4933BB95" w:rsidR="00DE3B0D" w:rsidRDefault="00DE3B0D" w:rsidP="00D6001A">
      <w:pPr>
        <w:pStyle w:val="ListBullet"/>
      </w:pPr>
      <w:r>
        <w:t>local</w:t>
      </w:r>
      <w:r w:rsidR="00D23ECC">
        <w:t xml:space="preserve"> </w:t>
      </w:r>
      <w:r>
        <w:t>councils</w:t>
      </w:r>
    </w:p>
    <w:p w14:paraId="3A1F2AFE" w14:textId="61C5555D" w:rsidR="00DE3B0D" w:rsidRDefault="00DE3B0D" w:rsidP="00D6001A">
      <w:pPr>
        <w:pStyle w:val="ListBullet"/>
      </w:pPr>
      <w:r>
        <w:t>law</w:t>
      </w:r>
      <w:r w:rsidR="00D23ECC">
        <w:t xml:space="preserve"> </w:t>
      </w:r>
      <w:r>
        <w:t>enforcement</w:t>
      </w:r>
      <w:r w:rsidR="00D23ECC">
        <w:t xml:space="preserve"> </w:t>
      </w:r>
      <w:r>
        <w:t>organisations</w:t>
      </w:r>
    </w:p>
    <w:p w14:paraId="58C128BD" w14:textId="4FD0667B" w:rsidR="00DE3B0D" w:rsidRDefault="00DE3B0D" w:rsidP="00D6001A">
      <w:pPr>
        <w:pStyle w:val="ListBullet"/>
      </w:pPr>
      <w:r>
        <w:t>industry</w:t>
      </w:r>
      <w:r w:rsidR="00D23ECC">
        <w:t xml:space="preserve"> </w:t>
      </w:r>
      <w:r>
        <w:t>stakeholders</w:t>
      </w:r>
    </w:p>
    <w:p w14:paraId="0544CC08" w14:textId="4A6B7566" w:rsidR="00DE3B0D" w:rsidRDefault="00DE3B0D" w:rsidP="00D6001A">
      <w:pPr>
        <w:pStyle w:val="ListBullet"/>
      </w:pPr>
      <w:r>
        <w:t>online</w:t>
      </w:r>
      <w:r w:rsidR="00D23ECC">
        <w:t xml:space="preserve"> </w:t>
      </w:r>
      <w:r>
        <w:t>forums</w:t>
      </w:r>
      <w:r w:rsidR="00D23ECC">
        <w:t xml:space="preserve"> </w:t>
      </w:r>
      <w:r>
        <w:t>and</w:t>
      </w:r>
      <w:r w:rsidR="00D23ECC">
        <w:t xml:space="preserve"> </w:t>
      </w:r>
      <w:r>
        <w:t>social</w:t>
      </w:r>
      <w:r w:rsidR="00D23ECC">
        <w:t xml:space="preserve"> </w:t>
      </w:r>
      <w:r>
        <w:t>media</w:t>
      </w:r>
    </w:p>
    <w:p w14:paraId="3B53FB90" w14:textId="73523E05" w:rsidR="00DE3B0D" w:rsidRDefault="00DE3B0D" w:rsidP="00D6001A">
      <w:pPr>
        <w:pStyle w:val="ListBullet"/>
      </w:pPr>
      <w:r>
        <w:t>business</w:t>
      </w:r>
      <w:r w:rsidR="00D23ECC">
        <w:t xml:space="preserve"> </w:t>
      </w:r>
      <w:r>
        <w:t>reporting</w:t>
      </w:r>
      <w:r w:rsidR="00D23ECC">
        <w:t xml:space="preserve"> </w:t>
      </w:r>
      <w:r>
        <w:t>requirements.</w:t>
      </w:r>
    </w:p>
    <w:p w14:paraId="1FE6A70B" w14:textId="7C1AEB4F" w:rsidR="00DE3B0D" w:rsidRDefault="00DE3B0D" w:rsidP="00D23ECC">
      <w:pPr>
        <w:pStyle w:val="BodyText"/>
      </w:pPr>
      <w:r>
        <w:t>For</w:t>
      </w:r>
      <w:r w:rsidR="00D23ECC">
        <w:t xml:space="preserve"> </w:t>
      </w:r>
      <w:r>
        <w:t>example,</w:t>
      </w:r>
      <w:r w:rsidR="00D23ECC">
        <w:t xml:space="preserve"> </w:t>
      </w:r>
      <w:r>
        <w:t>information</w:t>
      </w:r>
      <w:r w:rsidR="00D23ECC">
        <w:t xml:space="preserve"> </w:t>
      </w:r>
      <w:r>
        <w:t>provided</w:t>
      </w:r>
      <w:r w:rsidR="00D23ECC">
        <w:t xml:space="preserve"> </w:t>
      </w:r>
      <w:r>
        <w:t>from</w:t>
      </w:r>
      <w:r w:rsidR="00D23ECC">
        <w:t xml:space="preserve"> </w:t>
      </w:r>
      <w:r>
        <w:t>auditors’</w:t>
      </w:r>
      <w:r w:rsidR="00D23ECC">
        <w:t xml:space="preserve"> </w:t>
      </w:r>
      <w:r>
        <w:t>reports</w:t>
      </w:r>
      <w:r w:rsidR="00D23ECC">
        <w:t xml:space="preserve"> </w:t>
      </w:r>
      <w:r>
        <w:t>on</w:t>
      </w:r>
      <w:r w:rsidR="00D23ECC">
        <w:t xml:space="preserve"> </w:t>
      </w:r>
      <w:r>
        <w:t>estate</w:t>
      </w:r>
      <w:r w:rsidR="00D23ECC">
        <w:t xml:space="preserve"> </w:t>
      </w:r>
      <w:r>
        <w:t>agent</w:t>
      </w:r>
      <w:r w:rsidR="00D23ECC">
        <w:t xml:space="preserve"> </w:t>
      </w:r>
      <w:r>
        <w:t>trust</w:t>
      </w:r>
      <w:r w:rsidR="00D23ECC">
        <w:t xml:space="preserve"> </w:t>
      </w:r>
      <w:r>
        <w:t>accounts</w:t>
      </w:r>
      <w:r w:rsidR="00D23ECC">
        <w:t xml:space="preserve"> </w:t>
      </w:r>
      <w:r>
        <w:t>alerts</w:t>
      </w:r>
      <w:r w:rsidR="00D23ECC">
        <w:t xml:space="preserve"> </w:t>
      </w:r>
      <w:r>
        <w:t>us</w:t>
      </w:r>
      <w:r w:rsidR="00D23ECC">
        <w:t xml:space="preserve"> </w:t>
      </w:r>
      <w:r>
        <w:t>to</w:t>
      </w:r>
      <w:r w:rsidR="00D23ECC">
        <w:t xml:space="preserve"> </w:t>
      </w:r>
      <w:r>
        <w:t>businesses</w:t>
      </w:r>
      <w:r w:rsidR="00D23ECC">
        <w:t xml:space="preserve"> </w:t>
      </w:r>
      <w:r>
        <w:t>that</w:t>
      </w:r>
      <w:r w:rsidR="00D23ECC">
        <w:t xml:space="preserve"> </w:t>
      </w:r>
      <w:r>
        <w:t>may</w:t>
      </w:r>
      <w:r w:rsidR="00D23ECC">
        <w:t xml:space="preserve"> </w:t>
      </w:r>
      <w:r>
        <w:t>have</w:t>
      </w:r>
      <w:r w:rsidR="00D23ECC">
        <w:t xml:space="preserve"> </w:t>
      </w:r>
      <w:r>
        <w:t>problematic</w:t>
      </w:r>
      <w:r w:rsidR="00D23ECC">
        <w:t xml:space="preserve"> </w:t>
      </w:r>
      <w:r>
        <w:t>practices,</w:t>
      </w:r>
      <w:r w:rsidR="00D23ECC">
        <w:t xml:space="preserve"> </w:t>
      </w:r>
      <w:r>
        <w:t>allowing</w:t>
      </w:r>
      <w:r w:rsidR="00D23ECC">
        <w:t xml:space="preserve"> </w:t>
      </w:r>
      <w:r>
        <w:t>us</w:t>
      </w:r>
      <w:r w:rsidR="00D23ECC">
        <w:t xml:space="preserve"> </w:t>
      </w:r>
      <w:r>
        <w:t>to</w:t>
      </w:r>
      <w:r w:rsidR="00D23ECC">
        <w:t xml:space="preserve"> </w:t>
      </w:r>
      <w:r>
        <w:t>prioritise</w:t>
      </w:r>
      <w:r w:rsidR="00D23ECC">
        <w:t xml:space="preserve"> </w:t>
      </w:r>
      <w:r>
        <w:t>inspection</w:t>
      </w:r>
      <w:r w:rsidR="00D23ECC">
        <w:t xml:space="preserve"> </w:t>
      </w:r>
      <w:r>
        <w:t>activity.</w:t>
      </w:r>
    </w:p>
    <w:p w14:paraId="6EA321C4" w14:textId="7F18E8B5" w:rsidR="00DE3B0D" w:rsidRDefault="00DE3B0D" w:rsidP="00D23ECC">
      <w:pPr>
        <w:pStyle w:val="BodyText"/>
      </w:pPr>
      <w:r>
        <w:t>We</w:t>
      </w:r>
      <w:r w:rsidR="00D23ECC">
        <w:t xml:space="preserve"> </w:t>
      </w:r>
      <w:r>
        <w:t>also</w:t>
      </w:r>
      <w:r w:rsidR="00D23ECC">
        <w:t xml:space="preserve"> </w:t>
      </w:r>
      <w:r>
        <w:t>receive</w:t>
      </w:r>
      <w:r w:rsidR="00D23ECC">
        <w:t xml:space="preserve"> </w:t>
      </w:r>
      <w:r>
        <w:t>reports</w:t>
      </w:r>
      <w:r w:rsidR="00D23ECC">
        <w:t xml:space="preserve"> </w:t>
      </w:r>
      <w:r>
        <w:t>from</w:t>
      </w:r>
      <w:r w:rsidR="00D23ECC">
        <w:t xml:space="preserve"> </w:t>
      </w:r>
      <w:r>
        <w:t>consumers</w:t>
      </w:r>
      <w:r w:rsidR="00D23ECC">
        <w:t xml:space="preserve"> </w:t>
      </w:r>
      <w:r>
        <w:t>and</w:t>
      </w:r>
      <w:r w:rsidR="00D23ECC">
        <w:t xml:space="preserve"> </w:t>
      </w:r>
      <w:r>
        <w:t>their</w:t>
      </w:r>
      <w:r w:rsidR="00D23ECC">
        <w:t xml:space="preserve"> </w:t>
      </w:r>
      <w:r>
        <w:t>representatives</w:t>
      </w:r>
      <w:r w:rsidR="00D23ECC">
        <w:t xml:space="preserve"> </w:t>
      </w:r>
      <w:r>
        <w:t>about</w:t>
      </w:r>
      <w:r w:rsidR="00D23ECC">
        <w:t xml:space="preserve"> </w:t>
      </w:r>
      <w:r>
        <w:t>business</w:t>
      </w:r>
      <w:r w:rsidR="00D23ECC">
        <w:t xml:space="preserve"> </w:t>
      </w:r>
      <w:r>
        <w:t>conduct</w:t>
      </w:r>
      <w:r w:rsidR="00D23ECC">
        <w:t xml:space="preserve"> </w:t>
      </w:r>
      <w:r>
        <w:t>or</w:t>
      </w:r>
      <w:r w:rsidR="00D23ECC">
        <w:t xml:space="preserve"> </w:t>
      </w:r>
      <w:r>
        <w:t>potential</w:t>
      </w:r>
      <w:r w:rsidR="00D23ECC">
        <w:t xml:space="preserve"> </w:t>
      </w:r>
      <w:r>
        <w:t>breaches</w:t>
      </w:r>
      <w:r w:rsidR="00D23ECC">
        <w:t xml:space="preserve"> </w:t>
      </w:r>
      <w:r>
        <w:t>of</w:t>
      </w:r>
      <w:r w:rsidR="00D23ECC">
        <w:t xml:space="preserve"> </w:t>
      </w:r>
      <w:r>
        <w:t>the</w:t>
      </w:r>
      <w:r w:rsidR="00D23ECC">
        <w:t xml:space="preserve"> </w:t>
      </w:r>
      <w:r>
        <w:t>law.</w:t>
      </w:r>
      <w:r w:rsidR="00D23ECC">
        <w:t xml:space="preserve"> </w:t>
      </w:r>
      <w:r>
        <w:t>While</w:t>
      </w:r>
      <w:r w:rsidR="00D23ECC">
        <w:t xml:space="preserve"> </w:t>
      </w:r>
      <w:r>
        <w:t>we</w:t>
      </w:r>
      <w:r w:rsidR="00D23ECC">
        <w:t xml:space="preserve"> </w:t>
      </w:r>
      <w:r>
        <w:t>do</w:t>
      </w:r>
      <w:r w:rsidR="00D23ECC">
        <w:t xml:space="preserve"> </w:t>
      </w:r>
      <w:r>
        <w:t>not</w:t>
      </w:r>
      <w:r w:rsidR="00D23ECC">
        <w:t xml:space="preserve"> </w:t>
      </w:r>
      <w:r>
        <w:t>pursue</w:t>
      </w:r>
      <w:r w:rsidR="00D23ECC">
        <w:t xml:space="preserve"> </w:t>
      </w:r>
      <w:r>
        <w:t>all</w:t>
      </w:r>
      <w:r w:rsidR="00D23ECC">
        <w:t xml:space="preserve"> </w:t>
      </w:r>
      <w:r>
        <w:t>of</w:t>
      </w:r>
      <w:r w:rsidR="00D23ECC">
        <w:t xml:space="preserve"> </w:t>
      </w:r>
      <w:r>
        <w:t>these</w:t>
      </w:r>
      <w:r w:rsidR="00D23ECC">
        <w:t xml:space="preserve"> </w:t>
      </w:r>
      <w:r>
        <w:t>individually,</w:t>
      </w:r>
      <w:r w:rsidR="00D23ECC">
        <w:t xml:space="preserve"> </w:t>
      </w:r>
      <w:r>
        <w:t>we</w:t>
      </w:r>
      <w:r w:rsidR="00D23ECC">
        <w:t xml:space="preserve"> </w:t>
      </w:r>
      <w:r>
        <w:t>use</w:t>
      </w:r>
      <w:r w:rsidR="00D23ECC">
        <w:t xml:space="preserve"> </w:t>
      </w:r>
      <w:r>
        <w:t>them</w:t>
      </w:r>
      <w:r w:rsidR="00D23ECC">
        <w:t xml:space="preserve"> </w:t>
      </w:r>
      <w:r>
        <w:t>as</w:t>
      </w:r>
      <w:r w:rsidR="00D23ECC">
        <w:t xml:space="preserve"> </w:t>
      </w:r>
      <w:r>
        <w:t>an</w:t>
      </w:r>
      <w:r w:rsidR="00D23ECC">
        <w:t xml:space="preserve"> </w:t>
      </w:r>
      <w:r>
        <w:t>important</w:t>
      </w:r>
      <w:r w:rsidR="00D23ECC">
        <w:t xml:space="preserve"> </w:t>
      </w:r>
      <w:r>
        <w:t>source</w:t>
      </w:r>
      <w:r w:rsidR="00D23ECC">
        <w:t xml:space="preserve"> </w:t>
      </w:r>
      <w:r>
        <w:t>of</w:t>
      </w:r>
      <w:r w:rsidR="00D23ECC">
        <w:t xml:space="preserve"> </w:t>
      </w:r>
      <w:r>
        <w:t>intelligence</w:t>
      </w:r>
      <w:r w:rsidR="00D23ECC">
        <w:t xml:space="preserve"> </w:t>
      </w:r>
      <w:r>
        <w:t>to</w:t>
      </w:r>
      <w:r w:rsidR="00D23ECC">
        <w:t xml:space="preserve"> </w:t>
      </w:r>
      <w:r>
        <w:t>help</w:t>
      </w:r>
      <w:r w:rsidR="00D23ECC">
        <w:t xml:space="preserve"> </w:t>
      </w:r>
      <w:r>
        <w:t>assess</w:t>
      </w:r>
      <w:r w:rsidR="00D23ECC">
        <w:t xml:space="preserve"> </w:t>
      </w:r>
      <w:r>
        <w:t>risks</w:t>
      </w:r>
      <w:r w:rsidR="00D23ECC">
        <w:t xml:space="preserve"> </w:t>
      </w:r>
      <w:r>
        <w:t>and</w:t>
      </w:r>
      <w:r w:rsidR="00D23ECC">
        <w:t xml:space="preserve"> </w:t>
      </w:r>
      <w:r>
        <w:t>take</w:t>
      </w:r>
      <w:r w:rsidR="00D23ECC">
        <w:t xml:space="preserve"> </w:t>
      </w:r>
      <w:r>
        <w:t>action</w:t>
      </w:r>
      <w:r w:rsidR="00D23ECC">
        <w:t xml:space="preserve"> </w:t>
      </w:r>
      <w:r>
        <w:t>as</w:t>
      </w:r>
      <w:r w:rsidR="00D23ECC">
        <w:t xml:space="preserve"> </w:t>
      </w:r>
      <w:r>
        <w:t>appropriate.</w:t>
      </w:r>
    </w:p>
    <w:p w14:paraId="03535511" w14:textId="77777777" w:rsidR="00DE3B0D" w:rsidRDefault="00DE3B0D" w:rsidP="00AE374E">
      <w:pPr>
        <w:pStyle w:val="Heading4"/>
      </w:pPr>
      <w:bookmarkStart w:id="9" w:name="_Risk-based"/>
      <w:bookmarkStart w:id="10" w:name="_Ref85883296"/>
      <w:bookmarkEnd w:id="9"/>
      <w:r>
        <w:rPr>
          <w:color w:val="000000"/>
        </w:rPr>
        <w:t>Risk-based</w:t>
      </w:r>
      <w:bookmarkEnd w:id="10"/>
    </w:p>
    <w:p w14:paraId="2EF32034" w14:textId="371AE715" w:rsidR="00DE3B0D" w:rsidRDefault="00DE3B0D" w:rsidP="00D23ECC">
      <w:pPr>
        <w:pStyle w:val="BodyText"/>
      </w:pPr>
      <w:r>
        <w:t>Where</w:t>
      </w:r>
      <w:r w:rsidR="00D23ECC">
        <w:t xml:space="preserve"> </w:t>
      </w:r>
      <w:r>
        <w:t>possible,</w:t>
      </w:r>
      <w:r w:rsidR="00D23ECC">
        <w:t xml:space="preserve"> </w:t>
      </w:r>
      <w:r>
        <w:t>we</w:t>
      </w:r>
      <w:r w:rsidR="00D23ECC">
        <w:t xml:space="preserve"> </w:t>
      </w:r>
      <w:r>
        <w:t>aim</w:t>
      </w:r>
      <w:r w:rsidR="00D23ECC">
        <w:t xml:space="preserve"> </w:t>
      </w:r>
      <w:r>
        <w:t>to</w:t>
      </w:r>
      <w:r w:rsidR="00D23ECC">
        <w:t xml:space="preserve"> </w:t>
      </w:r>
      <w:r>
        <w:t>identify</w:t>
      </w:r>
      <w:r w:rsidR="00D23ECC">
        <w:t xml:space="preserve"> </w:t>
      </w:r>
      <w:r>
        <w:t>and</w:t>
      </w:r>
      <w:r w:rsidR="00D23ECC">
        <w:t xml:space="preserve"> </w:t>
      </w:r>
      <w:r>
        <w:t>treat</w:t>
      </w:r>
      <w:r w:rsidR="00D23ECC">
        <w:t xml:space="preserve"> </w:t>
      </w:r>
      <w:r>
        <w:t>risks</w:t>
      </w:r>
      <w:r w:rsidR="00D23ECC">
        <w:t xml:space="preserve"> </w:t>
      </w:r>
      <w:r>
        <w:t>before</w:t>
      </w:r>
      <w:r w:rsidR="00D23ECC">
        <w:t xml:space="preserve"> </w:t>
      </w:r>
      <w:r>
        <w:t>they</w:t>
      </w:r>
      <w:r w:rsidR="00D23ECC">
        <w:t xml:space="preserve"> </w:t>
      </w:r>
      <w:r>
        <w:t>lead</w:t>
      </w:r>
      <w:r w:rsidR="00D23ECC">
        <w:t xml:space="preserve"> </w:t>
      </w:r>
      <w:r>
        <w:t>to</w:t>
      </w:r>
      <w:r w:rsidR="00D23ECC">
        <w:t xml:space="preserve"> </w:t>
      </w:r>
      <w:r>
        <w:t>actual</w:t>
      </w:r>
      <w:r w:rsidR="00D23ECC">
        <w:t xml:space="preserve"> </w:t>
      </w:r>
      <w:r>
        <w:t>consumer</w:t>
      </w:r>
      <w:r w:rsidR="00D23ECC">
        <w:t xml:space="preserve"> </w:t>
      </w:r>
      <w:r>
        <w:t>harm.</w:t>
      </w:r>
    </w:p>
    <w:p w14:paraId="4027391E" w14:textId="21AE5F18" w:rsidR="00DE3B0D" w:rsidRDefault="00DE3B0D" w:rsidP="00D23ECC">
      <w:pPr>
        <w:pStyle w:val="BodyText"/>
      </w:pPr>
      <w:r>
        <w:t>Regulatory</w:t>
      </w:r>
      <w:r w:rsidR="00D23ECC">
        <w:t xml:space="preserve"> </w:t>
      </w:r>
      <w:r>
        <w:t>risks</w:t>
      </w:r>
      <w:r w:rsidR="00D23ECC">
        <w:t xml:space="preserve"> </w:t>
      </w:r>
      <w:r>
        <w:t>are</w:t>
      </w:r>
      <w:r w:rsidR="00D23ECC">
        <w:t xml:space="preserve"> </w:t>
      </w:r>
      <w:r>
        <w:t>market</w:t>
      </w:r>
      <w:r w:rsidR="00D23ECC">
        <w:t xml:space="preserve"> </w:t>
      </w:r>
      <w:r>
        <w:t>behaviours</w:t>
      </w:r>
      <w:r w:rsidR="00D23ECC">
        <w:t xml:space="preserve"> </w:t>
      </w:r>
      <w:r>
        <w:t>that:</w:t>
      </w:r>
    </w:p>
    <w:p w14:paraId="3BC716A8" w14:textId="6FD7DC6D" w:rsidR="00DE3B0D" w:rsidRDefault="00DE3B0D" w:rsidP="00D6001A">
      <w:pPr>
        <w:pStyle w:val="ListBullet"/>
      </w:pPr>
      <w:r>
        <w:t>represent</w:t>
      </w:r>
      <w:r w:rsidR="00D23ECC">
        <w:t xml:space="preserve"> </w:t>
      </w:r>
      <w:r>
        <w:t>non-compliance</w:t>
      </w:r>
      <w:r w:rsidR="00D23ECC">
        <w:t xml:space="preserve"> </w:t>
      </w:r>
      <w:r>
        <w:t>with</w:t>
      </w:r>
      <w:r w:rsidR="00D23ECC">
        <w:t xml:space="preserve"> </w:t>
      </w:r>
      <w:r>
        <w:t>the</w:t>
      </w:r>
      <w:r w:rsidR="00D23ECC">
        <w:t xml:space="preserve"> </w:t>
      </w:r>
      <w:r>
        <w:t>laws</w:t>
      </w:r>
      <w:r w:rsidR="00D23ECC">
        <w:t xml:space="preserve"> </w:t>
      </w:r>
      <w:r>
        <w:t>we</w:t>
      </w:r>
      <w:r w:rsidR="00D23ECC">
        <w:t xml:space="preserve"> </w:t>
      </w:r>
      <w:r>
        <w:t>administer</w:t>
      </w:r>
    </w:p>
    <w:p w14:paraId="5FBCEDF1" w14:textId="1110F783" w:rsidR="00DE3B0D" w:rsidRDefault="00DE3B0D" w:rsidP="00D6001A">
      <w:pPr>
        <w:pStyle w:val="ListBullet"/>
      </w:pPr>
      <w:r>
        <w:t>present</w:t>
      </w:r>
      <w:r w:rsidR="00D23ECC">
        <w:t xml:space="preserve"> </w:t>
      </w:r>
      <w:r>
        <w:t>potential</w:t>
      </w:r>
      <w:r w:rsidR="00D23ECC">
        <w:t xml:space="preserve"> </w:t>
      </w:r>
      <w:r>
        <w:t>or</w:t>
      </w:r>
      <w:r w:rsidR="00D23ECC">
        <w:t xml:space="preserve"> </w:t>
      </w:r>
      <w:r>
        <w:t>realised</w:t>
      </w:r>
      <w:r w:rsidR="00D23ECC">
        <w:t xml:space="preserve"> </w:t>
      </w:r>
      <w:r>
        <w:t>consumer</w:t>
      </w:r>
      <w:r w:rsidR="00D23ECC">
        <w:t xml:space="preserve"> </w:t>
      </w:r>
      <w:r>
        <w:t>harm</w:t>
      </w:r>
    </w:p>
    <w:p w14:paraId="6E011841" w14:textId="7E645805" w:rsidR="00DE3B0D" w:rsidRDefault="00DE3B0D" w:rsidP="00D6001A">
      <w:pPr>
        <w:pStyle w:val="ListBullet"/>
      </w:pPr>
      <w:r>
        <w:t>impact</w:t>
      </w:r>
      <w:r w:rsidR="00D23ECC">
        <w:t xml:space="preserve"> </w:t>
      </w:r>
      <w:r>
        <w:t>on</w:t>
      </w:r>
      <w:r w:rsidR="00D23ECC">
        <w:t xml:space="preserve"> </w:t>
      </w:r>
      <w:r>
        <w:t>our</w:t>
      </w:r>
      <w:r w:rsidR="00D23ECC">
        <w:t xml:space="preserve"> </w:t>
      </w:r>
      <w:r>
        <w:t>ability</w:t>
      </w:r>
      <w:r w:rsidR="00D23ECC">
        <w:t xml:space="preserve"> </w:t>
      </w:r>
      <w:r>
        <w:t>to</w:t>
      </w:r>
      <w:r w:rsidR="00D23ECC">
        <w:t xml:space="preserve"> </w:t>
      </w:r>
      <w:r>
        <w:t>be</w:t>
      </w:r>
      <w:r w:rsidR="00D23ECC">
        <w:t xml:space="preserve"> </w:t>
      </w:r>
      <w:r>
        <w:t>an</w:t>
      </w:r>
      <w:r w:rsidR="00D23ECC">
        <w:t xml:space="preserve"> </w:t>
      </w:r>
      <w:r>
        <w:t>effective</w:t>
      </w:r>
      <w:r w:rsidR="00D23ECC">
        <w:t xml:space="preserve"> </w:t>
      </w:r>
      <w:r>
        <w:t>regulator</w:t>
      </w:r>
    </w:p>
    <w:p w14:paraId="3B0C706C" w14:textId="4266C985" w:rsidR="00DE3B0D" w:rsidRDefault="00DE3B0D" w:rsidP="00D6001A">
      <w:pPr>
        <w:pStyle w:val="ListBullet"/>
      </w:pPr>
      <w:r>
        <w:t>require</w:t>
      </w:r>
      <w:r w:rsidR="00D23ECC">
        <w:t xml:space="preserve"> </w:t>
      </w:r>
      <w:r>
        <w:t>a</w:t>
      </w:r>
      <w:r w:rsidR="00D23ECC">
        <w:t xml:space="preserve"> </w:t>
      </w:r>
      <w:r>
        <w:t>regulatory</w:t>
      </w:r>
      <w:r w:rsidR="00D23ECC">
        <w:t xml:space="preserve"> </w:t>
      </w:r>
      <w:r>
        <w:t>response</w:t>
      </w:r>
      <w:r w:rsidR="00D23ECC">
        <w:t xml:space="preserve"> </w:t>
      </w:r>
      <w:r>
        <w:t>due</w:t>
      </w:r>
      <w:r w:rsidR="00D23ECC">
        <w:t xml:space="preserve"> </w:t>
      </w:r>
      <w:r>
        <w:t>to</w:t>
      </w:r>
      <w:r w:rsidR="00D23ECC">
        <w:t xml:space="preserve"> </w:t>
      </w:r>
      <w:r>
        <w:t>public</w:t>
      </w:r>
      <w:r w:rsidR="00D23ECC">
        <w:t xml:space="preserve"> </w:t>
      </w:r>
      <w:r>
        <w:t>concern.</w:t>
      </w:r>
    </w:p>
    <w:p w14:paraId="6741ADFB" w14:textId="6AA092FD" w:rsidR="00DE3B0D" w:rsidRDefault="00DE3B0D" w:rsidP="00D23ECC">
      <w:pPr>
        <w:pStyle w:val="BodyText"/>
      </w:pPr>
      <w:r>
        <w:t>We</w:t>
      </w:r>
      <w:r w:rsidR="00D23ECC">
        <w:t xml:space="preserve"> </w:t>
      </w:r>
      <w:r>
        <w:t>monitor</w:t>
      </w:r>
      <w:r w:rsidR="00D23ECC">
        <w:t xml:space="preserve"> </w:t>
      </w:r>
      <w:r>
        <w:t>markets</w:t>
      </w:r>
      <w:r w:rsidR="00D23ECC">
        <w:t xml:space="preserve"> </w:t>
      </w:r>
      <w:r>
        <w:t>and</w:t>
      </w:r>
      <w:r w:rsidR="00D23ECC">
        <w:t xml:space="preserve"> </w:t>
      </w:r>
      <w:r>
        <w:t>use</w:t>
      </w:r>
      <w:r w:rsidR="00D23ECC">
        <w:t xml:space="preserve"> </w:t>
      </w:r>
      <w:r>
        <w:t>evidence</w:t>
      </w:r>
      <w:r w:rsidR="00D23ECC">
        <w:t xml:space="preserve"> </w:t>
      </w:r>
      <w:r>
        <w:t>to</w:t>
      </w:r>
      <w:r w:rsidR="00D23ECC">
        <w:t xml:space="preserve"> </w:t>
      </w:r>
      <w:r>
        <w:t>shape</w:t>
      </w:r>
      <w:r w:rsidR="00D23ECC">
        <w:t xml:space="preserve"> </w:t>
      </w:r>
      <w:r>
        <w:t>a</w:t>
      </w:r>
      <w:r w:rsidR="00D23ECC">
        <w:t xml:space="preserve"> </w:t>
      </w:r>
      <w:r>
        <w:t>targeted</w:t>
      </w:r>
      <w:r w:rsidR="00D23ECC">
        <w:t xml:space="preserve"> </w:t>
      </w:r>
      <w:r>
        <w:t>compliance</w:t>
      </w:r>
      <w:r w:rsidR="00D23ECC">
        <w:t xml:space="preserve"> </w:t>
      </w:r>
      <w:r>
        <w:t>program,</w:t>
      </w:r>
      <w:r w:rsidR="00D23ECC">
        <w:t xml:space="preserve"> </w:t>
      </w:r>
      <w:r>
        <w:t>focusing</w:t>
      </w:r>
      <w:r w:rsidR="00D23ECC">
        <w:t xml:space="preserve"> </w:t>
      </w:r>
      <w:r>
        <w:t>on</w:t>
      </w:r>
      <w:r w:rsidR="00D23ECC">
        <w:t xml:space="preserve"> </w:t>
      </w:r>
      <w:r>
        <w:t>those</w:t>
      </w:r>
      <w:r w:rsidR="00D23ECC">
        <w:t xml:space="preserve"> </w:t>
      </w:r>
      <w:r>
        <w:t>issues</w:t>
      </w:r>
      <w:r w:rsidR="00D23ECC">
        <w:t xml:space="preserve"> </w:t>
      </w:r>
      <w:r>
        <w:t>that</w:t>
      </w:r>
      <w:r w:rsidR="00D23ECC">
        <w:t xml:space="preserve"> </w:t>
      </w:r>
      <w:r>
        <w:t>pose</w:t>
      </w:r>
      <w:r w:rsidR="00D23ECC">
        <w:t xml:space="preserve"> </w:t>
      </w:r>
      <w:r>
        <w:t>the</w:t>
      </w:r>
      <w:r w:rsidR="00D23ECC">
        <w:t xml:space="preserve"> </w:t>
      </w:r>
      <w:r>
        <w:t>highest</w:t>
      </w:r>
      <w:r w:rsidR="00D23ECC">
        <w:t xml:space="preserve"> </w:t>
      </w:r>
      <w:r>
        <w:t>risk</w:t>
      </w:r>
      <w:r w:rsidR="00D23ECC">
        <w:t xml:space="preserve"> </w:t>
      </w:r>
      <w:r>
        <w:t>to</w:t>
      </w:r>
      <w:r w:rsidR="00D23ECC">
        <w:t xml:space="preserve"> </w:t>
      </w:r>
      <w:r>
        <w:t>Victorians.</w:t>
      </w:r>
      <w:r w:rsidR="00D23ECC">
        <w:t xml:space="preserve"> </w:t>
      </w:r>
      <w:r>
        <w:t>Risks</w:t>
      </w:r>
      <w:r w:rsidR="00D23ECC">
        <w:t xml:space="preserve"> </w:t>
      </w:r>
      <w:r>
        <w:t>can</w:t>
      </w:r>
      <w:r w:rsidR="00D23ECC">
        <w:t xml:space="preserve"> </w:t>
      </w:r>
      <w:r>
        <w:t>be</w:t>
      </w:r>
      <w:r w:rsidR="00D23ECC">
        <w:t xml:space="preserve"> </w:t>
      </w:r>
      <w:r>
        <w:t>posed</w:t>
      </w:r>
      <w:r w:rsidR="00D23ECC">
        <w:t xml:space="preserve"> </w:t>
      </w:r>
      <w:r>
        <w:t>by:</w:t>
      </w:r>
    </w:p>
    <w:p w14:paraId="5DBC72B7" w14:textId="3CA49428" w:rsidR="00DE3B0D" w:rsidRDefault="00DE3B0D" w:rsidP="00D6001A">
      <w:pPr>
        <w:pStyle w:val="ListBullet"/>
      </w:pPr>
      <w:r>
        <w:t>a</w:t>
      </w:r>
      <w:r w:rsidR="00D23ECC">
        <w:t xml:space="preserve"> </w:t>
      </w:r>
      <w:r>
        <w:t>product</w:t>
      </w:r>
    </w:p>
    <w:p w14:paraId="2189ABFA" w14:textId="24103A28" w:rsidR="00DE3B0D" w:rsidRDefault="00DE3B0D" w:rsidP="00D6001A">
      <w:pPr>
        <w:pStyle w:val="ListBullet"/>
      </w:pPr>
      <w:r>
        <w:t>a</w:t>
      </w:r>
      <w:r w:rsidR="00D23ECC">
        <w:t xml:space="preserve"> </w:t>
      </w:r>
      <w:r>
        <w:t>business’s</w:t>
      </w:r>
      <w:r w:rsidR="00D23ECC">
        <w:t xml:space="preserve"> </w:t>
      </w:r>
      <w:r>
        <w:t>conduct</w:t>
      </w:r>
    </w:p>
    <w:p w14:paraId="399752F6" w14:textId="775B9DEC" w:rsidR="00DE3B0D" w:rsidRDefault="00DE3B0D" w:rsidP="00D6001A">
      <w:pPr>
        <w:pStyle w:val="ListBullet"/>
      </w:pPr>
      <w:r>
        <w:t>a</w:t>
      </w:r>
      <w:r w:rsidR="00D23ECC">
        <w:t xml:space="preserve"> </w:t>
      </w:r>
      <w:r>
        <w:t>new</w:t>
      </w:r>
      <w:r w:rsidR="00D23ECC">
        <w:t xml:space="preserve"> </w:t>
      </w:r>
      <w:r>
        <w:t>or</w:t>
      </w:r>
      <w:r w:rsidR="00D23ECC">
        <w:t xml:space="preserve"> </w:t>
      </w:r>
      <w:r>
        <w:t>emerging</w:t>
      </w:r>
      <w:r w:rsidR="00D23ECC">
        <w:t xml:space="preserve"> </w:t>
      </w:r>
      <w:r>
        <w:t>business</w:t>
      </w:r>
      <w:r w:rsidR="00D23ECC">
        <w:t xml:space="preserve"> </w:t>
      </w:r>
      <w:r>
        <w:t>practice</w:t>
      </w:r>
    </w:p>
    <w:p w14:paraId="7D568998" w14:textId="768B9BED" w:rsidR="00DE3B0D" w:rsidRDefault="00DE3B0D" w:rsidP="00D6001A">
      <w:pPr>
        <w:pStyle w:val="ListBullet"/>
      </w:pPr>
      <w:r>
        <w:t>the</w:t>
      </w:r>
      <w:r w:rsidR="00D23ECC">
        <w:t xml:space="preserve"> </w:t>
      </w:r>
      <w:r>
        <w:t>conduct</w:t>
      </w:r>
      <w:r w:rsidR="00D23ECC">
        <w:t xml:space="preserve"> </w:t>
      </w:r>
      <w:r>
        <w:t>or</w:t>
      </w:r>
      <w:r w:rsidR="00D23ECC">
        <w:t xml:space="preserve"> </w:t>
      </w:r>
      <w:r>
        <w:t>business</w:t>
      </w:r>
      <w:r w:rsidR="00D23ECC">
        <w:t xml:space="preserve"> </w:t>
      </w:r>
      <w:r>
        <w:t>model</w:t>
      </w:r>
      <w:r w:rsidR="00D23ECC">
        <w:t xml:space="preserve"> </w:t>
      </w:r>
      <w:r>
        <w:t>of</w:t>
      </w:r>
      <w:r w:rsidR="00D23ECC">
        <w:t xml:space="preserve"> </w:t>
      </w:r>
      <w:r>
        <w:t>an</w:t>
      </w:r>
      <w:r w:rsidR="00D23ECC">
        <w:t xml:space="preserve"> </w:t>
      </w:r>
      <w:r>
        <w:t>entire</w:t>
      </w:r>
      <w:r w:rsidR="00D23ECC">
        <w:t xml:space="preserve"> </w:t>
      </w:r>
      <w:r>
        <w:t>industry.</w:t>
      </w:r>
    </w:p>
    <w:p w14:paraId="7BE99170" w14:textId="77777777" w:rsidR="00DE3B0D" w:rsidRDefault="00DE3B0D" w:rsidP="00AE374E">
      <w:pPr>
        <w:pStyle w:val="Heading4"/>
      </w:pPr>
      <w:r>
        <w:rPr>
          <w:color w:val="000000"/>
        </w:rPr>
        <w:lastRenderedPageBreak/>
        <w:t>Outcome-focused</w:t>
      </w:r>
    </w:p>
    <w:p w14:paraId="4A7D7464" w14:textId="70EEF7D2" w:rsidR="00DE3B0D" w:rsidRDefault="00DE3B0D" w:rsidP="00D23ECC">
      <w:pPr>
        <w:pStyle w:val="BodyText"/>
      </w:pPr>
      <w:r>
        <w:t>We</w:t>
      </w:r>
      <w:r w:rsidR="00D23ECC">
        <w:t xml:space="preserve"> </w:t>
      </w:r>
      <w:r>
        <w:t>use</w:t>
      </w:r>
      <w:r w:rsidR="00D23ECC">
        <w:t xml:space="preserve"> </w:t>
      </w:r>
      <w:r>
        <w:t>a</w:t>
      </w:r>
      <w:r w:rsidR="00D23ECC">
        <w:t xml:space="preserve"> </w:t>
      </w:r>
      <w:r>
        <w:t>range</w:t>
      </w:r>
      <w:r w:rsidR="00D23ECC">
        <w:t xml:space="preserve"> </w:t>
      </w:r>
      <w:r>
        <w:t>of</w:t>
      </w:r>
      <w:r w:rsidR="00D23ECC">
        <w:t xml:space="preserve"> </w:t>
      </w:r>
      <w:r>
        <w:t>compliance</w:t>
      </w:r>
      <w:r w:rsidR="00D23ECC">
        <w:t xml:space="preserve"> </w:t>
      </w:r>
      <w:r>
        <w:t>tools,</w:t>
      </w:r>
      <w:r w:rsidR="00D23ECC">
        <w:t xml:space="preserve"> </w:t>
      </w:r>
      <w:r>
        <w:t>underpinned</w:t>
      </w:r>
      <w:r w:rsidR="00D23ECC">
        <w:t xml:space="preserve"> </w:t>
      </w:r>
      <w:r>
        <w:t>by</w:t>
      </w:r>
      <w:r w:rsidR="00D23ECC">
        <w:t xml:space="preserve"> </w:t>
      </w:r>
      <w:r>
        <w:t>a</w:t>
      </w:r>
      <w:r w:rsidR="00D23ECC">
        <w:t xml:space="preserve"> </w:t>
      </w:r>
      <w:r>
        <w:t>compliance</w:t>
      </w:r>
      <w:r w:rsidR="00D23ECC">
        <w:t xml:space="preserve"> </w:t>
      </w:r>
      <w:r>
        <w:t>strategy</w:t>
      </w:r>
      <w:r w:rsidR="00D23ECC">
        <w:t xml:space="preserve"> </w:t>
      </w:r>
      <w:r>
        <w:t>that</w:t>
      </w:r>
      <w:r w:rsidR="00D23ECC">
        <w:t xml:space="preserve"> </w:t>
      </w:r>
      <w:r>
        <w:t>ultimately</w:t>
      </w:r>
      <w:r w:rsidR="00D23ECC">
        <w:t xml:space="preserve"> </w:t>
      </w:r>
      <w:r>
        <w:t>seeks</w:t>
      </w:r>
      <w:r w:rsidR="00D23ECC">
        <w:t xml:space="preserve"> </w:t>
      </w:r>
      <w:r>
        <w:t>to</w:t>
      </w:r>
      <w:r w:rsidR="00D23ECC">
        <w:t xml:space="preserve"> </w:t>
      </w:r>
      <w:r>
        <w:t>affect</w:t>
      </w:r>
      <w:r w:rsidR="00D23ECC">
        <w:t xml:space="preserve"> </w:t>
      </w:r>
      <w:r>
        <w:t>market</w:t>
      </w:r>
      <w:r w:rsidR="00D23ECC">
        <w:t xml:space="preserve"> </w:t>
      </w:r>
      <w:r>
        <w:t>outcomes.</w:t>
      </w:r>
      <w:r w:rsidR="00D23ECC">
        <w:t xml:space="preserve"> </w:t>
      </w:r>
      <w:r>
        <w:t>We</w:t>
      </w:r>
      <w:r w:rsidR="00D23ECC">
        <w:t xml:space="preserve"> </w:t>
      </w:r>
      <w:r>
        <w:t>make</w:t>
      </w:r>
      <w:r w:rsidR="00D23ECC">
        <w:t xml:space="preserve"> </w:t>
      </w:r>
      <w:r>
        <w:t>decisions</w:t>
      </w:r>
      <w:r w:rsidR="00D23ECC">
        <w:t xml:space="preserve"> </w:t>
      </w:r>
      <w:r>
        <w:t>on</w:t>
      </w:r>
      <w:r w:rsidR="00D23ECC">
        <w:t xml:space="preserve"> </w:t>
      </w:r>
      <w:r>
        <w:t>compliance</w:t>
      </w:r>
      <w:r w:rsidR="00D23ECC">
        <w:t xml:space="preserve"> </w:t>
      </w:r>
      <w:r>
        <w:t>actions</w:t>
      </w:r>
      <w:r w:rsidR="00D23ECC">
        <w:t xml:space="preserve"> </w:t>
      </w:r>
      <w:r>
        <w:t>to</w:t>
      </w:r>
      <w:r w:rsidR="00D23ECC">
        <w:t xml:space="preserve"> </w:t>
      </w:r>
      <w:r>
        <w:t>achieve</w:t>
      </w:r>
      <w:r w:rsidR="00D23ECC">
        <w:t xml:space="preserve"> </w:t>
      </w:r>
      <w:r>
        <w:t>outcomes</w:t>
      </w:r>
      <w:r w:rsidR="00D23ECC">
        <w:t xml:space="preserve"> </w:t>
      </w:r>
      <w:r>
        <w:t>that</w:t>
      </w:r>
      <w:r w:rsidR="00D23ECC">
        <w:t xml:space="preserve"> </w:t>
      </w:r>
      <w:r>
        <w:t>deter</w:t>
      </w:r>
      <w:r w:rsidR="00D23ECC">
        <w:t xml:space="preserve"> </w:t>
      </w:r>
      <w:r>
        <w:t>unlawful</w:t>
      </w:r>
      <w:r w:rsidR="00D23ECC">
        <w:t xml:space="preserve"> </w:t>
      </w:r>
      <w:r>
        <w:t>conduct</w:t>
      </w:r>
      <w:r w:rsidR="00D23ECC">
        <w:t xml:space="preserve"> </w:t>
      </w:r>
      <w:r>
        <w:t>and</w:t>
      </w:r>
      <w:r w:rsidR="00D23ECC">
        <w:t xml:space="preserve"> </w:t>
      </w:r>
      <w:r>
        <w:t>promote</w:t>
      </w:r>
      <w:r w:rsidR="00D23ECC">
        <w:t xml:space="preserve"> </w:t>
      </w:r>
      <w:r>
        <w:t>future</w:t>
      </w:r>
      <w:r w:rsidR="00D23ECC">
        <w:t xml:space="preserve"> </w:t>
      </w:r>
      <w:r>
        <w:t>compliance.</w:t>
      </w:r>
    </w:p>
    <w:p w14:paraId="49E70029" w14:textId="1F83F75C" w:rsidR="00DE3B0D" w:rsidRDefault="00DE3B0D" w:rsidP="00D23ECC">
      <w:pPr>
        <w:pStyle w:val="BodyText"/>
      </w:pPr>
      <w:r>
        <w:t>We</w:t>
      </w:r>
      <w:r w:rsidR="00D23ECC">
        <w:t xml:space="preserve"> </w:t>
      </w:r>
      <w:r>
        <w:t>take</w:t>
      </w:r>
      <w:r w:rsidR="00D23ECC">
        <w:t xml:space="preserve"> </w:t>
      </w:r>
      <w:r>
        <w:t>enforcement</w:t>
      </w:r>
      <w:r w:rsidR="00D23ECC">
        <w:t xml:space="preserve"> </w:t>
      </w:r>
      <w:r>
        <w:t>action</w:t>
      </w:r>
      <w:r w:rsidR="00D23ECC">
        <w:t xml:space="preserve"> </w:t>
      </w:r>
      <w:r>
        <w:t>to</w:t>
      </w:r>
      <w:r w:rsidR="00D23ECC">
        <w:t xml:space="preserve"> </w:t>
      </w:r>
      <w:r>
        <w:t>serve</w:t>
      </w:r>
      <w:r w:rsidR="00D23ECC">
        <w:t xml:space="preserve"> </w:t>
      </w:r>
      <w:r>
        <w:t>the</w:t>
      </w:r>
      <w:r w:rsidR="00D23ECC">
        <w:t xml:space="preserve"> </w:t>
      </w:r>
      <w:r>
        <w:t>public</w:t>
      </w:r>
      <w:r w:rsidR="00D23ECC">
        <w:t xml:space="preserve"> </w:t>
      </w:r>
      <w:r>
        <w:t>interest.</w:t>
      </w:r>
      <w:r w:rsidR="00D23ECC">
        <w:t xml:space="preserve"> </w:t>
      </w:r>
      <w:r>
        <w:t>We</w:t>
      </w:r>
      <w:r w:rsidR="00D23ECC">
        <w:t xml:space="preserve"> </w:t>
      </w:r>
      <w:r>
        <w:t>exercise</w:t>
      </w:r>
      <w:r w:rsidR="00D23ECC">
        <w:t xml:space="preserve"> </w:t>
      </w:r>
      <w:r>
        <w:t>discretion,</w:t>
      </w:r>
      <w:r w:rsidR="00D23ECC">
        <w:t xml:space="preserve"> </w:t>
      </w:r>
      <w:r>
        <w:t>focusing</w:t>
      </w:r>
      <w:r w:rsidR="00D23ECC">
        <w:t xml:space="preserve"> </w:t>
      </w:r>
      <w:r>
        <w:t>on</w:t>
      </w:r>
      <w:r w:rsidR="00D23ECC">
        <w:t xml:space="preserve"> </w:t>
      </w:r>
      <w:r>
        <w:t>actions</w:t>
      </w:r>
      <w:r w:rsidR="00D23ECC">
        <w:t xml:space="preserve"> </w:t>
      </w:r>
      <w:r>
        <w:t>that</w:t>
      </w:r>
      <w:r w:rsidR="00D23ECC">
        <w:t xml:space="preserve"> </w:t>
      </w:r>
      <w:r>
        <w:t>benefit</w:t>
      </w:r>
      <w:r w:rsidR="00D23ECC">
        <w:t xml:space="preserve"> </w:t>
      </w:r>
      <w:r>
        <w:t>all</w:t>
      </w:r>
      <w:r w:rsidR="00D23ECC">
        <w:t xml:space="preserve"> </w:t>
      </w:r>
      <w:r>
        <w:t>consumers.</w:t>
      </w:r>
      <w:r w:rsidR="00D23ECC">
        <w:t xml:space="preserve"> </w:t>
      </w:r>
      <w:r>
        <w:t>We</w:t>
      </w:r>
      <w:r w:rsidR="00D23ECC">
        <w:t xml:space="preserve"> </w:t>
      </w:r>
      <w:r>
        <w:t>do</w:t>
      </w:r>
      <w:r w:rsidR="00D23ECC">
        <w:t xml:space="preserve"> </w:t>
      </w:r>
      <w:r>
        <w:t>not</w:t>
      </w:r>
      <w:r w:rsidR="00D23ECC">
        <w:t xml:space="preserve"> </w:t>
      </w:r>
      <w:r>
        <w:t>take</w:t>
      </w:r>
      <w:r w:rsidR="00D23ECC">
        <w:t xml:space="preserve"> </w:t>
      </w:r>
      <w:r>
        <w:t>action</w:t>
      </w:r>
      <w:r w:rsidR="00D23ECC">
        <w:t xml:space="preserve"> </w:t>
      </w:r>
      <w:r>
        <w:t>on</w:t>
      </w:r>
      <w:r w:rsidR="00D23ECC">
        <w:t xml:space="preserve"> </w:t>
      </w:r>
      <w:r>
        <w:t>behalf</w:t>
      </w:r>
      <w:r w:rsidR="00D23ECC">
        <w:t xml:space="preserve"> </w:t>
      </w:r>
      <w:r>
        <w:t>of</w:t>
      </w:r>
      <w:r w:rsidR="00D23ECC">
        <w:t xml:space="preserve"> </w:t>
      </w:r>
      <w:r>
        <w:t>individuals</w:t>
      </w:r>
      <w:r w:rsidR="00D23ECC">
        <w:t xml:space="preserve"> </w:t>
      </w:r>
      <w:r>
        <w:t>to</w:t>
      </w:r>
      <w:r w:rsidR="00D23ECC">
        <w:t xml:space="preserve"> </w:t>
      </w:r>
      <w:r>
        <w:t>obtain</w:t>
      </w:r>
      <w:r w:rsidR="00D23ECC">
        <w:t xml:space="preserve"> </w:t>
      </w:r>
      <w:r>
        <w:t>redress.</w:t>
      </w:r>
    </w:p>
    <w:p w14:paraId="3DFE0AF3" w14:textId="1527389F" w:rsidR="00DE3B0D" w:rsidRDefault="00DE3B0D" w:rsidP="00D23ECC">
      <w:pPr>
        <w:pStyle w:val="BodyText"/>
      </w:pPr>
      <w:r>
        <w:t>The</w:t>
      </w:r>
      <w:r w:rsidR="00D23ECC">
        <w:t xml:space="preserve"> </w:t>
      </w:r>
      <w:r>
        <w:t>nature</w:t>
      </w:r>
      <w:r w:rsidR="00D23ECC">
        <w:t xml:space="preserve"> </w:t>
      </w:r>
      <w:r>
        <w:t>of</w:t>
      </w:r>
      <w:r w:rsidR="00D23ECC">
        <w:t xml:space="preserve"> </w:t>
      </w:r>
      <w:r>
        <w:t>the</w:t>
      </w:r>
      <w:r w:rsidR="00D23ECC">
        <w:t xml:space="preserve"> </w:t>
      </w:r>
      <w:r>
        <w:t>problem</w:t>
      </w:r>
      <w:r w:rsidR="00D23ECC">
        <w:t xml:space="preserve"> </w:t>
      </w:r>
      <w:r>
        <w:t>and</w:t>
      </w:r>
      <w:r w:rsidR="00D23ECC">
        <w:t xml:space="preserve"> </w:t>
      </w:r>
      <w:r>
        <w:t>the</w:t>
      </w:r>
      <w:r w:rsidR="00D23ECC">
        <w:t xml:space="preserve"> </w:t>
      </w:r>
      <w:r>
        <w:t>desired</w:t>
      </w:r>
      <w:r w:rsidR="00D23ECC">
        <w:t xml:space="preserve"> </w:t>
      </w:r>
      <w:r>
        <w:t>outcome</w:t>
      </w:r>
      <w:r w:rsidR="00D23ECC">
        <w:t xml:space="preserve"> </w:t>
      </w:r>
      <w:r>
        <w:t>determine</w:t>
      </w:r>
      <w:r w:rsidR="00D23ECC">
        <w:t xml:space="preserve"> </w:t>
      </w:r>
      <w:r>
        <w:t>which</w:t>
      </w:r>
      <w:r w:rsidR="00D23ECC">
        <w:t xml:space="preserve"> </w:t>
      </w:r>
      <w:r>
        <w:t>compliance</w:t>
      </w:r>
      <w:r w:rsidR="00D23ECC">
        <w:t xml:space="preserve"> </w:t>
      </w:r>
      <w:r>
        <w:t>and</w:t>
      </w:r>
      <w:r w:rsidR="00D23ECC">
        <w:t xml:space="preserve"> </w:t>
      </w:r>
      <w:r>
        <w:t>enforcement</w:t>
      </w:r>
      <w:r w:rsidR="00D23ECC">
        <w:t xml:space="preserve"> </w:t>
      </w:r>
      <w:r>
        <w:t>approach</w:t>
      </w:r>
      <w:r w:rsidR="00D23ECC">
        <w:t xml:space="preserve"> </w:t>
      </w:r>
      <w:r>
        <w:t>we</w:t>
      </w:r>
      <w:r w:rsidR="00D23ECC">
        <w:t xml:space="preserve"> </w:t>
      </w:r>
      <w:r>
        <w:t>use.</w:t>
      </w:r>
      <w:r w:rsidR="00D23ECC">
        <w:t xml:space="preserve"> </w:t>
      </w:r>
      <w:r>
        <w:t>Where</w:t>
      </w:r>
      <w:r w:rsidR="00D23ECC">
        <w:t xml:space="preserve"> </w:t>
      </w:r>
      <w:r>
        <w:t>appropriate,</w:t>
      </w:r>
      <w:r w:rsidR="00D23ECC">
        <w:t xml:space="preserve"> </w:t>
      </w:r>
      <w:r>
        <w:t>we</w:t>
      </w:r>
      <w:r w:rsidR="00D23ECC">
        <w:t xml:space="preserve"> </w:t>
      </w:r>
      <w:r>
        <w:t>seek</w:t>
      </w:r>
      <w:r w:rsidR="00D23ECC">
        <w:t xml:space="preserve"> </w:t>
      </w:r>
      <w:r>
        <w:t>voluntary</w:t>
      </w:r>
      <w:r w:rsidR="00D23ECC">
        <w:t xml:space="preserve"> </w:t>
      </w:r>
      <w:r>
        <w:t>compliance.</w:t>
      </w:r>
    </w:p>
    <w:p w14:paraId="55F6CEE3" w14:textId="7F47F594" w:rsidR="00DE3B0D" w:rsidRDefault="00DE3B0D" w:rsidP="00D23ECC">
      <w:pPr>
        <w:pStyle w:val="BodyText"/>
      </w:pPr>
      <w:r>
        <w:t>Importantly,</w:t>
      </w:r>
      <w:r w:rsidR="00D23ECC">
        <w:t xml:space="preserve"> </w:t>
      </w:r>
      <w:r>
        <w:t>we</w:t>
      </w:r>
      <w:r w:rsidR="00D23ECC">
        <w:t xml:space="preserve"> </w:t>
      </w:r>
      <w:r>
        <w:t>have</w:t>
      </w:r>
      <w:r w:rsidR="00D23ECC">
        <w:t xml:space="preserve"> </w:t>
      </w:r>
      <w:r>
        <w:t>a</w:t>
      </w:r>
      <w:r w:rsidR="00D23ECC">
        <w:t xml:space="preserve"> </w:t>
      </w:r>
      <w:r>
        <w:t>full</w:t>
      </w:r>
      <w:r w:rsidR="00D23ECC">
        <w:t xml:space="preserve"> </w:t>
      </w:r>
      <w:r>
        <w:t>range</w:t>
      </w:r>
      <w:r w:rsidR="00D23ECC">
        <w:t xml:space="preserve"> </w:t>
      </w:r>
      <w:r>
        <w:t>of</w:t>
      </w:r>
      <w:r w:rsidR="00D23ECC">
        <w:t xml:space="preserve"> </w:t>
      </w:r>
      <w:r>
        <w:t>tools,</w:t>
      </w:r>
      <w:r w:rsidR="00D23ECC">
        <w:t xml:space="preserve"> </w:t>
      </w:r>
      <w:r>
        <w:t>including</w:t>
      </w:r>
      <w:r w:rsidR="00D23ECC">
        <w:t xml:space="preserve"> </w:t>
      </w:r>
      <w:r>
        <w:t>civil</w:t>
      </w:r>
      <w:r w:rsidR="00D23ECC">
        <w:t xml:space="preserve"> </w:t>
      </w:r>
      <w:r>
        <w:t>and</w:t>
      </w:r>
      <w:r w:rsidR="00D23ECC">
        <w:t xml:space="preserve"> </w:t>
      </w:r>
      <w:r>
        <w:t>criminal</w:t>
      </w:r>
      <w:r w:rsidR="00D23ECC">
        <w:t xml:space="preserve"> </w:t>
      </w:r>
      <w:r>
        <w:t>actions,</w:t>
      </w:r>
      <w:r w:rsidR="00D23ECC">
        <w:t xml:space="preserve"> </w:t>
      </w:r>
      <w:r>
        <w:t>infringements</w:t>
      </w:r>
      <w:r w:rsidR="00D23ECC">
        <w:t xml:space="preserve"> </w:t>
      </w:r>
      <w:r>
        <w:t>and</w:t>
      </w:r>
      <w:r w:rsidR="00D23ECC">
        <w:t xml:space="preserve"> </w:t>
      </w:r>
      <w:r>
        <w:t>public</w:t>
      </w:r>
      <w:r w:rsidR="00D23ECC">
        <w:t xml:space="preserve"> </w:t>
      </w:r>
      <w:r>
        <w:t>warnings</w:t>
      </w:r>
      <w:r w:rsidR="00D23ECC">
        <w:t xml:space="preserve"> </w:t>
      </w:r>
      <w:r>
        <w:t>to</w:t>
      </w:r>
      <w:r w:rsidR="00D23ECC">
        <w:t xml:space="preserve"> </w:t>
      </w:r>
      <w:r>
        <w:t>protect</w:t>
      </w:r>
      <w:r w:rsidR="00D23ECC">
        <w:t xml:space="preserve"> </w:t>
      </w:r>
      <w:r>
        <w:t>the</w:t>
      </w:r>
      <w:r w:rsidR="00D23ECC">
        <w:t xml:space="preserve"> </w:t>
      </w:r>
      <w:r>
        <w:t>Victorian</w:t>
      </w:r>
      <w:r w:rsidR="00D23ECC">
        <w:t xml:space="preserve"> </w:t>
      </w:r>
      <w:r>
        <w:t>community</w:t>
      </w:r>
      <w:r w:rsidR="00D23ECC">
        <w:t xml:space="preserve"> </w:t>
      </w:r>
      <w:r>
        <w:t>by</w:t>
      </w:r>
      <w:r w:rsidR="00D23ECC">
        <w:t xml:space="preserve"> </w:t>
      </w:r>
      <w:r>
        <w:t>holding</w:t>
      </w:r>
      <w:r w:rsidR="00D23ECC">
        <w:t xml:space="preserve"> </w:t>
      </w:r>
      <w:r>
        <w:t>businesses</w:t>
      </w:r>
      <w:r w:rsidR="00D23ECC">
        <w:t xml:space="preserve"> </w:t>
      </w:r>
      <w:r>
        <w:t>accountable</w:t>
      </w:r>
      <w:r w:rsidR="00D23ECC">
        <w:t xml:space="preserve"> </w:t>
      </w:r>
      <w:r>
        <w:t>for</w:t>
      </w:r>
      <w:r w:rsidR="00D23ECC">
        <w:t xml:space="preserve"> </w:t>
      </w:r>
      <w:r>
        <w:t>unlawful</w:t>
      </w:r>
      <w:r w:rsidR="00D23ECC">
        <w:t xml:space="preserve"> </w:t>
      </w:r>
      <w:r>
        <w:t>conduct.</w:t>
      </w:r>
    </w:p>
    <w:p w14:paraId="786BC6A8" w14:textId="0747719B" w:rsidR="00DE3B0D" w:rsidRDefault="00DE3B0D" w:rsidP="00AE374E">
      <w:pPr>
        <w:pStyle w:val="Heading2"/>
      </w:pPr>
      <w:bookmarkStart w:id="11" w:name="_Toc85912296"/>
      <w:r>
        <w:lastRenderedPageBreak/>
        <w:t>Our</w:t>
      </w:r>
      <w:r w:rsidR="00D23ECC">
        <w:t xml:space="preserve"> </w:t>
      </w:r>
      <w:r>
        <w:t>performance</w:t>
      </w:r>
      <w:bookmarkEnd w:id="11"/>
    </w:p>
    <w:p w14:paraId="59B12652" w14:textId="53329C4C" w:rsidR="00DE3B0D" w:rsidRDefault="00DE3B0D" w:rsidP="00D23ECC">
      <w:pPr>
        <w:pStyle w:val="BodyText"/>
      </w:pPr>
      <w:r>
        <w:t>The</w:t>
      </w:r>
      <w:r w:rsidR="00D23ECC">
        <w:t xml:space="preserve"> </w:t>
      </w:r>
      <w:r>
        <w:t>COVID-19</w:t>
      </w:r>
      <w:r w:rsidR="00D23ECC">
        <w:t xml:space="preserve"> </w:t>
      </w:r>
      <w:r>
        <w:t>pandemic</w:t>
      </w:r>
      <w:r w:rsidR="00D23ECC">
        <w:t xml:space="preserve"> </w:t>
      </w:r>
      <w:r>
        <w:t>continued</w:t>
      </w:r>
      <w:r w:rsidR="00D23ECC">
        <w:t xml:space="preserve"> </w:t>
      </w:r>
      <w:r>
        <w:t>to</w:t>
      </w:r>
      <w:r w:rsidR="00D23ECC">
        <w:t xml:space="preserve"> </w:t>
      </w:r>
      <w:r>
        <w:t>impact</w:t>
      </w:r>
      <w:r w:rsidR="00D23ECC">
        <w:t xml:space="preserve"> </w:t>
      </w:r>
      <w:r>
        <w:t>the</w:t>
      </w:r>
      <w:r w:rsidR="00D23ECC">
        <w:t xml:space="preserve"> </w:t>
      </w:r>
      <w:r>
        <w:t>services</w:t>
      </w:r>
      <w:r w:rsidR="00D23ECC">
        <w:t xml:space="preserve"> </w:t>
      </w:r>
      <w:r>
        <w:t>we</w:t>
      </w:r>
      <w:r w:rsidR="00D23ECC">
        <w:t xml:space="preserve"> </w:t>
      </w:r>
      <w:r>
        <w:t>delivered</w:t>
      </w:r>
      <w:r w:rsidR="00D23ECC">
        <w:t xml:space="preserve"> </w:t>
      </w:r>
      <w:r>
        <w:t>in</w:t>
      </w:r>
      <w:r w:rsidR="00D23ECC">
        <w:t xml:space="preserve"> </w:t>
      </w:r>
      <w:r>
        <w:t>2020–21.</w:t>
      </w:r>
    </w:p>
    <w:p w14:paraId="7C180B66" w14:textId="2C3A143C" w:rsidR="00DE3B0D" w:rsidRDefault="00DE3B0D" w:rsidP="00D23ECC">
      <w:pPr>
        <w:pStyle w:val="BodyText"/>
      </w:pPr>
      <w:r>
        <w:t>Some</w:t>
      </w:r>
      <w:r w:rsidR="00D23ECC">
        <w:t xml:space="preserve"> </w:t>
      </w:r>
      <w:r>
        <w:t>of</w:t>
      </w:r>
      <w:r w:rsidR="00D23ECC">
        <w:t xml:space="preserve"> </w:t>
      </w:r>
      <w:r>
        <w:t>our</w:t>
      </w:r>
      <w:r w:rsidR="00D23ECC">
        <w:t xml:space="preserve"> </w:t>
      </w:r>
      <w:r>
        <w:t>performance</w:t>
      </w:r>
      <w:r w:rsidR="00D23ECC">
        <w:t xml:space="preserve"> </w:t>
      </w:r>
      <w:r>
        <w:t>measures,</w:t>
      </w:r>
      <w:r w:rsidR="00D23ECC">
        <w:t xml:space="preserve"> </w:t>
      </w:r>
      <w:r>
        <w:t>which</w:t>
      </w:r>
      <w:r w:rsidR="00D23ECC">
        <w:t xml:space="preserve"> </w:t>
      </w:r>
      <w:r>
        <w:t>are</w:t>
      </w:r>
      <w:r w:rsidR="00D23ECC">
        <w:t xml:space="preserve"> </w:t>
      </w:r>
      <w:r>
        <w:t>demand-driven</w:t>
      </w:r>
      <w:r w:rsidR="00D23ECC">
        <w:t xml:space="preserve"> </w:t>
      </w:r>
      <w:r>
        <w:t>and</w:t>
      </w:r>
      <w:r w:rsidR="00D23ECC">
        <w:t xml:space="preserve"> </w:t>
      </w:r>
      <w:r>
        <w:t>vary</w:t>
      </w:r>
      <w:r w:rsidR="00D23ECC">
        <w:t xml:space="preserve"> </w:t>
      </w:r>
      <w:r>
        <w:t>across</w:t>
      </w:r>
      <w:r w:rsidR="00D23ECC">
        <w:t xml:space="preserve"> </w:t>
      </w:r>
      <w:r>
        <w:t>business</w:t>
      </w:r>
      <w:r w:rsidR="00D23ECC">
        <w:t xml:space="preserve"> </w:t>
      </w:r>
      <w:r>
        <w:t>activity</w:t>
      </w:r>
      <w:r w:rsidR="00D23ECC">
        <w:t xml:space="preserve"> </w:t>
      </w:r>
      <w:r>
        <w:t>levels,</w:t>
      </w:r>
      <w:r w:rsidR="00D23ECC">
        <w:t xml:space="preserve"> </w:t>
      </w:r>
      <w:r>
        <w:t>decreased</w:t>
      </w:r>
      <w:r w:rsidR="00D23ECC">
        <w:t xml:space="preserve"> </w:t>
      </w:r>
      <w:r>
        <w:t>or</w:t>
      </w:r>
      <w:r w:rsidR="00D23ECC">
        <w:t xml:space="preserve"> </w:t>
      </w:r>
      <w:r>
        <w:t>increased</w:t>
      </w:r>
      <w:r w:rsidR="00D23ECC">
        <w:t xml:space="preserve"> </w:t>
      </w:r>
      <w:r>
        <w:t>accordingly.</w:t>
      </w:r>
      <w:r w:rsidR="00D23ECC">
        <w:t xml:space="preserve"> </w:t>
      </w:r>
      <w:r>
        <w:t>We</w:t>
      </w:r>
      <w:r w:rsidR="00D23ECC">
        <w:t xml:space="preserve"> </w:t>
      </w:r>
      <w:r>
        <w:t>continued</w:t>
      </w:r>
      <w:r w:rsidR="00D23ECC">
        <w:t xml:space="preserve"> </w:t>
      </w:r>
      <w:r>
        <w:t>to</w:t>
      </w:r>
      <w:r w:rsidR="00D23ECC">
        <w:t xml:space="preserve"> </w:t>
      </w:r>
      <w:r>
        <w:t>focus</w:t>
      </w:r>
      <w:r w:rsidR="00D23ECC">
        <w:t xml:space="preserve"> </w:t>
      </w:r>
      <w:r>
        <w:t>our</w:t>
      </w:r>
      <w:r w:rsidR="00D23ECC">
        <w:t xml:space="preserve"> </w:t>
      </w:r>
      <w:r>
        <w:t>efforts</w:t>
      </w:r>
      <w:r w:rsidR="00D23ECC">
        <w:t xml:space="preserve"> </w:t>
      </w:r>
      <w:r>
        <w:t>on</w:t>
      </w:r>
      <w:r w:rsidR="00D23ECC">
        <w:t xml:space="preserve"> </w:t>
      </w:r>
      <w:r>
        <w:t>providing</w:t>
      </w:r>
      <w:r w:rsidR="00D23ECC">
        <w:t xml:space="preserve"> </w:t>
      </w:r>
      <w:r>
        <w:t>the</w:t>
      </w:r>
      <w:r w:rsidR="00D23ECC">
        <w:t xml:space="preserve"> </w:t>
      </w:r>
      <w:r>
        <w:t>services</w:t>
      </w:r>
      <w:r w:rsidR="00D23ECC">
        <w:t xml:space="preserve"> </w:t>
      </w:r>
      <w:r>
        <w:t>Victorians</w:t>
      </w:r>
      <w:r w:rsidR="00D23ECC">
        <w:t xml:space="preserve"> </w:t>
      </w:r>
      <w:r>
        <w:t>most</w:t>
      </w:r>
      <w:r w:rsidR="00D23ECC">
        <w:t xml:space="preserve"> </w:t>
      </w:r>
      <w:r>
        <w:t>needed</w:t>
      </w:r>
      <w:r w:rsidR="00D23ECC">
        <w:t xml:space="preserve"> </w:t>
      </w:r>
      <w:r>
        <w:t>from</w:t>
      </w:r>
      <w:r w:rsidR="00D23ECC">
        <w:t xml:space="preserve"> </w:t>
      </w:r>
      <w:r>
        <w:t>us</w:t>
      </w:r>
      <w:r w:rsidR="00D23ECC">
        <w:t xml:space="preserve"> </w:t>
      </w:r>
      <w:r>
        <w:t>during</w:t>
      </w:r>
      <w:r w:rsidR="00D23ECC">
        <w:t xml:space="preserve"> </w:t>
      </w:r>
      <w:r>
        <w:t>this</w:t>
      </w:r>
      <w:r w:rsidR="00D23ECC">
        <w:t xml:space="preserve"> </w:t>
      </w:r>
      <w:r>
        <w:t>time</w:t>
      </w:r>
      <w:r w:rsidR="00D23ECC">
        <w:t xml:space="preserve"> </w:t>
      </w:r>
      <w:r>
        <w:t>and</w:t>
      </w:r>
      <w:r w:rsidR="00D23ECC">
        <w:t xml:space="preserve"> </w:t>
      </w:r>
      <w:r>
        <w:t>protecting</w:t>
      </w:r>
      <w:r w:rsidR="00D23ECC">
        <w:t xml:space="preserve"> </w:t>
      </w:r>
      <w:r>
        <w:t>the</w:t>
      </w:r>
      <w:r w:rsidR="00D23ECC">
        <w:t xml:space="preserve"> </w:t>
      </w:r>
      <w:r>
        <w:t>rights</w:t>
      </w:r>
      <w:r w:rsidR="00D23ECC">
        <w:t xml:space="preserve"> </w:t>
      </w:r>
      <w:r>
        <w:t>of</w:t>
      </w:r>
      <w:r w:rsidR="00D23ECC">
        <w:t xml:space="preserve"> </w:t>
      </w:r>
      <w:r>
        <w:t>vulnerable</w:t>
      </w:r>
      <w:r w:rsidR="00D23ECC">
        <w:t xml:space="preserve"> </w:t>
      </w:r>
      <w:r>
        <w:t>groups</w:t>
      </w:r>
      <w:r w:rsidR="00D23ECC">
        <w:t xml:space="preserve"> </w:t>
      </w:r>
      <w:r>
        <w:t>to</w:t>
      </w:r>
      <w:r w:rsidR="00D23ECC">
        <w:t xml:space="preserve"> </w:t>
      </w:r>
      <w:r>
        <w:t>ensure</w:t>
      </w:r>
      <w:r w:rsidR="00D23ECC">
        <w:t xml:space="preserve"> </w:t>
      </w:r>
      <w:r>
        <w:t>fair</w:t>
      </w:r>
      <w:r w:rsidR="00D23ECC">
        <w:t xml:space="preserve"> </w:t>
      </w:r>
      <w:r>
        <w:t>and</w:t>
      </w:r>
      <w:r w:rsidR="00D23ECC">
        <w:t xml:space="preserve"> </w:t>
      </w:r>
      <w:r>
        <w:t>safe</w:t>
      </w:r>
      <w:r w:rsidR="00D23ECC">
        <w:t xml:space="preserve"> </w:t>
      </w:r>
      <w:r>
        <w:t>treatment.</w:t>
      </w:r>
    </w:p>
    <w:p w14:paraId="417A52AC" w14:textId="717166D2" w:rsidR="00DE3B0D" w:rsidRDefault="00DE3B0D" w:rsidP="00D23ECC">
      <w:pPr>
        <w:pStyle w:val="BodyText"/>
      </w:pPr>
      <w:r>
        <w:t>We</w:t>
      </w:r>
      <w:r w:rsidR="00D23ECC">
        <w:t xml:space="preserve"> </w:t>
      </w:r>
      <w:r>
        <w:t>prioritised</w:t>
      </w:r>
      <w:r w:rsidR="00D23ECC">
        <w:t xml:space="preserve"> </w:t>
      </w:r>
      <w:r>
        <w:t>the</w:t>
      </w:r>
      <w:r w:rsidR="00D23ECC">
        <w:t xml:space="preserve"> </w:t>
      </w:r>
      <w:r>
        <w:t>delivery</w:t>
      </w:r>
      <w:r w:rsidR="00D23ECC">
        <w:t xml:space="preserve"> </w:t>
      </w:r>
      <w:r>
        <w:t>of</w:t>
      </w:r>
      <w:r w:rsidR="00D23ECC">
        <w:t xml:space="preserve"> </w:t>
      </w:r>
      <w:r>
        <w:t>services</w:t>
      </w:r>
      <w:r w:rsidR="00D23ECC">
        <w:t xml:space="preserve"> </w:t>
      </w:r>
      <w:r>
        <w:t>to</w:t>
      </w:r>
      <w:r w:rsidR="00D23ECC">
        <w:t xml:space="preserve"> </w:t>
      </w:r>
      <w:r>
        <w:t>support</w:t>
      </w:r>
      <w:r w:rsidR="00D23ECC">
        <w:t xml:space="preserve"> </w:t>
      </w:r>
      <w:r>
        <w:t>the</w:t>
      </w:r>
      <w:r w:rsidR="00D23ECC">
        <w:t xml:space="preserve"> </w:t>
      </w:r>
      <w:r>
        <w:t>Residential</w:t>
      </w:r>
      <w:r w:rsidR="00D23ECC">
        <w:t xml:space="preserve"> </w:t>
      </w:r>
      <w:r>
        <w:t>Tenancies</w:t>
      </w:r>
      <w:r w:rsidR="00D23ECC">
        <w:t xml:space="preserve"> </w:t>
      </w:r>
      <w:r>
        <w:t>Dispute</w:t>
      </w:r>
      <w:r w:rsidR="00D23ECC">
        <w:t xml:space="preserve"> </w:t>
      </w:r>
      <w:r>
        <w:t>Resolution</w:t>
      </w:r>
      <w:r w:rsidR="00D23ECC">
        <w:t xml:space="preserve"> </w:t>
      </w:r>
      <w:r>
        <w:t>Scheme</w:t>
      </w:r>
      <w:r w:rsidR="00D23ECC">
        <w:t xml:space="preserve"> </w:t>
      </w:r>
      <w:r>
        <w:t>(RTDRS),</w:t>
      </w:r>
      <w:r w:rsidR="00D23ECC">
        <w:t xml:space="preserve"> </w:t>
      </w:r>
      <w:r>
        <w:t>which</w:t>
      </w:r>
      <w:r w:rsidR="00D23ECC">
        <w:t xml:space="preserve"> </w:t>
      </w:r>
      <w:r>
        <w:t>enabled</w:t>
      </w:r>
      <w:r w:rsidR="00D23ECC">
        <w:t xml:space="preserve"> </w:t>
      </w:r>
      <w:r>
        <w:t>Victorians</w:t>
      </w:r>
      <w:r w:rsidR="00D23ECC">
        <w:t xml:space="preserve"> </w:t>
      </w:r>
      <w:r>
        <w:t>to</w:t>
      </w:r>
      <w:r w:rsidR="00D23ECC">
        <w:t xml:space="preserve"> </w:t>
      </w:r>
      <w:r>
        <w:t>lodge</w:t>
      </w:r>
      <w:r w:rsidR="00D23ECC">
        <w:t xml:space="preserve"> </w:t>
      </w:r>
      <w:r>
        <w:t>nearly</w:t>
      </w:r>
      <w:r w:rsidR="00D23ECC">
        <w:t xml:space="preserve"> </w:t>
      </w:r>
      <w:r>
        <w:t>73,000</w:t>
      </w:r>
      <w:r w:rsidR="00D23ECC">
        <w:t xml:space="preserve"> </w:t>
      </w:r>
      <w:r>
        <w:t>reduced</w:t>
      </w:r>
      <w:r w:rsidR="00D23ECC">
        <w:t xml:space="preserve"> </w:t>
      </w:r>
      <w:r>
        <w:t>rent</w:t>
      </w:r>
      <w:r w:rsidR="00D23ECC">
        <w:t xml:space="preserve"> </w:t>
      </w:r>
      <w:r>
        <w:t>agreements</w:t>
      </w:r>
      <w:r w:rsidR="00D23ECC">
        <w:t xml:space="preserve"> </w:t>
      </w:r>
      <w:r>
        <w:t>with</w:t>
      </w:r>
      <w:r w:rsidR="00D23ECC">
        <w:t xml:space="preserve"> </w:t>
      </w:r>
      <w:r>
        <w:t>an</w:t>
      </w:r>
      <w:r w:rsidR="00F22B33">
        <w:t> </w:t>
      </w:r>
      <w:r>
        <w:t>average</w:t>
      </w:r>
      <w:r w:rsidR="00D23ECC">
        <w:t xml:space="preserve"> </w:t>
      </w:r>
      <w:r>
        <w:t>23</w:t>
      </w:r>
      <w:r w:rsidR="00D23ECC">
        <w:t xml:space="preserve"> </w:t>
      </w:r>
      <w:r>
        <w:t>per</w:t>
      </w:r>
      <w:r w:rsidR="00D23ECC">
        <w:t xml:space="preserve"> </w:t>
      </w:r>
      <w:r>
        <w:t>cent</w:t>
      </w:r>
      <w:r w:rsidR="00D23ECC">
        <w:t xml:space="preserve"> </w:t>
      </w:r>
      <w:r>
        <w:t>decrease</w:t>
      </w:r>
      <w:r w:rsidR="00D23ECC">
        <w:t xml:space="preserve"> </w:t>
      </w:r>
      <w:r>
        <w:t>in</w:t>
      </w:r>
      <w:r w:rsidR="00D23ECC">
        <w:t xml:space="preserve"> </w:t>
      </w:r>
      <w:r>
        <w:t>rent</w:t>
      </w:r>
      <w:r w:rsidR="00D23ECC">
        <w:t xml:space="preserve"> </w:t>
      </w:r>
      <w:r>
        <w:t>payments</w:t>
      </w:r>
      <w:r w:rsidR="00D23ECC">
        <w:t xml:space="preserve"> </w:t>
      </w:r>
      <w:r>
        <w:t>before</w:t>
      </w:r>
      <w:r w:rsidR="00D23ECC">
        <w:t xml:space="preserve"> </w:t>
      </w:r>
      <w:r>
        <w:t>its</w:t>
      </w:r>
      <w:r w:rsidR="00D23ECC">
        <w:t xml:space="preserve"> </w:t>
      </w:r>
      <w:r>
        <w:t>conclusion</w:t>
      </w:r>
      <w:r w:rsidR="00D23ECC">
        <w:t xml:space="preserve"> </w:t>
      </w:r>
      <w:r>
        <w:t>on</w:t>
      </w:r>
      <w:r w:rsidR="00D23ECC">
        <w:t xml:space="preserve"> </w:t>
      </w:r>
      <w:r>
        <w:t>28</w:t>
      </w:r>
      <w:r w:rsidR="00D23ECC">
        <w:t xml:space="preserve"> </w:t>
      </w:r>
      <w:r>
        <w:t>March</w:t>
      </w:r>
      <w:r w:rsidR="00D23ECC">
        <w:t xml:space="preserve"> </w:t>
      </w:r>
      <w:r>
        <w:t>2021.</w:t>
      </w:r>
    </w:p>
    <w:p w14:paraId="0CC26BD3" w14:textId="2C7DF206" w:rsidR="00DE3B0D" w:rsidRDefault="00DE3B0D" w:rsidP="00D23ECC">
      <w:pPr>
        <w:pStyle w:val="BodyText"/>
      </w:pPr>
      <w:r>
        <w:t>While</w:t>
      </w:r>
      <w:r w:rsidR="00D23ECC">
        <w:t xml:space="preserve"> </w:t>
      </w:r>
      <w:r>
        <w:t>our</w:t>
      </w:r>
      <w:r w:rsidR="00D23ECC">
        <w:t xml:space="preserve"> </w:t>
      </w:r>
      <w:r>
        <w:t>telephone</w:t>
      </w:r>
      <w:r w:rsidR="00D23ECC">
        <w:t xml:space="preserve"> </w:t>
      </w:r>
      <w:r>
        <w:t>services</w:t>
      </w:r>
      <w:r w:rsidR="00D23ECC">
        <w:t xml:space="preserve"> </w:t>
      </w:r>
      <w:r>
        <w:t>were</w:t>
      </w:r>
      <w:r w:rsidR="00D23ECC">
        <w:t xml:space="preserve"> </w:t>
      </w:r>
      <w:r>
        <w:t>impacted</w:t>
      </w:r>
      <w:r w:rsidR="00D23ECC">
        <w:t xml:space="preserve"> </w:t>
      </w:r>
      <w:r>
        <w:t>by</w:t>
      </w:r>
      <w:r w:rsidR="00D23ECC">
        <w:t xml:space="preserve"> </w:t>
      </w:r>
      <w:r>
        <w:t>the</w:t>
      </w:r>
      <w:r w:rsidR="00D23ECC">
        <w:t xml:space="preserve"> </w:t>
      </w:r>
      <w:r>
        <w:t>need</w:t>
      </w:r>
      <w:r w:rsidR="00D23ECC">
        <w:t xml:space="preserve"> </w:t>
      </w:r>
      <w:r>
        <w:t>for</w:t>
      </w:r>
      <w:r w:rsidR="00D23ECC">
        <w:t xml:space="preserve"> </w:t>
      </w:r>
      <w:r>
        <w:t>our</w:t>
      </w:r>
      <w:r w:rsidR="00D23ECC">
        <w:t xml:space="preserve"> </w:t>
      </w:r>
      <w:r>
        <w:t>contact</w:t>
      </w:r>
      <w:r w:rsidR="00D23ECC">
        <w:t xml:space="preserve"> </w:t>
      </w:r>
      <w:r>
        <w:t>centre</w:t>
      </w:r>
      <w:r w:rsidR="00D23ECC">
        <w:t xml:space="preserve"> </w:t>
      </w:r>
      <w:r>
        <w:t>staff</w:t>
      </w:r>
      <w:r w:rsidR="00D23ECC">
        <w:t xml:space="preserve"> </w:t>
      </w:r>
      <w:r>
        <w:t>to</w:t>
      </w:r>
      <w:r w:rsidR="00D23ECC">
        <w:t xml:space="preserve"> </w:t>
      </w:r>
      <w:r>
        <w:t>work</w:t>
      </w:r>
      <w:r w:rsidR="00D23ECC">
        <w:t xml:space="preserve"> </w:t>
      </w:r>
      <w:r>
        <w:t>from</w:t>
      </w:r>
      <w:r w:rsidR="00D23ECC">
        <w:t xml:space="preserve"> </w:t>
      </w:r>
      <w:r>
        <w:t>home</w:t>
      </w:r>
      <w:r w:rsidR="00D23ECC">
        <w:t xml:space="preserve"> </w:t>
      </w:r>
      <w:r>
        <w:t>and</w:t>
      </w:r>
      <w:r w:rsidR="00D23ECC">
        <w:t xml:space="preserve"> </w:t>
      </w:r>
      <w:r>
        <w:t>prioritisation</w:t>
      </w:r>
      <w:r w:rsidR="00D23ECC">
        <w:t xml:space="preserve"> </w:t>
      </w:r>
      <w:r>
        <w:t>of</w:t>
      </w:r>
      <w:r w:rsidR="00D23ECC">
        <w:t xml:space="preserve"> </w:t>
      </w:r>
      <w:r>
        <w:t>the</w:t>
      </w:r>
      <w:r w:rsidR="00D23ECC">
        <w:t xml:space="preserve"> </w:t>
      </w:r>
      <w:r>
        <w:t>RTDRS,</w:t>
      </w:r>
      <w:r w:rsidR="00D23ECC">
        <w:t xml:space="preserve"> </w:t>
      </w:r>
      <w:r>
        <w:t>we</w:t>
      </w:r>
      <w:r w:rsidR="00D23ECC">
        <w:t xml:space="preserve"> </w:t>
      </w:r>
      <w:r>
        <w:t>continued</w:t>
      </w:r>
      <w:r w:rsidR="00D23ECC">
        <w:t xml:space="preserve"> </w:t>
      </w:r>
      <w:r>
        <w:t>to</w:t>
      </w:r>
      <w:r w:rsidR="00D23ECC">
        <w:t xml:space="preserve"> </w:t>
      </w:r>
      <w:r>
        <w:t>focus</w:t>
      </w:r>
      <w:r w:rsidR="00D23ECC">
        <w:t xml:space="preserve"> </w:t>
      </w:r>
      <w:r>
        <w:t>on</w:t>
      </w:r>
      <w:r w:rsidR="00D23ECC">
        <w:t xml:space="preserve"> </w:t>
      </w:r>
      <w:r>
        <w:t>providing</w:t>
      </w:r>
      <w:r w:rsidR="00D23ECC">
        <w:t xml:space="preserve"> </w:t>
      </w:r>
      <w:r>
        <w:t>crucial</w:t>
      </w:r>
      <w:r w:rsidR="00D23ECC">
        <w:t xml:space="preserve"> </w:t>
      </w:r>
      <w:r>
        <w:t>information</w:t>
      </w:r>
      <w:r w:rsidR="00D23ECC">
        <w:t xml:space="preserve"> </w:t>
      </w:r>
      <w:r>
        <w:t>and</w:t>
      </w:r>
      <w:r w:rsidR="00D23ECC">
        <w:t xml:space="preserve"> </w:t>
      </w:r>
      <w:r>
        <w:t>advice</w:t>
      </w:r>
      <w:r w:rsidR="00D23ECC">
        <w:t xml:space="preserve"> </w:t>
      </w:r>
      <w:r>
        <w:t>to</w:t>
      </w:r>
      <w:r w:rsidR="00D23ECC">
        <w:t xml:space="preserve"> </w:t>
      </w:r>
      <w:r>
        <w:t>vulnerable</w:t>
      </w:r>
      <w:r w:rsidR="00D23ECC">
        <w:t xml:space="preserve"> </w:t>
      </w:r>
      <w:r>
        <w:t>members</w:t>
      </w:r>
      <w:r w:rsidR="00D23ECC">
        <w:t xml:space="preserve"> </w:t>
      </w:r>
      <w:r>
        <w:t>of</w:t>
      </w:r>
      <w:r w:rsidR="00D23ECC">
        <w:t xml:space="preserve"> </w:t>
      </w:r>
      <w:r>
        <w:t>the</w:t>
      </w:r>
      <w:r w:rsidR="00D23ECC">
        <w:t xml:space="preserve"> </w:t>
      </w:r>
      <w:r>
        <w:t>community,</w:t>
      </w:r>
      <w:r w:rsidR="00D23ECC">
        <w:t xml:space="preserve"> </w:t>
      </w:r>
      <w:r>
        <w:t>including</w:t>
      </w:r>
      <w:r w:rsidR="00D23ECC">
        <w:t xml:space="preserve"> </w:t>
      </w:r>
      <w:r>
        <w:t>through</w:t>
      </w:r>
      <w:r w:rsidR="00D23ECC">
        <w:t xml:space="preserve"> </w:t>
      </w:r>
      <w:r>
        <w:t>online</w:t>
      </w:r>
      <w:r w:rsidR="00D23ECC">
        <w:t xml:space="preserve"> </w:t>
      </w:r>
      <w:r>
        <w:t>services.</w:t>
      </w:r>
    </w:p>
    <w:p w14:paraId="19AF413E" w14:textId="3A82A777" w:rsidR="00DE3B0D" w:rsidRDefault="00DE3B0D" w:rsidP="00D23ECC">
      <w:pPr>
        <w:pStyle w:val="BodyText"/>
      </w:pPr>
      <w:r>
        <w:t>We</w:t>
      </w:r>
      <w:r w:rsidR="00D23ECC">
        <w:t xml:space="preserve"> </w:t>
      </w:r>
      <w:r>
        <w:t>continued</w:t>
      </w:r>
      <w:r w:rsidR="00D23ECC">
        <w:t xml:space="preserve"> </w:t>
      </w:r>
      <w:r>
        <w:t>to</w:t>
      </w:r>
      <w:r w:rsidR="00D23ECC">
        <w:t xml:space="preserve"> </w:t>
      </w:r>
      <w:r>
        <w:t>deliver</w:t>
      </w:r>
      <w:r w:rsidR="00D23ECC">
        <w:t xml:space="preserve"> </w:t>
      </w:r>
      <w:r>
        <w:t>thousands</w:t>
      </w:r>
      <w:r w:rsidR="00D23ECC">
        <w:t xml:space="preserve"> </w:t>
      </w:r>
      <w:r>
        <w:t>of</w:t>
      </w:r>
      <w:r w:rsidR="00D23ECC">
        <w:t xml:space="preserve"> </w:t>
      </w:r>
      <w:r>
        <w:t>licensing</w:t>
      </w:r>
      <w:r w:rsidR="00D23ECC">
        <w:t xml:space="preserve"> </w:t>
      </w:r>
      <w:r>
        <w:t>and</w:t>
      </w:r>
      <w:r w:rsidR="00D23ECC">
        <w:t xml:space="preserve"> </w:t>
      </w:r>
      <w:r>
        <w:t>registration</w:t>
      </w:r>
      <w:r w:rsidR="00D23ECC">
        <w:t xml:space="preserve"> </w:t>
      </w:r>
      <w:r>
        <w:t>services</w:t>
      </w:r>
      <w:r w:rsidR="00D23ECC">
        <w:t xml:space="preserve"> </w:t>
      </w:r>
      <w:r>
        <w:t>to</w:t>
      </w:r>
      <w:r w:rsidR="00D23ECC">
        <w:t xml:space="preserve"> </w:t>
      </w:r>
      <w:r>
        <w:t>Victorian</w:t>
      </w:r>
      <w:r w:rsidR="00D23ECC">
        <w:t xml:space="preserve"> </w:t>
      </w:r>
      <w:r>
        <w:t>businesses</w:t>
      </w:r>
      <w:r w:rsidR="00D23ECC">
        <w:t xml:space="preserve"> </w:t>
      </w:r>
      <w:r>
        <w:t>and</w:t>
      </w:r>
      <w:r w:rsidR="00D23ECC">
        <w:t xml:space="preserve"> </w:t>
      </w:r>
      <w:r>
        <w:t>community</w:t>
      </w:r>
      <w:r w:rsidR="00D23ECC">
        <w:t xml:space="preserve"> </w:t>
      </w:r>
      <w:r>
        <w:t>organisations</w:t>
      </w:r>
      <w:r w:rsidR="00D23ECC">
        <w:t xml:space="preserve"> </w:t>
      </w:r>
      <w:r>
        <w:t>and,</w:t>
      </w:r>
      <w:r w:rsidR="00D23ECC">
        <w:t xml:space="preserve"> </w:t>
      </w:r>
      <w:r>
        <w:t>where</w:t>
      </w:r>
      <w:r w:rsidR="00D23ECC">
        <w:t xml:space="preserve"> </w:t>
      </w:r>
      <w:r>
        <w:t>required,</w:t>
      </w:r>
      <w:r w:rsidR="00D23ECC">
        <w:t xml:space="preserve"> </w:t>
      </w:r>
      <w:r>
        <w:t>compliance</w:t>
      </w:r>
      <w:r w:rsidR="00D23ECC">
        <w:t xml:space="preserve"> </w:t>
      </w:r>
      <w:r>
        <w:t>and</w:t>
      </w:r>
      <w:r w:rsidR="00D23ECC">
        <w:t xml:space="preserve"> </w:t>
      </w:r>
      <w:r>
        <w:t>enforcement</w:t>
      </w:r>
      <w:r w:rsidR="00D23ECC">
        <w:t xml:space="preserve"> </w:t>
      </w:r>
      <w:r>
        <w:t>activities.</w:t>
      </w:r>
    </w:p>
    <w:p w14:paraId="736694DA" w14:textId="528E36F3" w:rsidR="00DE3B0D" w:rsidRDefault="00DE3B0D" w:rsidP="00D23ECC">
      <w:pPr>
        <w:pStyle w:val="BodyText"/>
      </w:pPr>
      <w:r>
        <w:t>We</w:t>
      </w:r>
      <w:r w:rsidR="00D23ECC">
        <w:t xml:space="preserve"> </w:t>
      </w:r>
      <w:r>
        <w:t>also</w:t>
      </w:r>
      <w:r w:rsidR="00D23ECC">
        <w:t xml:space="preserve"> </w:t>
      </w:r>
      <w:r>
        <w:t>supported</w:t>
      </w:r>
      <w:r w:rsidR="00D23ECC">
        <w:t xml:space="preserve"> </w:t>
      </w:r>
      <w:r>
        <w:t>financial</w:t>
      </w:r>
      <w:r w:rsidR="00D23ECC">
        <w:t xml:space="preserve"> </w:t>
      </w:r>
      <w:r>
        <w:t>counselling</w:t>
      </w:r>
      <w:r w:rsidR="00D23ECC">
        <w:t xml:space="preserve"> </w:t>
      </w:r>
      <w:r>
        <w:t>agencies</w:t>
      </w:r>
      <w:r w:rsidR="00D23ECC">
        <w:t xml:space="preserve"> </w:t>
      </w:r>
      <w:r>
        <w:t>to</w:t>
      </w:r>
      <w:r w:rsidR="00D23ECC">
        <w:t xml:space="preserve"> </w:t>
      </w:r>
      <w:r>
        <w:t>deliver</w:t>
      </w:r>
      <w:r w:rsidR="00D23ECC">
        <w:t xml:space="preserve"> </w:t>
      </w:r>
      <w:r>
        <w:t>critical</w:t>
      </w:r>
      <w:r w:rsidR="00D23ECC">
        <w:t xml:space="preserve"> </w:t>
      </w:r>
      <w:r>
        <w:t>assistance</w:t>
      </w:r>
      <w:r w:rsidR="00D23ECC">
        <w:t xml:space="preserve"> </w:t>
      </w:r>
      <w:r>
        <w:t>to</w:t>
      </w:r>
      <w:r w:rsidR="00D23ECC">
        <w:t xml:space="preserve"> </w:t>
      </w:r>
      <w:r>
        <w:t>Victorians</w:t>
      </w:r>
      <w:r w:rsidR="00D23ECC">
        <w:t xml:space="preserve"> </w:t>
      </w:r>
      <w:r>
        <w:t>over</w:t>
      </w:r>
      <w:r w:rsidR="00D23ECC">
        <w:t xml:space="preserve"> </w:t>
      </w:r>
      <w:r>
        <w:t>a</w:t>
      </w:r>
      <w:r w:rsidR="00D23ECC">
        <w:t xml:space="preserve"> </w:t>
      </w:r>
      <w:r>
        <w:t>year</w:t>
      </w:r>
      <w:r w:rsidR="00D23ECC">
        <w:t xml:space="preserve"> </w:t>
      </w:r>
      <w:r>
        <w:t>heavily</w:t>
      </w:r>
      <w:r w:rsidR="00D23ECC">
        <w:t xml:space="preserve"> </w:t>
      </w:r>
      <w:r>
        <w:t>impacted</w:t>
      </w:r>
      <w:r w:rsidR="00D23ECC">
        <w:t xml:space="preserve"> </w:t>
      </w:r>
      <w:r>
        <w:t>by</w:t>
      </w:r>
      <w:r w:rsidR="00D23ECC">
        <w:t xml:space="preserve"> </w:t>
      </w:r>
      <w:r>
        <w:t>restrictions</w:t>
      </w:r>
      <w:r w:rsidR="00D23ECC">
        <w:t xml:space="preserve"> </w:t>
      </w:r>
      <w:r>
        <w:t>on</w:t>
      </w:r>
      <w:r w:rsidR="00D23ECC">
        <w:t xml:space="preserve"> </w:t>
      </w:r>
      <w:r>
        <w:t>face-to-face</w:t>
      </w:r>
      <w:r w:rsidR="00D23ECC">
        <w:t xml:space="preserve"> </w:t>
      </w:r>
      <w:r>
        <w:t>service</w:t>
      </w:r>
      <w:r w:rsidR="00D23ECC">
        <w:t xml:space="preserve"> </w:t>
      </w:r>
      <w:r>
        <w:t>delivery.</w:t>
      </w:r>
    </w:p>
    <w:p w14:paraId="41696B47" w14:textId="1D6607DA" w:rsidR="00DE3B0D" w:rsidRDefault="00DE3B0D" w:rsidP="00D23ECC">
      <w:pPr>
        <w:pStyle w:val="BodyText"/>
      </w:pPr>
      <w:r>
        <w:t>We</w:t>
      </w:r>
      <w:r w:rsidR="00D23ECC">
        <w:t xml:space="preserve"> </w:t>
      </w:r>
      <w:r>
        <w:t>are</w:t>
      </w:r>
      <w:r w:rsidR="00D23ECC">
        <w:t xml:space="preserve"> </w:t>
      </w:r>
      <w:r>
        <w:t>proud</w:t>
      </w:r>
      <w:r w:rsidR="00D23ECC">
        <w:t xml:space="preserve"> </w:t>
      </w:r>
      <w:r>
        <w:t>to</w:t>
      </w:r>
      <w:r w:rsidR="00D23ECC">
        <w:t xml:space="preserve"> </w:t>
      </w:r>
      <w:r>
        <w:t>have</w:t>
      </w:r>
      <w:r w:rsidR="00D23ECC">
        <w:t xml:space="preserve"> </w:t>
      </w:r>
      <w:r>
        <w:t>played</w:t>
      </w:r>
      <w:r w:rsidR="00D23ECC">
        <w:t xml:space="preserve"> </w:t>
      </w:r>
      <w:r>
        <w:t>an</w:t>
      </w:r>
      <w:r w:rsidR="00D23ECC">
        <w:t xml:space="preserve"> </w:t>
      </w:r>
      <w:r>
        <w:t>important</w:t>
      </w:r>
      <w:r w:rsidR="00D23ECC">
        <w:t xml:space="preserve"> </w:t>
      </w:r>
      <w:r>
        <w:t>role</w:t>
      </w:r>
      <w:r w:rsidR="00D23ECC">
        <w:t xml:space="preserve"> </w:t>
      </w:r>
      <w:r>
        <w:t>in</w:t>
      </w:r>
      <w:r w:rsidR="00D23ECC">
        <w:t xml:space="preserve"> </w:t>
      </w:r>
      <w:r>
        <w:t>providing</w:t>
      </w:r>
      <w:r w:rsidR="00D23ECC">
        <w:t xml:space="preserve"> </w:t>
      </w:r>
      <w:r>
        <w:t>Victorians</w:t>
      </w:r>
      <w:r w:rsidR="00D23ECC">
        <w:t xml:space="preserve"> </w:t>
      </w:r>
      <w:r>
        <w:t>with</w:t>
      </w:r>
      <w:r w:rsidR="00D23ECC">
        <w:t xml:space="preserve"> </w:t>
      </w:r>
      <w:r>
        <w:t>necessary</w:t>
      </w:r>
      <w:r w:rsidR="00D23ECC">
        <w:t xml:space="preserve"> </w:t>
      </w:r>
      <w:r>
        <w:t>supports</w:t>
      </w:r>
      <w:r w:rsidR="00D23ECC">
        <w:t xml:space="preserve"> </w:t>
      </w:r>
      <w:r>
        <w:t>and</w:t>
      </w:r>
      <w:r w:rsidR="00D23ECC">
        <w:t xml:space="preserve"> </w:t>
      </w:r>
      <w:r>
        <w:t>protections</w:t>
      </w:r>
      <w:r w:rsidR="00D23ECC">
        <w:t xml:space="preserve"> </w:t>
      </w:r>
      <w:r>
        <w:t>required</w:t>
      </w:r>
      <w:r w:rsidR="00D23ECC">
        <w:t xml:space="preserve"> </w:t>
      </w:r>
      <w:r>
        <w:t>during</w:t>
      </w:r>
      <w:r w:rsidR="00D23ECC">
        <w:t xml:space="preserve"> </w:t>
      </w:r>
      <w:r>
        <w:t>such</w:t>
      </w:r>
      <w:r w:rsidR="00D23ECC">
        <w:t xml:space="preserve"> </w:t>
      </w:r>
      <w:r>
        <w:t>a</w:t>
      </w:r>
      <w:r w:rsidR="00D23ECC">
        <w:t xml:space="preserve"> </w:t>
      </w:r>
      <w:r>
        <w:t>challenging</w:t>
      </w:r>
      <w:r w:rsidR="00D23ECC">
        <w:t xml:space="preserve"> </w:t>
      </w:r>
      <w:r>
        <w:t>year.</w:t>
      </w:r>
    </w:p>
    <w:p w14:paraId="044554D8" w14:textId="40678E06" w:rsidR="00DE3B0D" w:rsidRDefault="00DE3B0D" w:rsidP="00D23ECC">
      <w:pPr>
        <w:pStyle w:val="BodyText"/>
      </w:pPr>
      <w:r>
        <w:t>This</w:t>
      </w:r>
      <w:r w:rsidR="00D23ECC">
        <w:t xml:space="preserve"> </w:t>
      </w:r>
      <w:r>
        <w:t>year,</w:t>
      </w:r>
      <w:r w:rsidR="00D23ECC">
        <w:t xml:space="preserve"> </w:t>
      </w:r>
      <w:r>
        <w:t>our</w:t>
      </w:r>
      <w:r w:rsidR="00D23ECC">
        <w:t xml:space="preserve"> </w:t>
      </w:r>
      <w:r>
        <w:t>performance</w:t>
      </w:r>
      <w:r w:rsidR="00D23ECC">
        <w:t xml:space="preserve"> </w:t>
      </w:r>
      <w:r>
        <w:t>was</w:t>
      </w:r>
      <w:r w:rsidR="00D23ECC">
        <w:t xml:space="preserve"> </w:t>
      </w:r>
      <w:r>
        <w:t>measured</w:t>
      </w:r>
      <w:r w:rsidR="00D23ECC">
        <w:t xml:space="preserve"> </w:t>
      </w:r>
      <w:r>
        <w:t>against</w:t>
      </w:r>
      <w:r w:rsidR="00D23ECC">
        <w:t xml:space="preserve"> </w:t>
      </w:r>
      <w:r>
        <w:t>target</w:t>
      </w:r>
      <w:r w:rsidR="00D23ECC">
        <w:t xml:space="preserve"> </w:t>
      </w:r>
      <w:r>
        <w:t>outputs</w:t>
      </w:r>
      <w:r w:rsidR="00D23ECC">
        <w:t xml:space="preserve"> </w:t>
      </w:r>
      <w:r>
        <w:t>specified</w:t>
      </w:r>
      <w:r w:rsidR="00D23ECC">
        <w:t xml:space="preserve"> </w:t>
      </w:r>
      <w:r>
        <w:t>in</w:t>
      </w:r>
      <w:r w:rsidR="00D23ECC">
        <w:t xml:space="preserve"> </w:t>
      </w:r>
      <w:r>
        <w:t>Budget</w:t>
      </w:r>
      <w:r w:rsidR="00D23ECC">
        <w:t xml:space="preserve"> </w:t>
      </w:r>
      <w:r>
        <w:t>Paper</w:t>
      </w:r>
      <w:r w:rsidR="00D23ECC">
        <w:t xml:space="preserve"> </w:t>
      </w:r>
      <w:r>
        <w:t>3</w:t>
      </w:r>
      <w:r w:rsidR="00D23ECC">
        <w:t xml:space="preserve"> </w:t>
      </w:r>
      <w:r w:rsidR="00F22B33">
        <w:br/>
      </w:r>
      <w:r>
        <w:t>2020–21.</w:t>
      </w:r>
    </w:p>
    <w:p w14:paraId="72D491F8" w14:textId="35B07954" w:rsidR="00DE3B0D" w:rsidRDefault="00DE3B0D" w:rsidP="00D23ECC">
      <w:pPr>
        <w:pStyle w:val="BodyText"/>
      </w:pPr>
      <w:r>
        <w:t>Outputs</w:t>
      </w:r>
      <w:r w:rsidR="00D23ECC">
        <w:t xml:space="preserve"> </w:t>
      </w:r>
      <w:r>
        <w:t>are</w:t>
      </w:r>
      <w:r w:rsidR="00D23ECC">
        <w:t xml:space="preserve"> </w:t>
      </w:r>
      <w:r>
        <w:t>those</w:t>
      </w:r>
      <w:r w:rsidR="00D23ECC">
        <w:t xml:space="preserve"> </w:t>
      </w:r>
      <w:r>
        <w:t>goods</w:t>
      </w:r>
      <w:r w:rsidR="00D23ECC">
        <w:t xml:space="preserve"> </w:t>
      </w:r>
      <w:r>
        <w:t>and</w:t>
      </w:r>
      <w:r w:rsidR="00D23ECC">
        <w:t xml:space="preserve"> </w:t>
      </w:r>
      <w:r>
        <w:t>services</w:t>
      </w:r>
      <w:r w:rsidR="00D23ECC">
        <w:t xml:space="preserve"> </w:t>
      </w:r>
      <w:r>
        <w:t>provided</w:t>
      </w:r>
      <w:r w:rsidR="00D23ECC">
        <w:t xml:space="preserve"> </w:t>
      </w:r>
      <w:r>
        <w:t>to</w:t>
      </w:r>
      <w:r w:rsidR="00D23ECC">
        <w:t xml:space="preserve"> </w:t>
      </w:r>
      <w:r>
        <w:t>government</w:t>
      </w:r>
      <w:r w:rsidR="00D23ECC">
        <w:t xml:space="preserve"> </w:t>
      </w:r>
      <w:r>
        <w:t>by</w:t>
      </w:r>
      <w:r w:rsidR="00D23ECC">
        <w:t xml:space="preserve"> </w:t>
      </w:r>
      <w:r>
        <w:t>departments,</w:t>
      </w:r>
      <w:r w:rsidR="00D23ECC">
        <w:t xml:space="preserve"> </w:t>
      </w:r>
      <w:r>
        <w:t>agencies</w:t>
      </w:r>
      <w:r w:rsidR="00D23ECC">
        <w:t xml:space="preserve"> </w:t>
      </w:r>
      <w:r>
        <w:t>and</w:t>
      </w:r>
      <w:r w:rsidR="00D23ECC">
        <w:t xml:space="preserve"> </w:t>
      </w:r>
      <w:r>
        <w:t>statutory</w:t>
      </w:r>
      <w:r w:rsidR="00D23ECC">
        <w:t xml:space="preserve"> </w:t>
      </w:r>
      <w:r>
        <w:t>bodies,</w:t>
      </w:r>
      <w:r w:rsidR="00D23ECC">
        <w:t xml:space="preserve"> </w:t>
      </w:r>
      <w:r>
        <w:t>and</w:t>
      </w:r>
      <w:r w:rsidR="00D23ECC">
        <w:t xml:space="preserve"> </w:t>
      </w:r>
      <w:r>
        <w:t>through</w:t>
      </w:r>
      <w:r w:rsidR="00D23ECC">
        <w:t xml:space="preserve"> </w:t>
      </w:r>
      <w:r>
        <w:t>funding</w:t>
      </w:r>
      <w:r w:rsidR="00D23ECC">
        <w:t xml:space="preserve"> </w:t>
      </w:r>
      <w:r>
        <w:t>provided</w:t>
      </w:r>
      <w:r w:rsidR="00D23ECC">
        <w:t xml:space="preserve"> </w:t>
      </w:r>
      <w:r>
        <w:t>to</w:t>
      </w:r>
      <w:r w:rsidR="00D23ECC">
        <w:t xml:space="preserve"> </w:t>
      </w:r>
      <w:r>
        <w:t>others,</w:t>
      </w:r>
      <w:r w:rsidR="00D23ECC">
        <w:t xml:space="preserve"> </w:t>
      </w:r>
      <w:r>
        <w:t>such</w:t>
      </w:r>
      <w:r w:rsidR="00D23ECC">
        <w:t xml:space="preserve"> </w:t>
      </w:r>
      <w:r>
        <w:t>as</w:t>
      </w:r>
      <w:r w:rsidR="00D23ECC">
        <w:t xml:space="preserve"> </w:t>
      </w:r>
      <w:r>
        <w:t>community</w:t>
      </w:r>
      <w:r w:rsidR="00D23ECC">
        <w:t xml:space="preserve"> </w:t>
      </w:r>
      <w:r>
        <w:t>agencies.</w:t>
      </w:r>
    </w:p>
    <w:p w14:paraId="262EE981" w14:textId="77777777" w:rsidR="00F22B33" w:rsidRPr="00F22B33" w:rsidRDefault="00F22B33" w:rsidP="00F22B33">
      <w:pPr>
        <w:pStyle w:val="BodyText"/>
      </w:pPr>
      <w:r w:rsidRPr="00F22B33">
        <w:br w:type="page"/>
      </w:r>
    </w:p>
    <w:p w14:paraId="5FF0DD70" w14:textId="773ACF48" w:rsidR="00DE3B0D" w:rsidRDefault="00DE3B0D" w:rsidP="00A95E63">
      <w:pPr>
        <w:pStyle w:val="Caption"/>
      </w:pPr>
      <w:r>
        <w:rPr>
          <w:color w:val="000000"/>
        </w:rPr>
        <w:lastRenderedPageBreak/>
        <w:t>Table</w:t>
      </w:r>
      <w:r w:rsidR="00D23ECC">
        <w:rPr>
          <w:color w:val="000000"/>
        </w:rPr>
        <w:t xml:space="preserve"> </w:t>
      </w:r>
      <w:r>
        <w:rPr>
          <w:color w:val="000000"/>
        </w:rPr>
        <w:t>1:</w:t>
      </w:r>
      <w:r w:rsidR="00D23ECC">
        <w:rPr>
          <w:color w:val="000000"/>
        </w:rPr>
        <w:t xml:space="preserve"> </w:t>
      </w:r>
      <w:r>
        <w:rPr>
          <w:color w:val="000000"/>
        </w:rPr>
        <w:t>Performance</w:t>
      </w:r>
      <w:r w:rsidR="00D23ECC">
        <w:rPr>
          <w:color w:val="000000"/>
        </w:rPr>
        <w:t xml:space="preserve"> </w:t>
      </w:r>
      <w:r>
        <w:rPr>
          <w:color w:val="000000"/>
        </w:rPr>
        <w:t>against</w:t>
      </w:r>
      <w:r w:rsidR="00D23ECC">
        <w:rPr>
          <w:color w:val="000000"/>
        </w:rPr>
        <w:t xml:space="preserve"> </w:t>
      </w:r>
      <w:r>
        <w:rPr>
          <w:color w:val="000000"/>
        </w:rPr>
        <w:t>targets</w:t>
      </w:r>
      <w:r w:rsidR="00D23ECC">
        <w:rPr>
          <w:color w:val="000000"/>
        </w:rPr>
        <w:t xml:space="preserve"> </w:t>
      </w:r>
      <w:r>
        <w:rPr>
          <w:color w:val="000000"/>
        </w:rPr>
        <w:t>for</w:t>
      </w:r>
      <w:r w:rsidR="00D23ECC">
        <w:rPr>
          <w:color w:val="000000"/>
        </w:rPr>
        <w:t xml:space="preserve"> </w:t>
      </w:r>
      <w:r>
        <w:rPr>
          <w:color w:val="000000"/>
        </w:rPr>
        <w:t>output</w:t>
      </w:r>
      <w:r w:rsidR="00D23ECC">
        <w:rPr>
          <w:color w:val="000000"/>
        </w:rPr>
        <w:t xml:space="preserve"> </w:t>
      </w:r>
      <w:r>
        <w:rPr>
          <w:color w:val="000000"/>
        </w:rPr>
        <w:t>measures</w:t>
      </w:r>
    </w:p>
    <w:tbl>
      <w:tblPr>
        <w:tblStyle w:val="TableGrid"/>
        <w:tblW w:w="9072" w:type="dxa"/>
        <w:tblLayout w:type="fixed"/>
        <w:tblLook w:val="00A0" w:firstRow="1" w:lastRow="0" w:firstColumn="1" w:lastColumn="0" w:noHBand="0" w:noVBand="0"/>
      </w:tblPr>
      <w:tblGrid>
        <w:gridCol w:w="3854"/>
        <w:gridCol w:w="1134"/>
        <w:gridCol w:w="1021"/>
        <w:gridCol w:w="1021"/>
        <w:gridCol w:w="1021"/>
        <w:gridCol w:w="1021"/>
      </w:tblGrid>
      <w:tr w:rsidR="00DE3B0D" w14:paraId="633C6E7D" w14:textId="77777777" w:rsidTr="00773AA7">
        <w:trPr>
          <w:cnfStyle w:val="100000000000" w:firstRow="1" w:lastRow="0" w:firstColumn="0" w:lastColumn="0" w:oddVBand="0" w:evenVBand="0" w:oddHBand="0" w:evenHBand="0" w:firstRowFirstColumn="0" w:firstRowLastColumn="0" w:lastRowFirstColumn="0" w:lastRowLastColumn="0"/>
          <w:trHeight w:val="68"/>
          <w:tblHeader/>
        </w:trPr>
        <w:tc>
          <w:tcPr>
            <w:tcW w:w="3856" w:type="dxa"/>
          </w:tcPr>
          <w:p w14:paraId="366C05C1" w14:textId="77777777" w:rsidR="00DE3B0D" w:rsidRDefault="00DE3B0D" w:rsidP="00F22B33">
            <w:pPr>
              <w:pStyle w:val="TableColHead"/>
            </w:pPr>
          </w:p>
        </w:tc>
        <w:tc>
          <w:tcPr>
            <w:tcW w:w="1134" w:type="dxa"/>
          </w:tcPr>
          <w:p w14:paraId="69257E73" w14:textId="4BF90977" w:rsidR="00DE3B0D" w:rsidRDefault="00DE3B0D" w:rsidP="00A95E63">
            <w:pPr>
              <w:pStyle w:val="TableColHeadRight"/>
            </w:pPr>
            <w:r>
              <w:t>Unit</w:t>
            </w:r>
            <w:r w:rsidR="00D23ECC">
              <w:t xml:space="preserve"> </w:t>
            </w:r>
            <w:r>
              <w:t>of</w:t>
            </w:r>
            <w:r w:rsidR="00D23ECC">
              <w:t xml:space="preserve"> </w:t>
            </w:r>
            <w:r>
              <w:t>measure</w:t>
            </w:r>
          </w:p>
        </w:tc>
        <w:tc>
          <w:tcPr>
            <w:tcW w:w="1021" w:type="dxa"/>
          </w:tcPr>
          <w:p w14:paraId="5E70EA9A" w14:textId="3F86C3BE" w:rsidR="00DE3B0D" w:rsidRDefault="00DE3B0D" w:rsidP="00A95E63">
            <w:pPr>
              <w:pStyle w:val="TableColHeadRight"/>
            </w:pPr>
            <w:r>
              <w:t>2018–19</w:t>
            </w:r>
            <w:r w:rsidR="00D23ECC">
              <w:t xml:space="preserve"> </w:t>
            </w:r>
            <w:r>
              <w:t>actual</w:t>
            </w:r>
          </w:p>
        </w:tc>
        <w:tc>
          <w:tcPr>
            <w:tcW w:w="1021" w:type="dxa"/>
          </w:tcPr>
          <w:p w14:paraId="2CE4F435" w14:textId="75626921" w:rsidR="00DE3B0D" w:rsidRDefault="00DE3B0D" w:rsidP="00A95E63">
            <w:pPr>
              <w:pStyle w:val="TableColHeadRight"/>
            </w:pPr>
            <w:r>
              <w:t>2019–20</w:t>
            </w:r>
            <w:r w:rsidR="00D23ECC">
              <w:t xml:space="preserve"> </w:t>
            </w:r>
            <w:r>
              <w:t>actual</w:t>
            </w:r>
          </w:p>
        </w:tc>
        <w:tc>
          <w:tcPr>
            <w:tcW w:w="1021" w:type="dxa"/>
          </w:tcPr>
          <w:p w14:paraId="66795C0F" w14:textId="41D8D55C" w:rsidR="00DE3B0D" w:rsidRDefault="00DE3B0D" w:rsidP="00A95E63">
            <w:pPr>
              <w:pStyle w:val="TableColHeadRight"/>
            </w:pPr>
            <w:r>
              <w:t>2020–21</w:t>
            </w:r>
            <w:r w:rsidR="00D23ECC">
              <w:t xml:space="preserve"> </w:t>
            </w:r>
            <w:r>
              <w:t>target</w:t>
            </w:r>
          </w:p>
        </w:tc>
        <w:tc>
          <w:tcPr>
            <w:tcW w:w="1021" w:type="dxa"/>
          </w:tcPr>
          <w:p w14:paraId="58CD9E3D" w14:textId="1C3CA717" w:rsidR="00DE3B0D" w:rsidRDefault="00DE3B0D" w:rsidP="00A95E63">
            <w:pPr>
              <w:pStyle w:val="TableColHeadRight"/>
            </w:pPr>
            <w:r>
              <w:t>2020–21</w:t>
            </w:r>
            <w:r w:rsidR="00D23ECC">
              <w:t xml:space="preserve"> </w:t>
            </w:r>
            <w:r>
              <w:t>actual</w:t>
            </w:r>
          </w:p>
        </w:tc>
      </w:tr>
      <w:tr w:rsidR="00DE3B0D" w14:paraId="4094F991" w14:textId="77777777" w:rsidTr="006F7BE3">
        <w:trPr>
          <w:trHeight w:val="68"/>
        </w:trPr>
        <w:tc>
          <w:tcPr>
            <w:tcW w:w="1134" w:type="dxa"/>
            <w:gridSpan w:val="6"/>
            <w:shd w:val="clear" w:color="auto" w:fill="B2D5F0"/>
          </w:tcPr>
          <w:p w14:paraId="20679392" w14:textId="77777777" w:rsidR="00DE3B0D" w:rsidRDefault="00DE3B0D" w:rsidP="00A95E63">
            <w:pPr>
              <w:pStyle w:val="TableTextBold"/>
            </w:pPr>
            <w:r>
              <w:t>Quantity</w:t>
            </w:r>
          </w:p>
        </w:tc>
      </w:tr>
      <w:tr w:rsidR="00DE3B0D" w14:paraId="3368FBB3" w14:textId="77777777" w:rsidTr="00773AA7">
        <w:trPr>
          <w:trHeight w:val="68"/>
        </w:trPr>
        <w:tc>
          <w:tcPr>
            <w:tcW w:w="3856" w:type="dxa"/>
          </w:tcPr>
          <w:p w14:paraId="2E370BFD" w14:textId="5B0FEC81" w:rsidR="00DE3B0D" w:rsidRDefault="00DE3B0D" w:rsidP="00A95E63">
            <w:pPr>
              <w:pStyle w:val="TableText"/>
            </w:pPr>
            <w:r>
              <w:t>Information</w:t>
            </w:r>
            <w:r w:rsidR="00D23ECC">
              <w:t xml:space="preserve"> </w:t>
            </w:r>
            <w:r>
              <w:t>and</w:t>
            </w:r>
            <w:r w:rsidR="00D23ECC">
              <w:t xml:space="preserve"> </w:t>
            </w:r>
            <w:r>
              <w:t>advice</w:t>
            </w:r>
            <w:r w:rsidR="00D23ECC">
              <w:t xml:space="preserve"> </w:t>
            </w:r>
            <w:r>
              <w:t>provided</w:t>
            </w:r>
            <w:r w:rsidR="00D23ECC">
              <w:t xml:space="preserve"> </w:t>
            </w:r>
            <w:r>
              <w:t>to</w:t>
            </w:r>
            <w:r w:rsidR="00D23ECC">
              <w:t xml:space="preserve"> </w:t>
            </w:r>
            <w:r>
              <w:t>consumers,</w:t>
            </w:r>
            <w:r w:rsidR="00D23ECC">
              <w:t xml:space="preserve"> </w:t>
            </w:r>
            <w:r>
              <w:t>tenants</w:t>
            </w:r>
            <w:r w:rsidR="00D23ECC">
              <w:t xml:space="preserve"> </w:t>
            </w:r>
            <w:r>
              <w:t>and</w:t>
            </w:r>
            <w:r w:rsidR="00D23ECC">
              <w:t xml:space="preserve"> </w:t>
            </w:r>
            <w:r>
              <w:t>businesses:</w:t>
            </w:r>
            <w:r w:rsidR="00D23ECC">
              <w:t xml:space="preserve"> </w:t>
            </w:r>
            <w:r>
              <w:t>through</w:t>
            </w:r>
            <w:r w:rsidR="00D23ECC">
              <w:t xml:space="preserve"> </w:t>
            </w:r>
            <w:r>
              <w:t>telephone</w:t>
            </w:r>
            <w:r w:rsidR="00D23ECC">
              <w:t xml:space="preserve"> </w:t>
            </w:r>
            <w:r>
              <w:t>service</w:t>
            </w:r>
            <w:r>
              <w:rPr>
                <w:rFonts w:ascii="Cambria Math" w:hAnsi="Cambria Math" w:cs="Cambria Math"/>
              </w:rPr>
              <w:t> </w:t>
            </w:r>
            <w:r>
              <w:rPr>
                <w:rStyle w:val="Superscript"/>
              </w:rPr>
              <w:footnoteReference w:id="2"/>
            </w:r>
          </w:p>
        </w:tc>
        <w:tc>
          <w:tcPr>
            <w:tcW w:w="1134" w:type="dxa"/>
          </w:tcPr>
          <w:p w14:paraId="10D3BA5C" w14:textId="77777777" w:rsidR="00DE3B0D" w:rsidRDefault="00DE3B0D" w:rsidP="00A95E63">
            <w:pPr>
              <w:pStyle w:val="TableText"/>
            </w:pPr>
            <w:r>
              <w:t>number</w:t>
            </w:r>
          </w:p>
        </w:tc>
        <w:tc>
          <w:tcPr>
            <w:tcW w:w="1021" w:type="dxa"/>
          </w:tcPr>
          <w:p w14:paraId="25A11FE9" w14:textId="77777777" w:rsidR="00DE3B0D" w:rsidRDefault="00DE3B0D" w:rsidP="00A95E63">
            <w:pPr>
              <w:pStyle w:val="TableTextRight"/>
            </w:pPr>
            <w:r>
              <w:t>295,955</w:t>
            </w:r>
          </w:p>
        </w:tc>
        <w:tc>
          <w:tcPr>
            <w:tcW w:w="1021" w:type="dxa"/>
          </w:tcPr>
          <w:p w14:paraId="3151E1DF" w14:textId="77777777" w:rsidR="00DE3B0D" w:rsidRDefault="00DE3B0D" w:rsidP="00A95E63">
            <w:pPr>
              <w:pStyle w:val="TableTextRight"/>
            </w:pPr>
            <w:r>
              <w:t>234,623</w:t>
            </w:r>
          </w:p>
        </w:tc>
        <w:tc>
          <w:tcPr>
            <w:tcW w:w="1021" w:type="dxa"/>
          </w:tcPr>
          <w:p w14:paraId="2D52F2A4" w14:textId="77777777" w:rsidR="00DE3B0D" w:rsidRDefault="00DE3B0D" w:rsidP="00A95E63">
            <w:pPr>
              <w:pStyle w:val="TableTextRight"/>
            </w:pPr>
            <w:r>
              <w:t>302,900</w:t>
            </w:r>
          </w:p>
        </w:tc>
        <w:tc>
          <w:tcPr>
            <w:tcW w:w="1021" w:type="dxa"/>
          </w:tcPr>
          <w:p w14:paraId="662EFB3B" w14:textId="056489DB" w:rsidR="00DE3B0D" w:rsidRDefault="00DE3B0D" w:rsidP="00A95E63">
            <w:pPr>
              <w:pStyle w:val="TableTextRight"/>
            </w:pPr>
            <w:r>
              <w:t>214,819</w:t>
            </w:r>
          </w:p>
        </w:tc>
      </w:tr>
      <w:tr w:rsidR="00DE3B0D" w14:paraId="165C5558" w14:textId="77777777" w:rsidTr="00773AA7">
        <w:trPr>
          <w:trHeight w:val="68"/>
        </w:trPr>
        <w:tc>
          <w:tcPr>
            <w:tcW w:w="3856" w:type="dxa"/>
          </w:tcPr>
          <w:p w14:paraId="5D8CBFC4" w14:textId="5C01A3AC" w:rsidR="00DE3B0D" w:rsidRDefault="00DE3B0D" w:rsidP="00A95E63">
            <w:pPr>
              <w:pStyle w:val="TableText"/>
            </w:pPr>
            <w:r>
              <w:t>Information</w:t>
            </w:r>
            <w:r w:rsidR="00D23ECC">
              <w:t xml:space="preserve"> </w:t>
            </w:r>
            <w:r>
              <w:t>and</w:t>
            </w:r>
            <w:r w:rsidR="00D23ECC">
              <w:t xml:space="preserve"> </w:t>
            </w:r>
            <w:r>
              <w:t>advice</w:t>
            </w:r>
            <w:r w:rsidR="00D23ECC">
              <w:t xml:space="preserve"> </w:t>
            </w:r>
            <w:r>
              <w:t>provided</w:t>
            </w:r>
            <w:r w:rsidR="00D23ECC">
              <w:t xml:space="preserve"> </w:t>
            </w:r>
            <w:r>
              <w:t>to</w:t>
            </w:r>
            <w:r w:rsidR="00D23ECC">
              <w:t xml:space="preserve"> </w:t>
            </w:r>
            <w:r>
              <w:t>consumers,</w:t>
            </w:r>
            <w:r w:rsidR="00D23ECC">
              <w:t xml:space="preserve"> </w:t>
            </w:r>
            <w:r>
              <w:t>tenants</w:t>
            </w:r>
            <w:r w:rsidR="00D23ECC">
              <w:t xml:space="preserve"> </w:t>
            </w:r>
            <w:r>
              <w:t>and</w:t>
            </w:r>
            <w:r w:rsidR="00D23ECC">
              <w:t xml:space="preserve"> </w:t>
            </w:r>
            <w:r>
              <w:t>businesses:</w:t>
            </w:r>
            <w:r w:rsidR="00D23ECC">
              <w:t xml:space="preserve"> </w:t>
            </w:r>
            <w:r>
              <w:t>through</w:t>
            </w:r>
            <w:r w:rsidR="00D23ECC">
              <w:t xml:space="preserve"> </w:t>
            </w:r>
            <w:r>
              <w:t>other</w:t>
            </w:r>
            <w:r w:rsidR="00D23ECC">
              <w:t xml:space="preserve"> </w:t>
            </w:r>
            <w:r>
              <w:t>services</w:t>
            </w:r>
            <w:r w:rsidR="00D23ECC">
              <w:t xml:space="preserve"> </w:t>
            </w:r>
            <w:r>
              <w:t>including</w:t>
            </w:r>
            <w:r w:rsidR="00D23ECC">
              <w:t xml:space="preserve"> </w:t>
            </w:r>
            <w:r>
              <w:t>written</w:t>
            </w:r>
            <w:r w:rsidR="00D23ECC">
              <w:t xml:space="preserve"> </w:t>
            </w:r>
            <w:r>
              <w:t>correspondence,</w:t>
            </w:r>
            <w:r w:rsidR="00D23ECC">
              <w:t xml:space="preserve"> </w:t>
            </w:r>
            <w:r>
              <w:t>face-to-face</w:t>
            </w:r>
            <w:r w:rsidR="00D23ECC">
              <w:t xml:space="preserve"> </w:t>
            </w:r>
            <w:r>
              <w:t>and</w:t>
            </w:r>
            <w:r w:rsidR="00D23ECC">
              <w:t xml:space="preserve"> </w:t>
            </w:r>
            <w:r>
              <w:t>dispute</w:t>
            </w:r>
            <w:r w:rsidR="00D23ECC">
              <w:t xml:space="preserve"> </w:t>
            </w:r>
            <w:r>
              <w:t>assistance</w:t>
            </w:r>
            <w:r>
              <w:rPr>
                <w:rFonts w:ascii="Cambria Math" w:hAnsi="Cambria Math" w:cs="Cambria Math"/>
              </w:rPr>
              <w:t> </w:t>
            </w:r>
            <w:r>
              <w:rPr>
                <w:rStyle w:val="Superscript"/>
              </w:rPr>
              <w:footnoteReference w:id="3"/>
            </w:r>
          </w:p>
        </w:tc>
        <w:tc>
          <w:tcPr>
            <w:tcW w:w="1134" w:type="dxa"/>
          </w:tcPr>
          <w:p w14:paraId="7BA5B5D0" w14:textId="77777777" w:rsidR="00DE3B0D" w:rsidRDefault="00DE3B0D" w:rsidP="00A95E63">
            <w:pPr>
              <w:pStyle w:val="TableText"/>
            </w:pPr>
            <w:r>
              <w:t>number</w:t>
            </w:r>
          </w:p>
        </w:tc>
        <w:tc>
          <w:tcPr>
            <w:tcW w:w="1021" w:type="dxa"/>
          </w:tcPr>
          <w:p w14:paraId="1F3CF72F" w14:textId="77777777" w:rsidR="00DE3B0D" w:rsidRDefault="00DE3B0D" w:rsidP="00A95E63">
            <w:pPr>
              <w:pStyle w:val="TableTextRight"/>
            </w:pPr>
            <w:r>
              <w:t>115,216</w:t>
            </w:r>
          </w:p>
        </w:tc>
        <w:tc>
          <w:tcPr>
            <w:tcW w:w="1021" w:type="dxa"/>
          </w:tcPr>
          <w:p w14:paraId="00E37B0D" w14:textId="77777777" w:rsidR="00DE3B0D" w:rsidRDefault="00DE3B0D" w:rsidP="00A95E63">
            <w:pPr>
              <w:pStyle w:val="TableTextRight"/>
            </w:pPr>
            <w:r>
              <w:t>142,695</w:t>
            </w:r>
          </w:p>
        </w:tc>
        <w:tc>
          <w:tcPr>
            <w:tcW w:w="1021" w:type="dxa"/>
          </w:tcPr>
          <w:p w14:paraId="31F4654F" w14:textId="77777777" w:rsidR="00DE3B0D" w:rsidRDefault="00DE3B0D" w:rsidP="00A95E63">
            <w:pPr>
              <w:pStyle w:val="TableTextRight"/>
            </w:pPr>
            <w:r>
              <w:t>115,700</w:t>
            </w:r>
          </w:p>
        </w:tc>
        <w:tc>
          <w:tcPr>
            <w:tcW w:w="1021" w:type="dxa"/>
          </w:tcPr>
          <w:p w14:paraId="07DF5B66" w14:textId="77777777" w:rsidR="00DE3B0D" w:rsidRDefault="00DE3B0D" w:rsidP="00A95E63">
            <w:pPr>
              <w:pStyle w:val="TableTextRight"/>
            </w:pPr>
            <w:r>
              <w:t>144,533</w:t>
            </w:r>
          </w:p>
          <w:p w14:paraId="1EC212EA" w14:textId="77777777" w:rsidR="00DE3B0D" w:rsidRDefault="00DE3B0D" w:rsidP="00A95E63">
            <w:pPr>
              <w:pStyle w:val="TableTextRight"/>
            </w:pPr>
          </w:p>
        </w:tc>
      </w:tr>
      <w:tr w:rsidR="00DE3B0D" w14:paraId="6712C34C" w14:textId="77777777" w:rsidTr="00773AA7">
        <w:trPr>
          <w:trHeight w:val="68"/>
        </w:trPr>
        <w:tc>
          <w:tcPr>
            <w:tcW w:w="3856" w:type="dxa"/>
          </w:tcPr>
          <w:p w14:paraId="6F42C0E2" w14:textId="0A13017E" w:rsidR="00DE3B0D" w:rsidRDefault="00DE3B0D" w:rsidP="00A95E63">
            <w:pPr>
              <w:pStyle w:val="TableText"/>
            </w:pPr>
            <w:r>
              <w:t>Number</w:t>
            </w:r>
            <w:r w:rsidR="00D23ECC">
              <w:t xml:space="preserve"> </w:t>
            </w:r>
            <w:r>
              <w:t>of</w:t>
            </w:r>
            <w:r w:rsidR="00D23ECC">
              <w:t xml:space="preserve"> </w:t>
            </w:r>
            <w:r>
              <w:t>court</w:t>
            </w:r>
            <w:r w:rsidR="00D23ECC">
              <w:t xml:space="preserve"> </w:t>
            </w:r>
            <w:r>
              <w:t>and</w:t>
            </w:r>
            <w:r w:rsidR="00D23ECC">
              <w:t xml:space="preserve"> </w:t>
            </w:r>
            <w:r>
              <w:t>administrative</w:t>
            </w:r>
            <w:r w:rsidR="00D23ECC">
              <w:t xml:space="preserve"> </w:t>
            </w:r>
            <w:r>
              <w:t>actions</w:t>
            </w:r>
            <w:r>
              <w:rPr>
                <w:rFonts w:ascii="Cambria Math" w:hAnsi="Cambria Math" w:cs="Cambria Math"/>
              </w:rPr>
              <w:t> </w:t>
            </w:r>
            <w:r>
              <w:rPr>
                <w:rStyle w:val="Superscript"/>
              </w:rPr>
              <w:footnoteReference w:id="4"/>
            </w:r>
          </w:p>
        </w:tc>
        <w:tc>
          <w:tcPr>
            <w:tcW w:w="1134" w:type="dxa"/>
          </w:tcPr>
          <w:p w14:paraId="6EEE913A" w14:textId="77777777" w:rsidR="00DE3B0D" w:rsidRDefault="00DE3B0D" w:rsidP="00A95E63">
            <w:pPr>
              <w:pStyle w:val="TableText"/>
            </w:pPr>
            <w:r>
              <w:t>number</w:t>
            </w:r>
          </w:p>
        </w:tc>
        <w:tc>
          <w:tcPr>
            <w:tcW w:w="1021" w:type="dxa"/>
          </w:tcPr>
          <w:p w14:paraId="51464EB0" w14:textId="77777777" w:rsidR="00DE3B0D" w:rsidRDefault="00DE3B0D" w:rsidP="00A95E63">
            <w:pPr>
              <w:pStyle w:val="TableTextRight"/>
            </w:pPr>
            <w:r>
              <w:t>1,309</w:t>
            </w:r>
          </w:p>
        </w:tc>
        <w:tc>
          <w:tcPr>
            <w:tcW w:w="1021" w:type="dxa"/>
          </w:tcPr>
          <w:p w14:paraId="11459014" w14:textId="77777777" w:rsidR="00DE3B0D" w:rsidRDefault="00DE3B0D" w:rsidP="00A95E63">
            <w:pPr>
              <w:pStyle w:val="TableTextRight"/>
            </w:pPr>
            <w:r>
              <w:t>1,061</w:t>
            </w:r>
          </w:p>
        </w:tc>
        <w:tc>
          <w:tcPr>
            <w:tcW w:w="1021" w:type="dxa"/>
          </w:tcPr>
          <w:p w14:paraId="34B51673" w14:textId="77777777" w:rsidR="00DE3B0D" w:rsidRDefault="00DE3B0D" w:rsidP="00A95E63">
            <w:pPr>
              <w:pStyle w:val="TableTextRight"/>
            </w:pPr>
            <w:r>
              <w:t>900</w:t>
            </w:r>
          </w:p>
        </w:tc>
        <w:tc>
          <w:tcPr>
            <w:tcW w:w="1021" w:type="dxa"/>
          </w:tcPr>
          <w:p w14:paraId="222B02AF" w14:textId="77777777" w:rsidR="00DE3B0D" w:rsidRDefault="00DE3B0D" w:rsidP="00A95E63">
            <w:pPr>
              <w:pStyle w:val="TableTextRight"/>
            </w:pPr>
            <w:r>
              <w:t>533</w:t>
            </w:r>
          </w:p>
        </w:tc>
      </w:tr>
      <w:tr w:rsidR="00DE3B0D" w14:paraId="0511F520" w14:textId="77777777" w:rsidTr="00773AA7">
        <w:trPr>
          <w:trHeight w:val="68"/>
        </w:trPr>
        <w:tc>
          <w:tcPr>
            <w:tcW w:w="3856" w:type="dxa"/>
          </w:tcPr>
          <w:p w14:paraId="55DB1EA3" w14:textId="1527E545" w:rsidR="00DE3B0D" w:rsidRDefault="00DE3B0D" w:rsidP="00A95E63">
            <w:pPr>
              <w:pStyle w:val="TableText"/>
            </w:pPr>
            <w:r>
              <w:t>Transactions</w:t>
            </w:r>
            <w:r w:rsidR="00D23ECC">
              <w:t xml:space="preserve"> </w:t>
            </w:r>
            <w:r>
              <w:t>undertaken:</w:t>
            </w:r>
            <w:r w:rsidR="00D23ECC">
              <w:t xml:space="preserve"> </w:t>
            </w:r>
            <w:r>
              <w:t>registration</w:t>
            </w:r>
            <w:r w:rsidR="00D23ECC">
              <w:t xml:space="preserve"> </w:t>
            </w:r>
            <w:r>
              <w:t>and</w:t>
            </w:r>
            <w:r w:rsidR="00D23ECC">
              <w:t xml:space="preserve"> </w:t>
            </w:r>
            <w:r>
              <w:t>licensing</w:t>
            </w:r>
          </w:p>
        </w:tc>
        <w:tc>
          <w:tcPr>
            <w:tcW w:w="1134" w:type="dxa"/>
          </w:tcPr>
          <w:p w14:paraId="52333FDC" w14:textId="77777777" w:rsidR="00DE3B0D" w:rsidRDefault="00DE3B0D" w:rsidP="00A95E63">
            <w:pPr>
              <w:pStyle w:val="TableText"/>
            </w:pPr>
            <w:r>
              <w:t>number</w:t>
            </w:r>
          </w:p>
        </w:tc>
        <w:tc>
          <w:tcPr>
            <w:tcW w:w="1021" w:type="dxa"/>
          </w:tcPr>
          <w:p w14:paraId="1325C34D" w14:textId="77777777" w:rsidR="00DE3B0D" w:rsidRDefault="00DE3B0D" w:rsidP="00A95E63">
            <w:pPr>
              <w:pStyle w:val="TableTextRight"/>
            </w:pPr>
            <w:r>
              <w:t>94,826</w:t>
            </w:r>
          </w:p>
        </w:tc>
        <w:tc>
          <w:tcPr>
            <w:tcW w:w="1021" w:type="dxa"/>
          </w:tcPr>
          <w:p w14:paraId="2AC2156D" w14:textId="77777777" w:rsidR="00DE3B0D" w:rsidRDefault="00DE3B0D" w:rsidP="00A95E63">
            <w:pPr>
              <w:pStyle w:val="TableTextRight"/>
            </w:pPr>
            <w:r>
              <w:t>91,637</w:t>
            </w:r>
          </w:p>
        </w:tc>
        <w:tc>
          <w:tcPr>
            <w:tcW w:w="1021" w:type="dxa"/>
          </w:tcPr>
          <w:p w14:paraId="72BCAFC4" w14:textId="77777777" w:rsidR="00DE3B0D" w:rsidRDefault="00DE3B0D" w:rsidP="00A95E63">
            <w:pPr>
              <w:pStyle w:val="TableTextRight"/>
            </w:pPr>
            <w:r>
              <w:t>95,500</w:t>
            </w:r>
          </w:p>
        </w:tc>
        <w:tc>
          <w:tcPr>
            <w:tcW w:w="1021" w:type="dxa"/>
          </w:tcPr>
          <w:p w14:paraId="359A8CA2" w14:textId="7D095B1D" w:rsidR="00DE3B0D" w:rsidRDefault="00DE3B0D" w:rsidP="00A95E63">
            <w:pPr>
              <w:pStyle w:val="TableTextRight"/>
            </w:pPr>
            <w:r>
              <w:t>95,096</w:t>
            </w:r>
          </w:p>
        </w:tc>
      </w:tr>
      <w:tr w:rsidR="00DE3B0D" w14:paraId="65B54DB1" w14:textId="77777777" w:rsidTr="00773AA7">
        <w:trPr>
          <w:trHeight w:val="68"/>
        </w:trPr>
        <w:tc>
          <w:tcPr>
            <w:tcW w:w="3856" w:type="dxa"/>
          </w:tcPr>
          <w:p w14:paraId="1CF59109" w14:textId="1747BA1C" w:rsidR="00DE3B0D" w:rsidRDefault="00DE3B0D" w:rsidP="00A95E63">
            <w:pPr>
              <w:pStyle w:val="TableText"/>
            </w:pPr>
            <w:r>
              <w:t>Transactions</w:t>
            </w:r>
            <w:r w:rsidR="00D23ECC">
              <w:t xml:space="preserve"> </w:t>
            </w:r>
            <w:r>
              <w:t>undertaken:</w:t>
            </w:r>
            <w:r w:rsidR="00D23ECC">
              <w:t xml:space="preserve"> </w:t>
            </w:r>
            <w:r>
              <w:t>Residential</w:t>
            </w:r>
            <w:r w:rsidR="00D23ECC">
              <w:t xml:space="preserve"> </w:t>
            </w:r>
            <w:r>
              <w:t>Tenancies</w:t>
            </w:r>
            <w:r w:rsidR="00D23ECC">
              <w:t xml:space="preserve"> </w:t>
            </w:r>
            <w:r>
              <w:t>Bond</w:t>
            </w:r>
            <w:r w:rsidR="00D23ECC">
              <w:t xml:space="preserve"> </w:t>
            </w:r>
            <w:r>
              <w:t>Authority</w:t>
            </w:r>
            <w:r w:rsidR="00D23ECC">
              <w:t xml:space="preserve"> </w:t>
            </w:r>
            <w:r>
              <w:t>(RTBA)</w:t>
            </w:r>
          </w:p>
        </w:tc>
        <w:tc>
          <w:tcPr>
            <w:tcW w:w="1134" w:type="dxa"/>
          </w:tcPr>
          <w:p w14:paraId="13C9D9E4" w14:textId="77777777" w:rsidR="00DE3B0D" w:rsidRDefault="00DE3B0D" w:rsidP="00A95E63">
            <w:pPr>
              <w:pStyle w:val="TableText"/>
            </w:pPr>
            <w:r>
              <w:t>number</w:t>
            </w:r>
          </w:p>
        </w:tc>
        <w:tc>
          <w:tcPr>
            <w:tcW w:w="1021" w:type="dxa"/>
          </w:tcPr>
          <w:p w14:paraId="41B8CE94" w14:textId="77777777" w:rsidR="00DE3B0D" w:rsidRDefault="00DE3B0D" w:rsidP="00A95E63">
            <w:pPr>
              <w:pStyle w:val="TableTextRight"/>
            </w:pPr>
            <w:r>
              <w:t>467,431</w:t>
            </w:r>
          </w:p>
        </w:tc>
        <w:tc>
          <w:tcPr>
            <w:tcW w:w="1021" w:type="dxa"/>
          </w:tcPr>
          <w:p w14:paraId="69D9D9EE" w14:textId="77777777" w:rsidR="00DE3B0D" w:rsidRDefault="00DE3B0D" w:rsidP="00A95E63">
            <w:pPr>
              <w:pStyle w:val="TableTextRight"/>
            </w:pPr>
            <w:r>
              <w:t>492,822</w:t>
            </w:r>
          </w:p>
        </w:tc>
        <w:tc>
          <w:tcPr>
            <w:tcW w:w="1021" w:type="dxa"/>
          </w:tcPr>
          <w:p w14:paraId="658A7B51" w14:textId="77777777" w:rsidR="00DE3B0D" w:rsidRDefault="00DE3B0D" w:rsidP="00A95E63">
            <w:pPr>
              <w:pStyle w:val="TableTextRight"/>
            </w:pPr>
            <w:r>
              <w:t>476,000</w:t>
            </w:r>
          </w:p>
        </w:tc>
        <w:tc>
          <w:tcPr>
            <w:tcW w:w="1021" w:type="dxa"/>
          </w:tcPr>
          <w:p w14:paraId="0CA9B5EF" w14:textId="77777777" w:rsidR="00DE3B0D" w:rsidRDefault="00DE3B0D" w:rsidP="00A95E63">
            <w:pPr>
              <w:pStyle w:val="TableTextRight"/>
            </w:pPr>
            <w:r>
              <w:t>498,336</w:t>
            </w:r>
          </w:p>
        </w:tc>
      </w:tr>
      <w:tr w:rsidR="00DE3B0D" w14:paraId="7E7A6EAE" w14:textId="77777777" w:rsidTr="00773AA7">
        <w:trPr>
          <w:trHeight w:val="68"/>
        </w:trPr>
        <w:tc>
          <w:tcPr>
            <w:tcW w:w="3856" w:type="dxa"/>
          </w:tcPr>
          <w:p w14:paraId="77725E28" w14:textId="2F5C47ED" w:rsidR="00DE3B0D" w:rsidRDefault="00DE3B0D" w:rsidP="00A95E63">
            <w:pPr>
              <w:pStyle w:val="TableText"/>
            </w:pPr>
            <w:r>
              <w:t>Victims</w:t>
            </w:r>
            <w:r w:rsidR="00D23ECC">
              <w:t xml:space="preserve"> </w:t>
            </w:r>
            <w:r>
              <w:t>of</w:t>
            </w:r>
            <w:r w:rsidR="00D23ECC">
              <w:t xml:space="preserve"> </w:t>
            </w:r>
            <w:r>
              <w:t>family</w:t>
            </w:r>
            <w:r w:rsidR="00D23ECC">
              <w:t xml:space="preserve"> </w:t>
            </w:r>
            <w:r>
              <w:t>violence</w:t>
            </w:r>
            <w:r w:rsidR="00D23ECC">
              <w:t xml:space="preserve"> </w:t>
            </w:r>
            <w:r>
              <w:t>assisted</w:t>
            </w:r>
            <w:r w:rsidR="00D23ECC">
              <w:t xml:space="preserve"> </w:t>
            </w:r>
            <w:r>
              <w:t>with</w:t>
            </w:r>
            <w:r w:rsidR="00D23ECC">
              <w:t xml:space="preserve"> </w:t>
            </w:r>
            <w:r>
              <w:t>financial</w:t>
            </w:r>
            <w:r w:rsidR="00D23ECC">
              <w:t xml:space="preserve"> </w:t>
            </w:r>
            <w:r>
              <w:t>counselling</w:t>
            </w:r>
            <w:r>
              <w:rPr>
                <w:rFonts w:ascii="Cambria Math" w:hAnsi="Cambria Math" w:cs="Cambria Math"/>
              </w:rPr>
              <w:t> </w:t>
            </w:r>
            <w:r>
              <w:rPr>
                <w:rStyle w:val="Superscript"/>
              </w:rPr>
              <w:footnoteReference w:id="5"/>
            </w:r>
          </w:p>
        </w:tc>
        <w:tc>
          <w:tcPr>
            <w:tcW w:w="1134" w:type="dxa"/>
          </w:tcPr>
          <w:p w14:paraId="79932315" w14:textId="77777777" w:rsidR="00DE3B0D" w:rsidRDefault="00DE3B0D" w:rsidP="00A95E63">
            <w:pPr>
              <w:pStyle w:val="TableText"/>
            </w:pPr>
            <w:r>
              <w:t>number</w:t>
            </w:r>
          </w:p>
        </w:tc>
        <w:tc>
          <w:tcPr>
            <w:tcW w:w="1021" w:type="dxa"/>
          </w:tcPr>
          <w:p w14:paraId="1CB5D4E4" w14:textId="77777777" w:rsidR="00DE3B0D" w:rsidRDefault="00DE3B0D" w:rsidP="00A95E63">
            <w:pPr>
              <w:pStyle w:val="TableTextRight"/>
            </w:pPr>
            <w:r>
              <w:t>3,024</w:t>
            </w:r>
          </w:p>
        </w:tc>
        <w:tc>
          <w:tcPr>
            <w:tcW w:w="1021" w:type="dxa"/>
          </w:tcPr>
          <w:p w14:paraId="06B4F6D7" w14:textId="77777777" w:rsidR="00DE3B0D" w:rsidRDefault="00DE3B0D" w:rsidP="00A95E63">
            <w:pPr>
              <w:pStyle w:val="TableTextRight"/>
            </w:pPr>
            <w:r>
              <w:t>3,439</w:t>
            </w:r>
          </w:p>
        </w:tc>
        <w:tc>
          <w:tcPr>
            <w:tcW w:w="1021" w:type="dxa"/>
          </w:tcPr>
          <w:p w14:paraId="676E3892" w14:textId="77777777" w:rsidR="00DE3B0D" w:rsidRDefault="00DE3B0D" w:rsidP="00A95E63">
            <w:pPr>
              <w:pStyle w:val="TableTextRight"/>
            </w:pPr>
            <w:r>
              <w:t>3,750</w:t>
            </w:r>
          </w:p>
        </w:tc>
        <w:tc>
          <w:tcPr>
            <w:tcW w:w="1021" w:type="dxa"/>
          </w:tcPr>
          <w:p w14:paraId="0A7D2829" w14:textId="77777777" w:rsidR="00DE3B0D" w:rsidRDefault="00DE3B0D" w:rsidP="00A95E63">
            <w:pPr>
              <w:pStyle w:val="TableTextRight"/>
            </w:pPr>
            <w:r>
              <w:t>3,178</w:t>
            </w:r>
          </w:p>
        </w:tc>
      </w:tr>
      <w:tr w:rsidR="00DE3B0D" w14:paraId="2D4FAD7F" w14:textId="77777777" w:rsidTr="00773AA7">
        <w:trPr>
          <w:trHeight w:val="68"/>
        </w:trPr>
        <w:tc>
          <w:tcPr>
            <w:tcW w:w="3856" w:type="dxa"/>
          </w:tcPr>
          <w:p w14:paraId="39F4F57C" w14:textId="44F5322A" w:rsidR="00DE3B0D" w:rsidRDefault="00DE3B0D" w:rsidP="00A95E63">
            <w:pPr>
              <w:pStyle w:val="TableText"/>
            </w:pPr>
            <w:r>
              <w:t>Dispute</w:t>
            </w:r>
            <w:r w:rsidR="00D23ECC">
              <w:t xml:space="preserve"> </w:t>
            </w:r>
            <w:r>
              <w:t>resolution</w:t>
            </w:r>
            <w:r w:rsidR="00D23ECC">
              <w:t xml:space="preserve"> </w:t>
            </w:r>
            <w:r>
              <w:t>services</w:t>
            </w:r>
            <w:r w:rsidR="00D23ECC">
              <w:t xml:space="preserve"> </w:t>
            </w:r>
            <w:r>
              <w:t>provided</w:t>
            </w:r>
            <w:r w:rsidR="00D23ECC">
              <w:t xml:space="preserve"> </w:t>
            </w:r>
            <w:r>
              <w:t>by</w:t>
            </w:r>
            <w:r w:rsidR="00D23ECC">
              <w:t xml:space="preserve"> </w:t>
            </w:r>
            <w:r>
              <w:t>Domestic</w:t>
            </w:r>
            <w:r w:rsidR="00D23ECC">
              <w:t xml:space="preserve"> </w:t>
            </w:r>
            <w:r>
              <w:t>Building</w:t>
            </w:r>
            <w:r w:rsidR="00D23ECC">
              <w:t xml:space="preserve"> </w:t>
            </w:r>
            <w:r>
              <w:t>Dispute</w:t>
            </w:r>
            <w:r w:rsidR="00D23ECC">
              <w:t xml:space="preserve"> </w:t>
            </w:r>
            <w:r>
              <w:t>Resolution</w:t>
            </w:r>
            <w:r w:rsidR="00D23ECC">
              <w:t xml:space="preserve"> </w:t>
            </w:r>
            <w:r>
              <w:t>Victoria</w:t>
            </w:r>
            <w:r>
              <w:rPr>
                <w:rFonts w:ascii="Cambria Math" w:hAnsi="Cambria Math" w:cs="Cambria Math"/>
              </w:rPr>
              <w:t> </w:t>
            </w:r>
            <w:r>
              <w:rPr>
                <w:rStyle w:val="Superscript"/>
              </w:rPr>
              <w:footnoteReference w:id="6"/>
            </w:r>
          </w:p>
        </w:tc>
        <w:tc>
          <w:tcPr>
            <w:tcW w:w="1134" w:type="dxa"/>
          </w:tcPr>
          <w:p w14:paraId="057A5BA9" w14:textId="77777777" w:rsidR="00DE3B0D" w:rsidRDefault="00DE3B0D" w:rsidP="00A95E63">
            <w:pPr>
              <w:pStyle w:val="TableText"/>
            </w:pPr>
            <w:r>
              <w:t>number</w:t>
            </w:r>
          </w:p>
        </w:tc>
        <w:tc>
          <w:tcPr>
            <w:tcW w:w="1021" w:type="dxa"/>
          </w:tcPr>
          <w:p w14:paraId="421B0C0E" w14:textId="77777777" w:rsidR="00DE3B0D" w:rsidRDefault="00DE3B0D" w:rsidP="00A95E63">
            <w:pPr>
              <w:pStyle w:val="TableTextRight"/>
            </w:pPr>
            <w:r>
              <w:t>6,003</w:t>
            </w:r>
          </w:p>
        </w:tc>
        <w:tc>
          <w:tcPr>
            <w:tcW w:w="1021" w:type="dxa"/>
          </w:tcPr>
          <w:p w14:paraId="22AA4EA1" w14:textId="77777777" w:rsidR="00DE3B0D" w:rsidRDefault="00DE3B0D" w:rsidP="00A95E63">
            <w:pPr>
              <w:pStyle w:val="TableTextRight"/>
            </w:pPr>
            <w:r>
              <w:t>6,619</w:t>
            </w:r>
          </w:p>
        </w:tc>
        <w:tc>
          <w:tcPr>
            <w:tcW w:w="1021" w:type="dxa"/>
          </w:tcPr>
          <w:p w14:paraId="7A972C49" w14:textId="77777777" w:rsidR="00DE3B0D" w:rsidRDefault="00DE3B0D" w:rsidP="00A95E63">
            <w:pPr>
              <w:pStyle w:val="TableTextRight"/>
            </w:pPr>
            <w:r>
              <w:t>6,000</w:t>
            </w:r>
          </w:p>
        </w:tc>
        <w:tc>
          <w:tcPr>
            <w:tcW w:w="1021" w:type="dxa"/>
          </w:tcPr>
          <w:p w14:paraId="148AD665" w14:textId="77777777" w:rsidR="00DE3B0D" w:rsidRDefault="00DE3B0D" w:rsidP="00A95E63">
            <w:pPr>
              <w:pStyle w:val="TableTextRight"/>
            </w:pPr>
            <w:r>
              <w:t>5,175</w:t>
            </w:r>
          </w:p>
        </w:tc>
      </w:tr>
      <w:tr w:rsidR="00DE3B0D" w14:paraId="25C070AE" w14:textId="77777777" w:rsidTr="006F7BE3">
        <w:trPr>
          <w:trHeight w:val="68"/>
        </w:trPr>
        <w:tc>
          <w:tcPr>
            <w:tcW w:w="1134" w:type="dxa"/>
            <w:gridSpan w:val="6"/>
            <w:shd w:val="clear" w:color="auto" w:fill="B2D5F0"/>
          </w:tcPr>
          <w:p w14:paraId="64BF9B94" w14:textId="77777777" w:rsidR="00DE3B0D" w:rsidRDefault="00DE3B0D" w:rsidP="00A95E63">
            <w:pPr>
              <w:pStyle w:val="TableTextBold"/>
            </w:pPr>
            <w:r>
              <w:t>Quality</w:t>
            </w:r>
          </w:p>
        </w:tc>
      </w:tr>
      <w:tr w:rsidR="00DE3B0D" w14:paraId="6586A3C0" w14:textId="77777777" w:rsidTr="00773AA7">
        <w:trPr>
          <w:trHeight w:val="68"/>
        </w:trPr>
        <w:tc>
          <w:tcPr>
            <w:tcW w:w="3856" w:type="dxa"/>
          </w:tcPr>
          <w:p w14:paraId="62AF9CF9" w14:textId="4D643670" w:rsidR="00DE3B0D" w:rsidRDefault="00DE3B0D" w:rsidP="00A95E63">
            <w:pPr>
              <w:pStyle w:val="TableText"/>
            </w:pPr>
            <w:r>
              <w:t>Rate</w:t>
            </w:r>
            <w:r w:rsidR="00D23ECC">
              <w:t xml:space="preserve"> </w:t>
            </w:r>
            <w:r>
              <w:t>of</w:t>
            </w:r>
            <w:r w:rsidR="00D23ECC">
              <w:t xml:space="preserve"> </w:t>
            </w:r>
            <w:r>
              <w:t>compliance</w:t>
            </w:r>
            <w:r w:rsidR="00D23ECC">
              <w:t xml:space="preserve"> </w:t>
            </w:r>
            <w:r>
              <w:t>with</w:t>
            </w:r>
            <w:r w:rsidR="00D23ECC">
              <w:t xml:space="preserve"> </w:t>
            </w:r>
            <w:r>
              <w:t>key</w:t>
            </w:r>
            <w:r w:rsidR="00D23ECC">
              <w:t xml:space="preserve"> </w:t>
            </w:r>
            <w:r>
              <w:t>consumer</w:t>
            </w:r>
            <w:r w:rsidR="00D23ECC">
              <w:t xml:space="preserve"> </w:t>
            </w:r>
            <w:r>
              <w:t>laws</w:t>
            </w:r>
            <w:r>
              <w:rPr>
                <w:rFonts w:ascii="Cambria Math" w:hAnsi="Cambria Math" w:cs="Cambria Math"/>
              </w:rPr>
              <w:t> </w:t>
            </w:r>
            <w:r>
              <w:rPr>
                <w:rStyle w:val="Superscript"/>
              </w:rPr>
              <w:footnoteReference w:id="7"/>
            </w:r>
          </w:p>
        </w:tc>
        <w:tc>
          <w:tcPr>
            <w:tcW w:w="1134" w:type="dxa"/>
          </w:tcPr>
          <w:p w14:paraId="0625ED87" w14:textId="650186C4" w:rsidR="00DE3B0D" w:rsidRDefault="00DE3B0D" w:rsidP="00A95E63">
            <w:pPr>
              <w:pStyle w:val="TableText"/>
            </w:pPr>
            <w:r>
              <w:t>per</w:t>
            </w:r>
            <w:r w:rsidR="00D23ECC">
              <w:t xml:space="preserve"> </w:t>
            </w:r>
            <w:r>
              <w:t>cent</w:t>
            </w:r>
          </w:p>
        </w:tc>
        <w:tc>
          <w:tcPr>
            <w:tcW w:w="1021" w:type="dxa"/>
          </w:tcPr>
          <w:p w14:paraId="78160B30" w14:textId="77777777" w:rsidR="00DE3B0D" w:rsidRDefault="00DE3B0D" w:rsidP="00A95E63">
            <w:pPr>
              <w:pStyle w:val="TableTextRight"/>
            </w:pPr>
            <w:r>
              <w:t>91.5</w:t>
            </w:r>
          </w:p>
        </w:tc>
        <w:tc>
          <w:tcPr>
            <w:tcW w:w="1021" w:type="dxa"/>
          </w:tcPr>
          <w:p w14:paraId="00B824A8" w14:textId="77777777" w:rsidR="00DE3B0D" w:rsidRDefault="00DE3B0D" w:rsidP="00A95E63">
            <w:pPr>
              <w:pStyle w:val="TableTextRight"/>
            </w:pPr>
            <w:r>
              <w:t>94.5</w:t>
            </w:r>
          </w:p>
        </w:tc>
        <w:tc>
          <w:tcPr>
            <w:tcW w:w="1021" w:type="dxa"/>
          </w:tcPr>
          <w:p w14:paraId="3362EA05" w14:textId="77777777" w:rsidR="00DE3B0D" w:rsidRDefault="00DE3B0D" w:rsidP="00A95E63">
            <w:pPr>
              <w:pStyle w:val="TableTextRight"/>
            </w:pPr>
            <w:r>
              <w:t>95</w:t>
            </w:r>
          </w:p>
        </w:tc>
        <w:tc>
          <w:tcPr>
            <w:tcW w:w="1021" w:type="dxa"/>
          </w:tcPr>
          <w:p w14:paraId="74B88301" w14:textId="77777777" w:rsidR="00DE3B0D" w:rsidRDefault="00DE3B0D" w:rsidP="00A95E63">
            <w:pPr>
              <w:pStyle w:val="TableTextRight"/>
            </w:pPr>
            <w:r>
              <w:t>90</w:t>
            </w:r>
          </w:p>
        </w:tc>
      </w:tr>
      <w:tr w:rsidR="00DE3B0D" w14:paraId="65054131" w14:textId="77777777" w:rsidTr="006F7BE3">
        <w:trPr>
          <w:trHeight w:val="68"/>
        </w:trPr>
        <w:tc>
          <w:tcPr>
            <w:tcW w:w="1134" w:type="dxa"/>
            <w:gridSpan w:val="6"/>
            <w:shd w:val="clear" w:color="auto" w:fill="B2D5F0"/>
          </w:tcPr>
          <w:p w14:paraId="7944F202" w14:textId="77777777" w:rsidR="00DE3B0D" w:rsidRDefault="00DE3B0D" w:rsidP="00A95E63">
            <w:pPr>
              <w:pStyle w:val="TableTextBold"/>
            </w:pPr>
            <w:r>
              <w:t>Timeliness</w:t>
            </w:r>
          </w:p>
        </w:tc>
      </w:tr>
      <w:tr w:rsidR="00DE3B0D" w14:paraId="7FB4AB64" w14:textId="77777777" w:rsidTr="00773AA7">
        <w:trPr>
          <w:trHeight w:val="68"/>
        </w:trPr>
        <w:tc>
          <w:tcPr>
            <w:tcW w:w="3856" w:type="dxa"/>
          </w:tcPr>
          <w:p w14:paraId="15A2E86B" w14:textId="0423F8A2" w:rsidR="00DE3B0D" w:rsidRDefault="00DE3B0D" w:rsidP="00A95E63">
            <w:pPr>
              <w:pStyle w:val="TableText"/>
            </w:pPr>
            <w:r>
              <w:t>Regulatory</w:t>
            </w:r>
            <w:r w:rsidR="00D23ECC">
              <w:t xml:space="preserve"> </w:t>
            </w:r>
            <w:r>
              <w:t>functions</w:t>
            </w:r>
            <w:r w:rsidR="00D23ECC">
              <w:t xml:space="preserve"> </w:t>
            </w:r>
            <w:r>
              <w:t>delivered</w:t>
            </w:r>
            <w:r w:rsidR="00D23ECC">
              <w:t xml:space="preserve"> </w:t>
            </w:r>
            <w:r>
              <w:t>within</w:t>
            </w:r>
            <w:r w:rsidR="00D23ECC">
              <w:t xml:space="preserve"> </w:t>
            </w:r>
            <w:r>
              <w:t>agreed</w:t>
            </w:r>
            <w:r w:rsidR="00D23ECC">
              <w:t xml:space="preserve"> </w:t>
            </w:r>
            <w:r>
              <w:t>time</w:t>
            </w:r>
            <w:r w:rsidR="00D23ECC">
              <w:t xml:space="preserve"> </w:t>
            </w:r>
            <w:r>
              <w:t>frames</w:t>
            </w:r>
          </w:p>
        </w:tc>
        <w:tc>
          <w:tcPr>
            <w:tcW w:w="1134" w:type="dxa"/>
          </w:tcPr>
          <w:p w14:paraId="25BB0EC4" w14:textId="4C6CC181" w:rsidR="00DE3B0D" w:rsidRDefault="00DE3B0D" w:rsidP="00A95E63">
            <w:pPr>
              <w:pStyle w:val="TableText"/>
            </w:pPr>
            <w:r>
              <w:t>per</w:t>
            </w:r>
            <w:r w:rsidR="00D23ECC">
              <w:t xml:space="preserve"> </w:t>
            </w:r>
            <w:r>
              <w:t>cent</w:t>
            </w:r>
          </w:p>
        </w:tc>
        <w:tc>
          <w:tcPr>
            <w:tcW w:w="1021" w:type="dxa"/>
          </w:tcPr>
          <w:p w14:paraId="14322A08" w14:textId="77777777" w:rsidR="00DE3B0D" w:rsidRDefault="00DE3B0D" w:rsidP="00A95E63">
            <w:pPr>
              <w:pStyle w:val="TableTextRight"/>
            </w:pPr>
            <w:r>
              <w:t>97.8</w:t>
            </w:r>
          </w:p>
        </w:tc>
        <w:tc>
          <w:tcPr>
            <w:tcW w:w="1021" w:type="dxa"/>
          </w:tcPr>
          <w:p w14:paraId="63832A8E" w14:textId="77777777" w:rsidR="00DE3B0D" w:rsidRDefault="00DE3B0D" w:rsidP="00A95E63">
            <w:pPr>
              <w:pStyle w:val="TableTextRight"/>
            </w:pPr>
            <w:r>
              <w:t>94.4</w:t>
            </w:r>
          </w:p>
        </w:tc>
        <w:tc>
          <w:tcPr>
            <w:tcW w:w="1021" w:type="dxa"/>
          </w:tcPr>
          <w:p w14:paraId="3A046586" w14:textId="77777777" w:rsidR="00DE3B0D" w:rsidRDefault="00DE3B0D" w:rsidP="00A95E63">
            <w:pPr>
              <w:pStyle w:val="TableTextRight"/>
            </w:pPr>
            <w:r>
              <w:t>95</w:t>
            </w:r>
          </w:p>
        </w:tc>
        <w:tc>
          <w:tcPr>
            <w:tcW w:w="1021" w:type="dxa"/>
          </w:tcPr>
          <w:p w14:paraId="55B79AA6" w14:textId="77777777" w:rsidR="00DE3B0D" w:rsidRDefault="00DE3B0D" w:rsidP="00A95E63">
            <w:pPr>
              <w:pStyle w:val="TableTextRight"/>
            </w:pPr>
            <w:r>
              <w:t>96.7</w:t>
            </w:r>
          </w:p>
        </w:tc>
      </w:tr>
      <w:tr w:rsidR="00DE3B0D" w14:paraId="140B601B" w14:textId="77777777" w:rsidTr="00773AA7">
        <w:trPr>
          <w:trHeight w:val="68"/>
        </w:trPr>
        <w:tc>
          <w:tcPr>
            <w:tcW w:w="3856" w:type="dxa"/>
          </w:tcPr>
          <w:p w14:paraId="51201A68" w14:textId="3D9C4E05" w:rsidR="00DE3B0D" w:rsidRDefault="00DE3B0D" w:rsidP="00A95E63">
            <w:pPr>
              <w:pStyle w:val="TableText"/>
            </w:pPr>
            <w:r>
              <w:t>Proportion</w:t>
            </w:r>
            <w:r w:rsidR="00D23ECC">
              <w:t xml:space="preserve"> </w:t>
            </w:r>
            <w:r>
              <w:t>of</w:t>
            </w:r>
            <w:r w:rsidR="00D23ECC">
              <w:t xml:space="preserve"> </w:t>
            </w:r>
            <w:r>
              <w:t>high</w:t>
            </w:r>
            <w:r w:rsidR="00D23ECC">
              <w:t xml:space="preserve"> </w:t>
            </w:r>
            <w:r>
              <w:t>priority</w:t>
            </w:r>
            <w:r w:rsidR="00D23ECC">
              <w:t xml:space="preserve"> </w:t>
            </w:r>
            <w:r>
              <w:t>breaches</w:t>
            </w:r>
            <w:r w:rsidR="00D23ECC">
              <w:t xml:space="preserve"> </w:t>
            </w:r>
            <w:r>
              <w:t>resulting</w:t>
            </w:r>
            <w:r w:rsidR="00D23ECC">
              <w:t xml:space="preserve"> </w:t>
            </w:r>
            <w:r>
              <w:t>in</w:t>
            </w:r>
            <w:r w:rsidR="00D23ECC">
              <w:t xml:space="preserve"> </w:t>
            </w:r>
            <w:r>
              <w:t>regulatory</w:t>
            </w:r>
            <w:r w:rsidR="00D23ECC">
              <w:t xml:space="preserve"> </w:t>
            </w:r>
            <w:r>
              <w:t>response</w:t>
            </w:r>
          </w:p>
        </w:tc>
        <w:tc>
          <w:tcPr>
            <w:tcW w:w="1134" w:type="dxa"/>
          </w:tcPr>
          <w:p w14:paraId="57A1E404" w14:textId="6B413005" w:rsidR="00DE3B0D" w:rsidRDefault="00DE3B0D" w:rsidP="00A95E63">
            <w:pPr>
              <w:pStyle w:val="TableText"/>
            </w:pPr>
            <w:r>
              <w:t>per</w:t>
            </w:r>
            <w:r w:rsidR="00D23ECC">
              <w:t xml:space="preserve"> </w:t>
            </w:r>
            <w:r>
              <w:t>cent</w:t>
            </w:r>
          </w:p>
        </w:tc>
        <w:tc>
          <w:tcPr>
            <w:tcW w:w="1021" w:type="dxa"/>
          </w:tcPr>
          <w:p w14:paraId="78B55E4B" w14:textId="77777777" w:rsidR="00DE3B0D" w:rsidRDefault="00DE3B0D" w:rsidP="00A95E63">
            <w:pPr>
              <w:pStyle w:val="TableTextRight"/>
            </w:pPr>
            <w:r>
              <w:t>100</w:t>
            </w:r>
          </w:p>
        </w:tc>
        <w:tc>
          <w:tcPr>
            <w:tcW w:w="1021" w:type="dxa"/>
          </w:tcPr>
          <w:p w14:paraId="60EF5237" w14:textId="77777777" w:rsidR="00DE3B0D" w:rsidRDefault="00DE3B0D" w:rsidP="00A95E63">
            <w:pPr>
              <w:pStyle w:val="TableTextRight"/>
            </w:pPr>
            <w:r>
              <w:t>100</w:t>
            </w:r>
          </w:p>
        </w:tc>
        <w:tc>
          <w:tcPr>
            <w:tcW w:w="1021" w:type="dxa"/>
          </w:tcPr>
          <w:p w14:paraId="5831E245" w14:textId="77777777" w:rsidR="00DE3B0D" w:rsidRDefault="00DE3B0D" w:rsidP="00A95E63">
            <w:pPr>
              <w:pStyle w:val="TableTextRight"/>
            </w:pPr>
            <w:r>
              <w:t>100</w:t>
            </w:r>
          </w:p>
        </w:tc>
        <w:tc>
          <w:tcPr>
            <w:tcW w:w="1021" w:type="dxa"/>
          </w:tcPr>
          <w:p w14:paraId="0CC24630" w14:textId="77777777" w:rsidR="00DE3B0D" w:rsidRDefault="00DE3B0D" w:rsidP="00A95E63">
            <w:pPr>
              <w:pStyle w:val="TableTextRight"/>
            </w:pPr>
            <w:r>
              <w:t>100</w:t>
            </w:r>
          </w:p>
        </w:tc>
      </w:tr>
      <w:tr w:rsidR="00DE3B0D" w14:paraId="2DEE355C" w14:textId="77777777" w:rsidTr="006F7BE3">
        <w:trPr>
          <w:trHeight w:val="68"/>
        </w:trPr>
        <w:tc>
          <w:tcPr>
            <w:tcW w:w="1134" w:type="dxa"/>
            <w:gridSpan w:val="6"/>
            <w:shd w:val="clear" w:color="auto" w:fill="B2D5F0"/>
          </w:tcPr>
          <w:p w14:paraId="137295EC" w14:textId="77777777" w:rsidR="00DE3B0D" w:rsidRDefault="00DE3B0D" w:rsidP="00A95E63">
            <w:pPr>
              <w:pStyle w:val="TableTextBold"/>
            </w:pPr>
            <w:r>
              <w:t>Cost</w:t>
            </w:r>
          </w:p>
        </w:tc>
      </w:tr>
      <w:tr w:rsidR="00DE3B0D" w14:paraId="318B549B" w14:textId="77777777" w:rsidTr="00773AA7">
        <w:trPr>
          <w:trHeight w:val="68"/>
        </w:trPr>
        <w:tc>
          <w:tcPr>
            <w:tcW w:w="3856" w:type="dxa"/>
          </w:tcPr>
          <w:p w14:paraId="2681CDDC" w14:textId="115C6D1B" w:rsidR="00DE3B0D" w:rsidRDefault="00DE3B0D" w:rsidP="00A95E63">
            <w:pPr>
              <w:pStyle w:val="TableText"/>
            </w:pPr>
            <w:r>
              <w:t>Total</w:t>
            </w:r>
            <w:r w:rsidR="00D23ECC">
              <w:t xml:space="preserve"> </w:t>
            </w:r>
            <w:r>
              <w:t>output</w:t>
            </w:r>
            <w:r w:rsidR="00D23ECC">
              <w:t xml:space="preserve"> </w:t>
            </w:r>
            <w:r>
              <w:t>cost</w:t>
            </w:r>
          </w:p>
        </w:tc>
        <w:tc>
          <w:tcPr>
            <w:tcW w:w="1134" w:type="dxa"/>
          </w:tcPr>
          <w:p w14:paraId="5CC336AE" w14:textId="1CA324EE" w:rsidR="00DE3B0D" w:rsidRDefault="00DE3B0D" w:rsidP="00A95E63">
            <w:pPr>
              <w:pStyle w:val="TableText"/>
            </w:pPr>
            <w:r>
              <w:t>$</w:t>
            </w:r>
            <w:r w:rsidR="00D23ECC">
              <w:t xml:space="preserve"> </w:t>
            </w:r>
            <w:r>
              <w:t>million</w:t>
            </w:r>
          </w:p>
        </w:tc>
        <w:tc>
          <w:tcPr>
            <w:tcW w:w="1021" w:type="dxa"/>
          </w:tcPr>
          <w:p w14:paraId="48158F2C" w14:textId="77777777" w:rsidR="00DE3B0D" w:rsidRDefault="00DE3B0D" w:rsidP="00A95E63">
            <w:pPr>
              <w:pStyle w:val="TableTextRight"/>
            </w:pPr>
            <w:r>
              <w:t>146.9</w:t>
            </w:r>
          </w:p>
        </w:tc>
        <w:tc>
          <w:tcPr>
            <w:tcW w:w="1021" w:type="dxa"/>
          </w:tcPr>
          <w:p w14:paraId="7E225C47" w14:textId="77777777" w:rsidR="00DE3B0D" w:rsidRDefault="00DE3B0D" w:rsidP="00A95E63">
            <w:pPr>
              <w:pStyle w:val="TableTextRight"/>
            </w:pPr>
            <w:r>
              <w:t>127.4</w:t>
            </w:r>
          </w:p>
        </w:tc>
        <w:tc>
          <w:tcPr>
            <w:tcW w:w="1021" w:type="dxa"/>
          </w:tcPr>
          <w:p w14:paraId="073B1312" w14:textId="77777777" w:rsidR="00DE3B0D" w:rsidRDefault="00DE3B0D" w:rsidP="00A95E63">
            <w:pPr>
              <w:pStyle w:val="TableTextRight"/>
            </w:pPr>
            <w:r>
              <w:t>149</w:t>
            </w:r>
          </w:p>
        </w:tc>
        <w:tc>
          <w:tcPr>
            <w:tcW w:w="1021" w:type="dxa"/>
          </w:tcPr>
          <w:p w14:paraId="00575603" w14:textId="77777777" w:rsidR="00DE3B0D" w:rsidRDefault="00DE3B0D" w:rsidP="00A95E63">
            <w:pPr>
              <w:pStyle w:val="TableTextRight"/>
            </w:pPr>
            <w:r>
              <w:t>147.7</w:t>
            </w:r>
          </w:p>
        </w:tc>
      </w:tr>
    </w:tbl>
    <w:p w14:paraId="421E8366" w14:textId="72AEFC32" w:rsidR="00DE3B0D" w:rsidRDefault="00DE3B0D" w:rsidP="00AE374E">
      <w:pPr>
        <w:pStyle w:val="Heading2"/>
      </w:pPr>
      <w:bookmarkStart w:id="12" w:name="_Our_achievements"/>
      <w:bookmarkStart w:id="13" w:name="_Ref85883341"/>
      <w:bookmarkStart w:id="14" w:name="_Toc85912297"/>
      <w:bookmarkEnd w:id="12"/>
      <w:r>
        <w:lastRenderedPageBreak/>
        <w:t>Our</w:t>
      </w:r>
      <w:r w:rsidR="00D23ECC">
        <w:t xml:space="preserve"> </w:t>
      </w:r>
      <w:r>
        <w:t>achievements</w:t>
      </w:r>
      <w:bookmarkEnd w:id="13"/>
      <w:bookmarkEnd w:id="14"/>
    </w:p>
    <w:p w14:paraId="27A3A66A" w14:textId="7DB489DA" w:rsidR="00DE3B0D" w:rsidRDefault="00DE3B0D" w:rsidP="00D23ECC">
      <w:pPr>
        <w:pStyle w:val="BodyText"/>
      </w:pPr>
      <w:r>
        <w:t>Our</w:t>
      </w:r>
      <w:r w:rsidR="00D23ECC">
        <w:t xml:space="preserve"> </w:t>
      </w:r>
      <w:r>
        <w:t>achievements</w:t>
      </w:r>
      <w:r w:rsidR="00D23ECC">
        <w:t xml:space="preserve"> </w:t>
      </w:r>
      <w:r>
        <w:t>are</w:t>
      </w:r>
      <w:r w:rsidR="00D23ECC">
        <w:t xml:space="preserve"> </w:t>
      </w:r>
      <w:r>
        <w:t>presented</w:t>
      </w:r>
      <w:r w:rsidR="00D23ECC">
        <w:t xml:space="preserve"> </w:t>
      </w:r>
      <w:r>
        <w:t>under</w:t>
      </w:r>
      <w:r w:rsidR="00D23ECC">
        <w:t xml:space="preserve"> </w:t>
      </w:r>
      <w:r>
        <w:t>each</w:t>
      </w:r>
      <w:r w:rsidR="00D23ECC">
        <w:t xml:space="preserve"> </w:t>
      </w:r>
      <w:r>
        <w:t>of</w:t>
      </w:r>
      <w:r w:rsidR="00D23ECC">
        <w:t xml:space="preserve"> </w:t>
      </w:r>
      <w:r>
        <w:t>our</w:t>
      </w:r>
      <w:r w:rsidR="00D23ECC">
        <w:t xml:space="preserve"> </w:t>
      </w:r>
      <w:r>
        <w:t>outcomes,</w:t>
      </w:r>
      <w:r w:rsidR="00D23ECC">
        <w:t xml:space="preserve"> </w:t>
      </w:r>
      <w:r>
        <w:t>including</w:t>
      </w:r>
      <w:r w:rsidR="00D23ECC">
        <w:t xml:space="preserve"> </w:t>
      </w:r>
      <w:r>
        <w:t>data</w:t>
      </w:r>
      <w:r w:rsidR="00D23ECC">
        <w:t xml:space="preserve"> </w:t>
      </w:r>
      <w:r>
        <w:t>on</w:t>
      </w:r>
      <w:r w:rsidR="00D23ECC">
        <w:t xml:space="preserve"> </w:t>
      </w:r>
      <w:r>
        <w:t>our</w:t>
      </w:r>
      <w:r w:rsidR="00D23ECC">
        <w:t xml:space="preserve"> </w:t>
      </w:r>
      <w:r>
        <w:t>outputs</w:t>
      </w:r>
      <w:r w:rsidR="00D23ECC">
        <w:t xml:space="preserve"> </w:t>
      </w:r>
      <w:r>
        <w:t>and</w:t>
      </w:r>
      <w:r w:rsidR="00D23ECC">
        <w:t xml:space="preserve"> </w:t>
      </w:r>
      <w:r>
        <w:t>case</w:t>
      </w:r>
      <w:r w:rsidR="00D23ECC">
        <w:t xml:space="preserve"> </w:t>
      </w:r>
      <w:r>
        <w:t>studies</w:t>
      </w:r>
      <w:r w:rsidR="00D23ECC">
        <w:t xml:space="preserve"> </w:t>
      </w:r>
      <w:r>
        <w:t>highlighting</w:t>
      </w:r>
      <w:r w:rsidR="00D23ECC">
        <w:t xml:space="preserve"> </w:t>
      </w:r>
      <w:r>
        <w:t>our</w:t>
      </w:r>
      <w:r w:rsidR="00D23ECC">
        <w:t xml:space="preserve"> </w:t>
      </w:r>
      <w:r>
        <w:t>work.</w:t>
      </w:r>
    </w:p>
    <w:p w14:paraId="4C33F97D" w14:textId="24610E45" w:rsidR="00DE3B0D" w:rsidRPr="00B04B74" w:rsidRDefault="00DE3B0D" w:rsidP="00B04B74">
      <w:pPr>
        <w:pStyle w:val="Heading3"/>
      </w:pPr>
      <w:bookmarkStart w:id="15" w:name="_Toc85912298"/>
      <w:r w:rsidRPr="00B04B74">
        <w:t>Outcome</w:t>
      </w:r>
      <w:r w:rsidR="00D23ECC" w:rsidRPr="00B04B74">
        <w:t xml:space="preserve"> </w:t>
      </w:r>
      <w:r w:rsidRPr="00B04B74">
        <w:t>1</w:t>
      </w:r>
      <w:r w:rsidR="00D23ECC" w:rsidRPr="00B04B74">
        <w:t xml:space="preserve"> </w:t>
      </w:r>
      <w:r w:rsidRPr="00B04B74">
        <w:t>–</w:t>
      </w:r>
      <w:r w:rsidR="00D23ECC" w:rsidRPr="00B04B74">
        <w:t xml:space="preserve"> </w:t>
      </w:r>
      <w:r w:rsidRPr="00B04B74">
        <w:t>Businesses</w:t>
      </w:r>
      <w:r w:rsidR="00D23ECC" w:rsidRPr="00B04B74">
        <w:t xml:space="preserve"> </w:t>
      </w:r>
      <w:r w:rsidRPr="00B04B74">
        <w:t>comply</w:t>
      </w:r>
      <w:r w:rsidR="00D23ECC" w:rsidRPr="00B04B74">
        <w:t xml:space="preserve"> </w:t>
      </w:r>
      <w:r w:rsidRPr="00B04B74">
        <w:t>with</w:t>
      </w:r>
      <w:r w:rsidR="00D23ECC" w:rsidRPr="00B04B74">
        <w:t xml:space="preserve"> </w:t>
      </w:r>
      <w:r w:rsidRPr="00B04B74">
        <w:t>consumer</w:t>
      </w:r>
      <w:r w:rsidR="00D23ECC" w:rsidRPr="00B04B74">
        <w:t xml:space="preserve"> </w:t>
      </w:r>
      <w:r w:rsidRPr="00B04B74">
        <w:t>laws</w:t>
      </w:r>
      <w:bookmarkEnd w:id="15"/>
    </w:p>
    <w:p w14:paraId="00F7071B" w14:textId="795E35F2" w:rsidR="00DE3B0D" w:rsidRDefault="00DE3B0D" w:rsidP="00D23ECC">
      <w:pPr>
        <w:pStyle w:val="BodyText"/>
      </w:pPr>
      <w:r>
        <w:t>A</w:t>
      </w:r>
      <w:r w:rsidR="00D23ECC">
        <w:t xml:space="preserve"> </w:t>
      </w:r>
      <w:r>
        <w:t>key</w:t>
      </w:r>
      <w:r w:rsidR="00D23ECC">
        <w:t xml:space="preserve"> </w:t>
      </w:r>
      <w:r>
        <w:t>to</w:t>
      </w:r>
      <w:r w:rsidR="00D23ECC">
        <w:t xml:space="preserve"> </w:t>
      </w:r>
      <w:r>
        <w:t>achieving</w:t>
      </w:r>
      <w:r w:rsidR="00D23ECC">
        <w:t xml:space="preserve"> </w:t>
      </w:r>
      <w:r>
        <w:t>a</w:t>
      </w:r>
      <w:r w:rsidR="00D23ECC">
        <w:t xml:space="preserve"> </w:t>
      </w:r>
      <w:r>
        <w:t>fair</w:t>
      </w:r>
      <w:r w:rsidR="00D23ECC">
        <w:t xml:space="preserve"> </w:t>
      </w:r>
      <w:r>
        <w:t>and</w:t>
      </w:r>
      <w:r w:rsidR="00D23ECC">
        <w:t xml:space="preserve"> </w:t>
      </w:r>
      <w:r>
        <w:t>competitive</w:t>
      </w:r>
      <w:r w:rsidR="00D23ECC">
        <w:t xml:space="preserve"> </w:t>
      </w:r>
      <w:r>
        <w:t>marketplace</w:t>
      </w:r>
      <w:r w:rsidR="00D23ECC">
        <w:t xml:space="preserve"> </w:t>
      </w:r>
      <w:r>
        <w:t>is</w:t>
      </w:r>
      <w:r w:rsidR="00D23ECC">
        <w:t xml:space="preserve"> </w:t>
      </w:r>
      <w:r>
        <w:t>ensuring</w:t>
      </w:r>
      <w:r w:rsidR="00D23ECC">
        <w:t xml:space="preserve"> </w:t>
      </w:r>
      <w:r>
        <w:t>businesses</w:t>
      </w:r>
      <w:r w:rsidR="00D23ECC">
        <w:t xml:space="preserve"> </w:t>
      </w:r>
      <w:r>
        <w:t>comply</w:t>
      </w:r>
      <w:r w:rsidR="00D23ECC">
        <w:t xml:space="preserve"> </w:t>
      </w:r>
      <w:r>
        <w:t>with</w:t>
      </w:r>
      <w:r w:rsidR="00D23ECC">
        <w:t xml:space="preserve"> </w:t>
      </w:r>
      <w:r>
        <w:t>consumer</w:t>
      </w:r>
      <w:r w:rsidR="00D23ECC">
        <w:t xml:space="preserve"> </w:t>
      </w:r>
      <w:r>
        <w:t>laws.</w:t>
      </w:r>
      <w:r w:rsidR="00D23ECC">
        <w:t xml:space="preserve"> </w:t>
      </w:r>
      <w:r>
        <w:t>We</w:t>
      </w:r>
      <w:r w:rsidR="00D23ECC">
        <w:t xml:space="preserve"> </w:t>
      </w:r>
      <w:r>
        <w:t>focus</w:t>
      </w:r>
      <w:r w:rsidR="00D23ECC">
        <w:t xml:space="preserve"> </w:t>
      </w:r>
      <w:r>
        <w:t>on</w:t>
      </w:r>
      <w:r w:rsidR="00D23ECC">
        <w:t xml:space="preserve"> </w:t>
      </w:r>
      <w:r>
        <w:t>achieving</w:t>
      </w:r>
      <w:r w:rsidR="00D23ECC">
        <w:t xml:space="preserve"> </w:t>
      </w:r>
      <w:r>
        <w:t>high</w:t>
      </w:r>
      <w:r w:rsidR="00D23ECC">
        <w:t xml:space="preserve"> </w:t>
      </w:r>
      <w:r>
        <w:t>levels</w:t>
      </w:r>
      <w:r w:rsidR="00D23ECC">
        <w:t xml:space="preserve"> </w:t>
      </w:r>
      <w:r>
        <w:t>of</w:t>
      </w:r>
      <w:r w:rsidR="00D23ECC">
        <w:t xml:space="preserve"> </w:t>
      </w:r>
      <w:r>
        <w:t>business</w:t>
      </w:r>
      <w:r w:rsidR="00D23ECC">
        <w:t xml:space="preserve"> </w:t>
      </w:r>
      <w:r>
        <w:t>compliance</w:t>
      </w:r>
      <w:r w:rsidR="00D23ECC">
        <w:t xml:space="preserve"> </w:t>
      </w:r>
      <w:r>
        <w:t>by</w:t>
      </w:r>
      <w:r w:rsidR="00D23ECC">
        <w:t xml:space="preserve"> </w:t>
      </w:r>
      <w:r>
        <w:t>working</w:t>
      </w:r>
      <w:r w:rsidR="00D23ECC">
        <w:t xml:space="preserve"> </w:t>
      </w:r>
      <w:r>
        <w:t>with</w:t>
      </w:r>
      <w:r w:rsidR="00D23ECC">
        <w:t xml:space="preserve"> </w:t>
      </w:r>
      <w:r>
        <w:t>relevant</w:t>
      </w:r>
      <w:r w:rsidR="00D23ECC">
        <w:t xml:space="preserve"> </w:t>
      </w:r>
      <w:r>
        <w:t>industry</w:t>
      </w:r>
      <w:r w:rsidR="00D23ECC">
        <w:t xml:space="preserve"> </w:t>
      </w:r>
      <w:r>
        <w:t>bodies</w:t>
      </w:r>
      <w:r w:rsidR="00D23ECC">
        <w:t xml:space="preserve"> </w:t>
      </w:r>
      <w:r>
        <w:t>and</w:t>
      </w:r>
      <w:r w:rsidR="00D23ECC">
        <w:t xml:space="preserve"> </w:t>
      </w:r>
      <w:r>
        <w:t>other</w:t>
      </w:r>
      <w:r w:rsidR="00D23ECC">
        <w:t xml:space="preserve"> </w:t>
      </w:r>
      <w:r>
        <w:t>partners.</w:t>
      </w:r>
      <w:r w:rsidR="00D23ECC">
        <w:t xml:space="preserve"> </w:t>
      </w:r>
      <w:r>
        <w:t>We</w:t>
      </w:r>
      <w:r w:rsidR="00D23ECC">
        <w:t xml:space="preserve"> </w:t>
      </w:r>
      <w:r>
        <w:t>continue</w:t>
      </w:r>
      <w:r w:rsidR="00D23ECC">
        <w:t xml:space="preserve"> </w:t>
      </w:r>
      <w:r>
        <w:t>to</w:t>
      </w:r>
      <w:r w:rsidR="00D23ECC">
        <w:t xml:space="preserve"> </w:t>
      </w:r>
      <w:r>
        <w:t>support</w:t>
      </w:r>
      <w:r w:rsidR="00D23ECC">
        <w:t xml:space="preserve"> </w:t>
      </w:r>
      <w:r>
        <w:t>businesses</w:t>
      </w:r>
      <w:r w:rsidR="00D23ECC">
        <w:t xml:space="preserve"> </w:t>
      </w:r>
      <w:r>
        <w:t>to</w:t>
      </w:r>
      <w:r w:rsidR="00D23ECC">
        <w:t xml:space="preserve"> </w:t>
      </w:r>
      <w:r>
        <w:t>be</w:t>
      </w:r>
      <w:r w:rsidR="00D23ECC">
        <w:t xml:space="preserve"> </w:t>
      </w:r>
      <w:r>
        <w:t>compliant</w:t>
      </w:r>
      <w:r w:rsidR="00D23ECC">
        <w:t xml:space="preserve"> </w:t>
      </w:r>
      <w:r>
        <w:t>by</w:t>
      </w:r>
      <w:r w:rsidR="00D23ECC">
        <w:t xml:space="preserve"> </w:t>
      </w:r>
      <w:r>
        <w:t>giving</w:t>
      </w:r>
      <w:r w:rsidR="00D23ECC">
        <w:t xml:space="preserve"> </w:t>
      </w:r>
      <w:r>
        <w:t>them</w:t>
      </w:r>
      <w:r w:rsidR="00D23ECC">
        <w:t xml:space="preserve"> </w:t>
      </w:r>
      <w:r>
        <w:t>information</w:t>
      </w:r>
      <w:r w:rsidR="00D23ECC">
        <w:t xml:space="preserve"> </w:t>
      </w:r>
      <w:r>
        <w:t>and</w:t>
      </w:r>
      <w:r w:rsidR="00D23ECC">
        <w:t xml:space="preserve"> </w:t>
      </w:r>
      <w:r>
        <w:t>resources.</w:t>
      </w:r>
      <w:r w:rsidR="00D23ECC">
        <w:t xml:space="preserve"> </w:t>
      </w:r>
      <w:r>
        <w:t>Under</w:t>
      </w:r>
      <w:r w:rsidR="00D23ECC">
        <w:t xml:space="preserve"> </w:t>
      </w:r>
      <w:r>
        <w:t>our</w:t>
      </w:r>
      <w:r w:rsidR="00D23ECC">
        <w:t xml:space="preserve"> </w:t>
      </w:r>
      <w:r>
        <w:t>integrated,</w:t>
      </w:r>
      <w:r w:rsidR="00D23ECC">
        <w:t xml:space="preserve"> </w:t>
      </w:r>
      <w:r>
        <w:t>risk-based</w:t>
      </w:r>
      <w:r w:rsidR="00D23ECC">
        <w:t xml:space="preserve"> </w:t>
      </w:r>
      <w:r>
        <w:t>approach</w:t>
      </w:r>
      <w:r w:rsidR="00D23ECC">
        <w:t xml:space="preserve"> </w:t>
      </w:r>
      <w:r>
        <w:t>to</w:t>
      </w:r>
      <w:r w:rsidR="00D23ECC">
        <w:t xml:space="preserve"> </w:t>
      </w:r>
      <w:r>
        <w:t>compliance,</w:t>
      </w:r>
      <w:r w:rsidR="00D23ECC">
        <w:t xml:space="preserve"> </w:t>
      </w:r>
      <w:r>
        <w:t>we</w:t>
      </w:r>
      <w:r w:rsidR="00D23ECC">
        <w:t xml:space="preserve"> </w:t>
      </w:r>
      <w:r>
        <w:t>act</w:t>
      </w:r>
      <w:r w:rsidR="00D23ECC">
        <w:t xml:space="preserve"> </w:t>
      </w:r>
      <w:r>
        <w:t>quickly</w:t>
      </w:r>
      <w:r w:rsidR="00D23ECC">
        <w:t xml:space="preserve"> </w:t>
      </w:r>
      <w:r>
        <w:t>against</w:t>
      </w:r>
      <w:r w:rsidR="00D23ECC">
        <w:t xml:space="preserve"> </w:t>
      </w:r>
      <w:r>
        <w:t>businesses</w:t>
      </w:r>
      <w:r w:rsidR="00D23ECC">
        <w:t xml:space="preserve"> </w:t>
      </w:r>
      <w:r>
        <w:t>and</w:t>
      </w:r>
      <w:r w:rsidR="00D23ECC">
        <w:t xml:space="preserve"> </w:t>
      </w:r>
      <w:r>
        <w:t>organisations</w:t>
      </w:r>
      <w:r w:rsidR="00D23ECC">
        <w:t xml:space="preserve"> </w:t>
      </w:r>
      <w:r>
        <w:t>that</w:t>
      </w:r>
      <w:r w:rsidR="00D23ECC">
        <w:t xml:space="preserve"> </w:t>
      </w:r>
      <w:r>
        <w:t>are</w:t>
      </w:r>
      <w:r w:rsidR="00D23ECC">
        <w:t xml:space="preserve"> </w:t>
      </w:r>
      <w:r>
        <w:t>causing</w:t>
      </w:r>
      <w:r w:rsidR="00D23ECC">
        <w:t xml:space="preserve"> </w:t>
      </w:r>
      <w:r>
        <w:t>the</w:t>
      </w:r>
      <w:r w:rsidR="00D23ECC">
        <w:t xml:space="preserve"> </w:t>
      </w:r>
      <w:r>
        <w:t>most</w:t>
      </w:r>
      <w:r w:rsidR="00D23ECC">
        <w:t xml:space="preserve"> </w:t>
      </w:r>
      <w:r>
        <w:t>harm,</w:t>
      </w:r>
      <w:r w:rsidR="00D23ECC">
        <w:t xml:space="preserve"> </w:t>
      </w:r>
      <w:r>
        <w:t>to</w:t>
      </w:r>
      <w:r w:rsidR="00D23ECC">
        <w:t xml:space="preserve"> </w:t>
      </w:r>
      <w:r>
        <w:t>protect</w:t>
      </w:r>
      <w:r w:rsidR="00D23ECC">
        <w:t xml:space="preserve"> </w:t>
      </w:r>
      <w:r>
        <w:t>consumers</w:t>
      </w:r>
      <w:r w:rsidR="00D23ECC">
        <w:t xml:space="preserve"> </w:t>
      </w:r>
      <w:r>
        <w:t>before</w:t>
      </w:r>
      <w:r w:rsidR="00D23ECC">
        <w:t xml:space="preserve"> </w:t>
      </w:r>
      <w:r>
        <w:t>there</w:t>
      </w:r>
      <w:r w:rsidR="00D23ECC">
        <w:t xml:space="preserve"> </w:t>
      </w:r>
      <w:r>
        <w:t>is</w:t>
      </w:r>
      <w:r w:rsidR="00D23ECC">
        <w:t xml:space="preserve"> </w:t>
      </w:r>
      <w:r>
        <w:t>significant</w:t>
      </w:r>
      <w:r w:rsidR="00D23ECC">
        <w:t xml:space="preserve"> </w:t>
      </w:r>
      <w:r>
        <w:t>detriment.</w:t>
      </w:r>
    </w:p>
    <w:p w14:paraId="1FD8505B" w14:textId="04CE8616" w:rsidR="00DE3B0D" w:rsidRDefault="00DE3B0D" w:rsidP="00A95E63">
      <w:pPr>
        <w:pStyle w:val="Caption"/>
      </w:pPr>
      <w:r>
        <w:rPr>
          <w:color w:val="000000"/>
        </w:rPr>
        <w:t>Table</w:t>
      </w:r>
      <w:r w:rsidR="00D23ECC">
        <w:rPr>
          <w:color w:val="000000"/>
        </w:rPr>
        <w:t xml:space="preserve"> </w:t>
      </w:r>
      <w:r>
        <w:rPr>
          <w:color w:val="000000"/>
        </w:rPr>
        <w:t>2:</w:t>
      </w:r>
      <w:r w:rsidR="00D23ECC">
        <w:rPr>
          <w:color w:val="000000"/>
        </w:rPr>
        <w:t xml:space="preserve"> </w:t>
      </w:r>
      <w:r>
        <w:rPr>
          <w:color w:val="000000"/>
        </w:rPr>
        <w:t>Compliance,</w:t>
      </w:r>
      <w:r w:rsidR="00D23ECC">
        <w:rPr>
          <w:color w:val="000000"/>
        </w:rPr>
        <w:t xml:space="preserve"> </w:t>
      </w:r>
      <w:r>
        <w:rPr>
          <w:color w:val="000000"/>
        </w:rPr>
        <w:t>registration</w:t>
      </w:r>
      <w:r w:rsidR="00D23ECC">
        <w:rPr>
          <w:color w:val="000000"/>
        </w:rPr>
        <w:t xml:space="preserve"> </w:t>
      </w:r>
      <w:r>
        <w:rPr>
          <w:color w:val="000000"/>
        </w:rPr>
        <w:t>and</w:t>
      </w:r>
      <w:r w:rsidR="00D23ECC">
        <w:rPr>
          <w:color w:val="000000"/>
        </w:rPr>
        <w:t xml:space="preserve"> </w:t>
      </w:r>
      <w:r>
        <w:rPr>
          <w:color w:val="000000"/>
        </w:rPr>
        <w:t>licensing</w:t>
      </w:r>
      <w:r w:rsidR="00D23ECC">
        <w:rPr>
          <w:color w:val="000000"/>
        </w:rPr>
        <w:t xml:space="preserve"> </w:t>
      </w:r>
      <w:r>
        <w:rPr>
          <w:color w:val="000000"/>
        </w:rPr>
        <w:t>activities</w:t>
      </w:r>
    </w:p>
    <w:tbl>
      <w:tblPr>
        <w:tblStyle w:val="TableGrid"/>
        <w:tblW w:w="9072" w:type="dxa"/>
        <w:tblLayout w:type="fixed"/>
        <w:tblLook w:val="00A0" w:firstRow="1" w:lastRow="0" w:firstColumn="1" w:lastColumn="0" w:noHBand="0" w:noVBand="0"/>
      </w:tblPr>
      <w:tblGrid>
        <w:gridCol w:w="4988"/>
        <w:gridCol w:w="1021"/>
        <w:gridCol w:w="1021"/>
        <w:gridCol w:w="1021"/>
        <w:gridCol w:w="1021"/>
      </w:tblGrid>
      <w:tr w:rsidR="00DE3B0D" w14:paraId="719660EC" w14:textId="77777777" w:rsidTr="00773AA7">
        <w:trPr>
          <w:cnfStyle w:val="100000000000" w:firstRow="1" w:lastRow="0" w:firstColumn="0" w:lastColumn="0" w:oddVBand="0" w:evenVBand="0" w:oddHBand="0" w:evenHBand="0" w:firstRowFirstColumn="0" w:firstRowLastColumn="0" w:lastRowFirstColumn="0" w:lastRowLastColumn="0"/>
          <w:trHeight w:val="60"/>
          <w:tblHeader/>
        </w:trPr>
        <w:tc>
          <w:tcPr>
            <w:tcW w:w="4990" w:type="dxa"/>
          </w:tcPr>
          <w:p w14:paraId="488F79B8" w14:textId="77777777" w:rsidR="00DE3B0D" w:rsidRDefault="00DE3B0D" w:rsidP="00773AA7">
            <w:pPr>
              <w:pStyle w:val="TableColHead"/>
            </w:pPr>
          </w:p>
        </w:tc>
        <w:tc>
          <w:tcPr>
            <w:tcW w:w="1021" w:type="dxa"/>
          </w:tcPr>
          <w:p w14:paraId="433D51D6" w14:textId="77777777" w:rsidR="00DE3B0D" w:rsidRDefault="00DE3B0D" w:rsidP="00A95E63">
            <w:pPr>
              <w:pStyle w:val="TableColHeadRight"/>
            </w:pPr>
            <w:r>
              <w:t>2017–18</w:t>
            </w:r>
          </w:p>
        </w:tc>
        <w:tc>
          <w:tcPr>
            <w:tcW w:w="1021" w:type="dxa"/>
          </w:tcPr>
          <w:p w14:paraId="22795390" w14:textId="77777777" w:rsidR="00DE3B0D" w:rsidRDefault="00DE3B0D" w:rsidP="00A95E63">
            <w:pPr>
              <w:pStyle w:val="TableColHeadRight"/>
            </w:pPr>
            <w:r>
              <w:t>2018–19</w:t>
            </w:r>
          </w:p>
        </w:tc>
        <w:tc>
          <w:tcPr>
            <w:tcW w:w="1021" w:type="dxa"/>
          </w:tcPr>
          <w:p w14:paraId="23878678" w14:textId="77777777" w:rsidR="00DE3B0D" w:rsidRDefault="00DE3B0D" w:rsidP="00A95E63">
            <w:pPr>
              <w:pStyle w:val="TableColHeadRight"/>
            </w:pPr>
            <w:r>
              <w:t>2019–20</w:t>
            </w:r>
          </w:p>
        </w:tc>
        <w:tc>
          <w:tcPr>
            <w:tcW w:w="1021" w:type="dxa"/>
          </w:tcPr>
          <w:p w14:paraId="213E6431" w14:textId="77777777" w:rsidR="00DE3B0D" w:rsidRDefault="00DE3B0D" w:rsidP="00A95E63">
            <w:pPr>
              <w:pStyle w:val="TableColHeadRight"/>
            </w:pPr>
            <w:r>
              <w:t>2020–21</w:t>
            </w:r>
          </w:p>
        </w:tc>
      </w:tr>
      <w:tr w:rsidR="00DE3B0D" w14:paraId="7C42E036" w14:textId="77777777" w:rsidTr="006F7BE3">
        <w:trPr>
          <w:trHeight w:val="60"/>
        </w:trPr>
        <w:tc>
          <w:tcPr>
            <w:tcW w:w="4990" w:type="dxa"/>
            <w:gridSpan w:val="5"/>
            <w:shd w:val="clear" w:color="auto" w:fill="B2D5F0"/>
          </w:tcPr>
          <w:p w14:paraId="3111359F" w14:textId="77777777" w:rsidR="00DE3B0D" w:rsidRDefault="00DE3B0D" w:rsidP="00A95E63">
            <w:pPr>
              <w:pStyle w:val="TableTextBold"/>
            </w:pPr>
            <w:r>
              <w:t>Compliance</w:t>
            </w:r>
          </w:p>
        </w:tc>
      </w:tr>
      <w:tr w:rsidR="00DE3B0D" w14:paraId="1BEFE651" w14:textId="77777777" w:rsidTr="00773AA7">
        <w:trPr>
          <w:trHeight w:val="60"/>
        </w:trPr>
        <w:tc>
          <w:tcPr>
            <w:tcW w:w="4990" w:type="dxa"/>
          </w:tcPr>
          <w:p w14:paraId="2CA07473" w14:textId="77777777" w:rsidR="00DE3B0D" w:rsidRDefault="00DE3B0D" w:rsidP="00A95E63">
            <w:pPr>
              <w:pStyle w:val="TableText"/>
            </w:pPr>
            <w:r>
              <w:t>Inspections</w:t>
            </w:r>
          </w:p>
        </w:tc>
        <w:tc>
          <w:tcPr>
            <w:tcW w:w="1021" w:type="dxa"/>
          </w:tcPr>
          <w:p w14:paraId="22A02AEF" w14:textId="77777777" w:rsidR="00DE3B0D" w:rsidRDefault="00DE3B0D" w:rsidP="00773AA7">
            <w:pPr>
              <w:pStyle w:val="TableTextRight"/>
            </w:pPr>
            <w:r>
              <w:t>5,972</w:t>
            </w:r>
          </w:p>
        </w:tc>
        <w:tc>
          <w:tcPr>
            <w:tcW w:w="1021" w:type="dxa"/>
          </w:tcPr>
          <w:p w14:paraId="759BCD6A" w14:textId="77777777" w:rsidR="00DE3B0D" w:rsidRDefault="00DE3B0D" w:rsidP="00773AA7">
            <w:pPr>
              <w:pStyle w:val="TableTextRight"/>
            </w:pPr>
            <w:r>
              <w:t>4,324</w:t>
            </w:r>
          </w:p>
        </w:tc>
        <w:tc>
          <w:tcPr>
            <w:tcW w:w="1021" w:type="dxa"/>
          </w:tcPr>
          <w:p w14:paraId="75245D5B" w14:textId="77777777" w:rsidR="00DE3B0D" w:rsidRDefault="00DE3B0D" w:rsidP="00773AA7">
            <w:pPr>
              <w:pStyle w:val="TableTextRight"/>
            </w:pPr>
            <w:r>
              <w:t>1,929</w:t>
            </w:r>
          </w:p>
        </w:tc>
        <w:tc>
          <w:tcPr>
            <w:tcW w:w="1021" w:type="dxa"/>
          </w:tcPr>
          <w:p w14:paraId="0F1E6406" w14:textId="77777777" w:rsidR="00DE3B0D" w:rsidRDefault="00DE3B0D" w:rsidP="00773AA7">
            <w:pPr>
              <w:pStyle w:val="TableTextRight"/>
            </w:pPr>
            <w:r>
              <w:t>567</w:t>
            </w:r>
          </w:p>
        </w:tc>
      </w:tr>
      <w:tr w:rsidR="00DE3B0D" w14:paraId="11B02E85" w14:textId="77777777" w:rsidTr="00773AA7">
        <w:trPr>
          <w:trHeight w:val="60"/>
        </w:trPr>
        <w:tc>
          <w:tcPr>
            <w:tcW w:w="4990" w:type="dxa"/>
          </w:tcPr>
          <w:p w14:paraId="5D636460" w14:textId="77777777" w:rsidR="00DE3B0D" w:rsidRDefault="00DE3B0D" w:rsidP="00A95E63">
            <w:pPr>
              <w:pStyle w:val="TableText"/>
            </w:pPr>
            <w:r>
              <w:t>Investigations</w:t>
            </w:r>
          </w:p>
        </w:tc>
        <w:tc>
          <w:tcPr>
            <w:tcW w:w="1021" w:type="dxa"/>
          </w:tcPr>
          <w:p w14:paraId="490EA47F" w14:textId="77777777" w:rsidR="00DE3B0D" w:rsidRDefault="00DE3B0D" w:rsidP="00773AA7">
            <w:pPr>
              <w:pStyle w:val="TableTextRight"/>
            </w:pPr>
            <w:r>
              <w:t>71</w:t>
            </w:r>
          </w:p>
        </w:tc>
        <w:tc>
          <w:tcPr>
            <w:tcW w:w="1021" w:type="dxa"/>
          </w:tcPr>
          <w:p w14:paraId="51C96C02" w14:textId="77777777" w:rsidR="00DE3B0D" w:rsidRDefault="00DE3B0D" w:rsidP="00773AA7">
            <w:pPr>
              <w:pStyle w:val="TableTextRight"/>
            </w:pPr>
            <w:r>
              <w:t>90</w:t>
            </w:r>
          </w:p>
        </w:tc>
        <w:tc>
          <w:tcPr>
            <w:tcW w:w="1021" w:type="dxa"/>
          </w:tcPr>
          <w:p w14:paraId="37417AB1" w14:textId="77777777" w:rsidR="00DE3B0D" w:rsidRDefault="00DE3B0D" w:rsidP="00773AA7">
            <w:pPr>
              <w:pStyle w:val="TableTextRight"/>
            </w:pPr>
            <w:r>
              <w:t>214</w:t>
            </w:r>
          </w:p>
        </w:tc>
        <w:tc>
          <w:tcPr>
            <w:tcW w:w="1021" w:type="dxa"/>
          </w:tcPr>
          <w:p w14:paraId="660CBCB4" w14:textId="77777777" w:rsidR="00DE3B0D" w:rsidRDefault="00DE3B0D" w:rsidP="00773AA7">
            <w:pPr>
              <w:pStyle w:val="TableTextRight"/>
            </w:pPr>
            <w:r>
              <w:t>185</w:t>
            </w:r>
          </w:p>
        </w:tc>
      </w:tr>
      <w:tr w:rsidR="00DE3B0D" w14:paraId="51962484" w14:textId="77777777" w:rsidTr="00773AA7">
        <w:trPr>
          <w:trHeight w:val="60"/>
        </w:trPr>
        <w:tc>
          <w:tcPr>
            <w:tcW w:w="4990" w:type="dxa"/>
          </w:tcPr>
          <w:p w14:paraId="2EF551B9" w14:textId="445FAE03" w:rsidR="00DE3B0D" w:rsidRDefault="00DE3B0D" w:rsidP="00A95E63">
            <w:pPr>
              <w:pStyle w:val="TableText"/>
            </w:pPr>
            <w:r>
              <w:t>Parties</w:t>
            </w:r>
            <w:r w:rsidR="00D23ECC">
              <w:t xml:space="preserve"> </w:t>
            </w:r>
            <w:r>
              <w:t>to</w:t>
            </w:r>
            <w:r w:rsidR="00D23ECC">
              <w:t xml:space="preserve"> </w:t>
            </w:r>
            <w:r>
              <w:t>criminal</w:t>
            </w:r>
            <w:r w:rsidR="00D23ECC">
              <w:t xml:space="preserve"> </w:t>
            </w:r>
            <w:r>
              <w:t>proceedings,</w:t>
            </w:r>
            <w:r w:rsidR="00D23ECC">
              <w:t xml:space="preserve"> </w:t>
            </w:r>
            <w:r>
              <w:t>appeals</w:t>
            </w:r>
            <w:r w:rsidR="00D23ECC">
              <w:t xml:space="preserve"> </w:t>
            </w:r>
            <w:r>
              <w:t>and</w:t>
            </w:r>
            <w:r w:rsidR="00D23ECC">
              <w:t xml:space="preserve"> </w:t>
            </w:r>
            <w:r>
              <w:t>re</w:t>
            </w:r>
            <w:r>
              <w:rPr>
                <w:rFonts w:ascii="Cambria Math" w:hAnsi="Cambria Math" w:cs="Cambria Math"/>
              </w:rPr>
              <w:t>‑</w:t>
            </w:r>
            <w:r>
              <w:t>hearings</w:t>
            </w:r>
          </w:p>
        </w:tc>
        <w:tc>
          <w:tcPr>
            <w:tcW w:w="1021" w:type="dxa"/>
          </w:tcPr>
          <w:p w14:paraId="144D02E5" w14:textId="77777777" w:rsidR="00DE3B0D" w:rsidRDefault="00DE3B0D" w:rsidP="00773AA7">
            <w:pPr>
              <w:pStyle w:val="TableTextRight"/>
            </w:pPr>
            <w:r>
              <w:t>6</w:t>
            </w:r>
          </w:p>
        </w:tc>
        <w:tc>
          <w:tcPr>
            <w:tcW w:w="1021" w:type="dxa"/>
          </w:tcPr>
          <w:p w14:paraId="6974D91D" w14:textId="77777777" w:rsidR="00DE3B0D" w:rsidRDefault="00DE3B0D" w:rsidP="00773AA7">
            <w:pPr>
              <w:pStyle w:val="TableTextRight"/>
            </w:pPr>
            <w:r>
              <w:t>9</w:t>
            </w:r>
          </w:p>
        </w:tc>
        <w:tc>
          <w:tcPr>
            <w:tcW w:w="1021" w:type="dxa"/>
          </w:tcPr>
          <w:p w14:paraId="42BA2A24" w14:textId="77777777" w:rsidR="00DE3B0D" w:rsidRDefault="00DE3B0D" w:rsidP="00773AA7">
            <w:pPr>
              <w:pStyle w:val="TableTextRight"/>
            </w:pPr>
            <w:r>
              <w:t>8</w:t>
            </w:r>
          </w:p>
        </w:tc>
        <w:tc>
          <w:tcPr>
            <w:tcW w:w="1021" w:type="dxa"/>
          </w:tcPr>
          <w:p w14:paraId="7AEF8389" w14:textId="77777777" w:rsidR="00DE3B0D" w:rsidRDefault="00DE3B0D" w:rsidP="00773AA7">
            <w:pPr>
              <w:pStyle w:val="TableTextRight"/>
            </w:pPr>
            <w:r>
              <w:t>2</w:t>
            </w:r>
          </w:p>
        </w:tc>
      </w:tr>
      <w:tr w:rsidR="00DE3B0D" w14:paraId="7C692CE5" w14:textId="77777777" w:rsidTr="00773AA7">
        <w:trPr>
          <w:trHeight w:val="60"/>
        </w:trPr>
        <w:tc>
          <w:tcPr>
            <w:tcW w:w="4990" w:type="dxa"/>
          </w:tcPr>
          <w:p w14:paraId="0803BEA3" w14:textId="33BDEDC7" w:rsidR="00DE3B0D" w:rsidRDefault="00DE3B0D" w:rsidP="00A95E63">
            <w:pPr>
              <w:pStyle w:val="TableText"/>
            </w:pPr>
            <w:r>
              <w:t>Parties</w:t>
            </w:r>
            <w:r w:rsidR="00D23ECC">
              <w:t xml:space="preserve"> </w:t>
            </w:r>
            <w:r>
              <w:t>to</w:t>
            </w:r>
            <w:r w:rsidR="00D23ECC">
              <w:t xml:space="preserve"> </w:t>
            </w:r>
            <w:r>
              <w:t>civil</w:t>
            </w:r>
            <w:r w:rsidR="00D23ECC">
              <w:t xml:space="preserve"> </w:t>
            </w:r>
            <w:r>
              <w:t>proceedings</w:t>
            </w:r>
          </w:p>
        </w:tc>
        <w:tc>
          <w:tcPr>
            <w:tcW w:w="1021" w:type="dxa"/>
          </w:tcPr>
          <w:p w14:paraId="12B52F29" w14:textId="77777777" w:rsidR="00DE3B0D" w:rsidRDefault="00DE3B0D" w:rsidP="00773AA7">
            <w:pPr>
              <w:pStyle w:val="TableTextRight"/>
            </w:pPr>
            <w:r>
              <w:t>35</w:t>
            </w:r>
          </w:p>
        </w:tc>
        <w:tc>
          <w:tcPr>
            <w:tcW w:w="1021" w:type="dxa"/>
          </w:tcPr>
          <w:p w14:paraId="4BDEF75C" w14:textId="77777777" w:rsidR="00DE3B0D" w:rsidRDefault="00DE3B0D" w:rsidP="00773AA7">
            <w:pPr>
              <w:pStyle w:val="TableTextRight"/>
            </w:pPr>
            <w:r>
              <w:t>19</w:t>
            </w:r>
          </w:p>
        </w:tc>
        <w:tc>
          <w:tcPr>
            <w:tcW w:w="1021" w:type="dxa"/>
          </w:tcPr>
          <w:p w14:paraId="43C4587E" w14:textId="77777777" w:rsidR="00DE3B0D" w:rsidRDefault="00DE3B0D" w:rsidP="00773AA7">
            <w:pPr>
              <w:pStyle w:val="TableTextRight"/>
            </w:pPr>
            <w:r>
              <w:t>16</w:t>
            </w:r>
          </w:p>
        </w:tc>
        <w:tc>
          <w:tcPr>
            <w:tcW w:w="1021" w:type="dxa"/>
          </w:tcPr>
          <w:p w14:paraId="5E83ABF8" w14:textId="77777777" w:rsidR="00DE3B0D" w:rsidRDefault="00DE3B0D" w:rsidP="00773AA7">
            <w:pPr>
              <w:pStyle w:val="TableTextRight"/>
            </w:pPr>
            <w:r>
              <w:t>9</w:t>
            </w:r>
          </w:p>
        </w:tc>
      </w:tr>
      <w:tr w:rsidR="00DE3B0D" w14:paraId="510D4D7F" w14:textId="77777777" w:rsidTr="00773AA7">
        <w:trPr>
          <w:trHeight w:val="60"/>
        </w:trPr>
        <w:tc>
          <w:tcPr>
            <w:tcW w:w="4990" w:type="dxa"/>
          </w:tcPr>
          <w:p w14:paraId="69EC4B4B" w14:textId="3F072880" w:rsidR="00DE3B0D" w:rsidRDefault="00DE3B0D" w:rsidP="00A95E63">
            <w:pPr>
              <w:pStyle w:val="TableText"/>
            </w:pPr>
            <w:r>
              <w:t>Parties</w:t>
            </w:r>
            <w:r w:rsidR="00D23ECC">
              <w:t xml:space="preserve"> </w:t>
            </w:r>
            <w:r>
              <w:t>signed</w:t>
            </w:r>
            <w:r w:rsidR="00D23ECC">
              <w:t xml:space="preserve"> </w:t>
            </w:r>
            <w:r>
              <w:t>to</w:t>
            </w:r>
            <w:r w:rsidR="00D23ECC">
              <w:t xml:space="preserve"> </w:t>
            </w:r>
            <w:r>
              <w:t>enforceable</w:t>
            </w:r>
            <w:r w:rsidR="00D23ECC">
              <w:t xml:space="preserve"> </w:t>
            </w:r>
            <w:r>
              <w:t>undertakings</w:t>
            </w:r>
          </w:p>
        </w:tc>
        <w:tc>
          <w:tcPr>
            <w:tcW w:w="1021" w:type="dxa"/>
          </w:tcPr>
          <w:p w14:paraId="29117110" w14:textId="77777777" w:rsidR="00DE3B0D" w:rsidRDefault="00DE3B0D" w:rsidP="00773AA7">
            <w:pPr>
              <w:pStyle w:val="TableTextRight"/>
            </w:pPr>
            <w:r>
              <w:t>8</w:t>
            </w:r>
          </w:p>
        </w:tc>
        <w:tc>
          <w:tcPr>
            <w:tcW w:w="1021" w:type="dxa"/>
          </w:tcPr>
          <w:p w14:paraId="1D2B2D1C" w14:textId="77777777" w:rsidR="00DE3B0D" w:rsidRDefault="00DE3B0D" w:rsidP="00773AA7">
            <w:pPr>
              <w:pStyle w:val="TableTextRight"/>
            </w:pPr>
            <w:r>
              <w:t>5</w:t>
            </w:r>
          </w:p>
        </w:tc>
        <w:tc>
          <w:tcPr>
            <w:tcW w:w="1021" w:type="dxa"/>
          </w:tcPr>
          <w:p w14:paraId="1C6E4ACA" w14:textId="77777777" w:rsidR="00DE3B0D" w:rsidRDefault="00DE3B0D" w:rsidP="00773AA7">
            <w:pPr>
              <w:pStyle w:val="TableTextRight"/>
            </w:pPr>
            <w:r>
              <w:t>1</w:t>
            </w:r>
          </w:p>
        </w:tc>
        <w:tc>
          <w:tcPr>
            <w:tcW w:w="1021" w:type="dxa"/>
          </w:tcPr>
          <w:p w14:paraId="4E37E306" w14:textId="77777777" w:rsidR="00DE3B0D" w:rsidRDefault="00DE3B0D" w:rsidP="00773AA7">
            <w:pPr>
              <w:pStyle w:val="TableTextRight"/>
            </w:pPr>
            <w:r>
              <w:t>0</w:t>
            </w:r>
          </w:p>
        </w:tc>
      </w:tr>
      <w:tr w:rsidR="00DE3B0D" w14:paraId="20BBA613" w14:textId="77777777" w:rsidTr="00773AA7">
        <w:trPr>
          <w:trHeight w:val="60"/>
        </w:trPr>
        <w:tc>
          <w:tcPr>
            <w:tcW w:w="4990" w:type="dxa"/>
          </w:tcPr>
          <w:p w14:paraId="0662E5B2" w14:textId="29B16665" w:rsidR="00DE3B0D" w:rsidRDefault="00DE3B0D" w:rsidP="00A95E63">
            <w:pPr>
              <w:pStyle w:val="TableText"/>
            </w:pPr>
            <w:r>
              <w:t>Official</w:t>
            </w:r>
            <w:r w:rsidR="00D23ECC">
              <w:t xml:space="preserve"> </w:t>
            </w:r>
            <w:r>
              <w:t>warnings</w:t>
            </w:r>
            <w:r w:rsidR="00D23ECC">
              <w:t xml:space="preserve"> </w:t>
            </w:r>
            <w:r>
              <w:t>and</w:t>
            </w:r>
            <w:r w:rsidR="00D23ECC">
              <w:t xml:space="preserve"> </w:t>
            </w:r>
            <w:r>
              <w:t>infringement</w:t>
            </w:r>
            <w:r w:rsidR="00D23ECC">
              <w:t xml:space="preserve"> </w:t>
            </w:r>
            <w:r>
              <w:t>notices</w:t>
            </w:r>
            <w:r w:rsidR="00D23ECC">
              <w:t xml:space="preserve"> </w:t>
            </w:r>
            <w:r>
              <w:t>issued</w:t>
            </w:r>
          </w:p>
        </w:tc>
        <w:tc>
          <w:tcPr>
            <w:tcW w:w="1021" w:type="dxa"/>
          </w:tcPr>
          <w:p w14:paraId="1B128800" w14:textId="77777777" w:rsidR="00DE3B0D" w:rsidRDefault="00DE3B0D" w:rsidP="00773AA7">
            <w:pPr>
              <w:pStyle w:val="TableTextRight"/>
              <w:rPr>
                <w:rFonts w:ascii="VIC-SemiBold" w:hAnsi="VIC-SemiBold" w:cstheme="minorBidi"/>
              </w:rPr>
            </w:pPr>
          </w:p>
        </w:tc>
        <w:tc>
          <w:tcPr>
            <w:tcW w:w="1021" w:type="dxa"/>
          </w:tcPr>
          <w:p w14:paraId="30F83387" w14:textId="77777777" w:rsidR="00DE3B0D" w:rsidRDefault="00DE3B0D" w:rsidP="00773AA7">
            <w:pPr>
              <w:pStyle w:val="TableTextRight"/>
            </w:pPr>
            <w:r>
              <w:t>1,145</w:t>
            </w:r>
          </w:p>
        </w:tc>
        <w:tc>
          <w:tcPr>
            <w:tcW w:w="1021" w:type="dxa"/>
          </w:tcPr>
          <w:p w14:paraId="3CDD9F7B" w14:textId="77777777" w:rsidR="00DE3B0D" w:rsidRDefault="00DE3B0D" w:rsidP="00773AA7">
            <w:pPr>
              <w:pStyle w:val="TableTextRight"/>
            </w:pPr>
            <w:r>
              <w:t>948</w:t>
            </w:r>
          </w:p>
        </w:tc>
        <w:tc>
          <w:tcPr>
            <w:tcW w:w="1021" w:type="dxa"/>
          </w:tcPr>
          <w:p w14:paraId="1D3BF891" w14:textId="77777777" w:rsidR="00DE3B0D" w:rsidRDefault="00DE3B0D" w:rsidP="00773AA7">
            <w:pPr>
              <w:pStyle w:val="TableTextRight"/>
            </w:pPr>
            <w:r>
              <w:t>510</w:t>
            </w:r>
          </w:p>
        </w:tc>
      </w:tr>
      <w:tr w:rsidR="00DE3B0D" w14:paraId="5660E1EB" w14:textId="77777777" w:rsidTr="006F7BE3">
        <w:trPr>
          <w:trHeight w:val="60"/>
        </w:trPr>
        <w:tc>
          <w:tcPr>
            <w:tcW w:w="4990" w:type="dxa"/>
            <w:gridSpan w:val="5"/>
            <w:shd w:val="clear" w:color="auto" w:fill="B2D5F0"/>
          </w:tcPr>
          <w:p w14:paraId="59DEE0BF" w14:textId="52DA2812" w:rsidR="00DE3B0D" w:rsidRDefault="00DE3B0D" w:rsidP="00A95E63">
            <w:pPr>
              <w:pStyle w:val="TableTextBold"/>
            </w:pPr>
            <w:r>
              <w:t>Registration</w:t>
            </w:r>
            <w:r w:rsidR="00D23ECC">
              <w:t xml:space="preserve"> </w:t>
            </w:r>
            <w:r>
              <w:t>and</w:t>
            </w:r>
            <w:r w:rsidR="00D23ECC">
              <w:t xml:space="preserve"> </w:t>
            </w:r>
            <w:r>
              <w:t>licensing</w:t>
            </w:r>
          </w:p>
        </w:tc>
      </w:tr>
      <w:tr w:rsidR="00DE3B0D" w14:paraId="245350B3" w14:textId="77777777" w:rsidTr="00773AA7">
        <w:trPr>
          <w:trHeight w:val="60"/>
        </w:trPr>
        <w:tc>
          <w:tcPr>
            <w:tcW w:w="4990" w:type="dxa"/>
          </w:tcPr>
          <w:p w14:paraId="5DC7C8BD" w14:textId="2CDD8685" w:rsidR="00DE3B0D" w:rsidRDefault="00DE3B0D" w:rsidP="00A95E63">
            <w:pPr>
              <w:pStyle w:val="TableText"/>
            </w:pPr>
            <w:r>
              <w:t>Annual</w:t>
            </w:r>
            <w:r w:rsidR="00D23ECC">
              <w:t xml:space="preserve"> </w:t>
            </w:r>
            <w:r>
              <w:t>returns,</w:t>
            </w:r>
            <w:r w:rsidR="00D23ECC">
              <w:t xml:space="preserve"> </w:t>
            </w:r>
            <w:r>
              <w:t>updates</w:t>
            </w:r>
            <w:r w:rsidR="00D23ECC">
              <w:t xml:space="preserve"> </w:t>
            </w:r>
            <w:r>
              <w:t>or</w:t>
            </w:r>
            <w:r w:rsidR="00D23ECC">
              <w:t xml:space="preserve"> </w:t>
            </w:r>
            <w:r>
              <w:t>cancellations</w:t>
            </w:r>
            <w:r w:rsidR="00D23ECC">
              <w:t xml:space="preserve"> </w:t>
            </w:r>
            <w:r>
              <w:t>processed</w:t>
            </w:r>
            <w:r w:rsidR="00D23ECC">
              <w:t xml:space="preserve"> </w:t>
            </w:r>
            <w:r>
              <w:t>for</w:t>
            </w:r>
            <w:r w:rsidR="00D23ECC">
              <w:t xml:space="preserve"> </w:t>
            </w:r>
            <w:r>
              <w:t>incorporated</w:t>
            </w:r>
            <w:r w:rsidR="00D23ECC">
              <w:t xml:space="preserve"> </w:t>
            </w:r>
            <w:r>
              <w:t>associations,</w:t>
            </w:r>
            <w:r w:rsidR="00D23ECC">
              <w:t xml:space="preserve"> </w:t>
            </w:r>
            <w:r>
              <w:t>fundraisers</w:t>
            </w:r>
            <w:r w:rsidR="00D23ECC">
              <w:t xml:space="preserve"> </w:t>
            </w:r>
            <w:r>
              <w:t>and</w:t>
            </w:r>
            <w:r w:rsidR="00D23ECC">
              <w:t xml:space="preserve"> </w:t>
            </w:r>
            <w:r>
              <w:t>co</w:t>
            </w:r>
            <w:r>
              <w:rPr>
                <w:rFonts w:ascii="Cambria Math" w:hAnsi="Cambria Math" w:cs="Cambria Math"/>
              </w:rPr>
              <w:t>‑</w:t>
            </w:r>
            <w:r>
              <w:t>operatives</w:t>
            </w:r>
          </w:p>
        </w:tc>
        <w:tc>
          <w:tcPr>
            <w:tcW w:w="1021" w:type="dxa"/>
          </w:tcPr>
          <w:p w14:paraId="546CE8BB" w14:textId="77777777" w:rsidR="00DE3B0D" w:rsidRDefault="00DE3B0D" w:rsidP="00A95E63">
            <w:pPr>
              <w:pStyle w:val="TableTextRight"/>
            </w:pPr>
            <w:r>
              <w:t>55,217</w:t>
            </w:r>
          </w:p>
        </w:tc>
        <w:tc>
          <w:tcPr>
            <w:tcW w:w="1021" w:type="dxa"/>
          </w:tcPr>
          <w:p w14:paraId="71292140" w14:textId="77777777" w:rsidR="00DE3B0D" w:rsidRDefault="00DE3B0D" w:rsidP="00A95E63">
            <w:pPr>
              <w:pStyle w:val="TableTextRight"/>
            </w:pPr>
            <w:r>
              <w:t>54,786</w:t>
            </w:r>
          </w:p>
        </w:tc>
        <w:tc>
          <w:tcPr>
            <w:tcW w:w="1021" w:type="dxa"/>
          </w:tcPr>
          <w:p w14:paraId="51ED93DA" w14:textId="77777777" w:rsidR="00DE3B0D" w:rsidRDefault="00DE3B0D" w:rsidP="00A95E63">
            <w:pPr>
              <w:pStyle w:val="TableTextRight"/>
            </w:pPr>
            <w:r>
              <w:t>53,451</w:t>
            </w:r>
          </w:p>
        </w:tc>
        <w:tc>
          <w:tcPr>
            <w:tcW w:w="1021" w:type="dxa"/>
          </w:tcPr>
          <w:p w14:paraId="224DF8ED" w14:textId="77777777" w:rsidR="00DE3B0D" w:rsidRDefault="00DE3B0D" w:rsidP="00A95E63">
            <w:pPr>
              <w:pStyle w:val="TableTextRight"/>
            </w:pPr>
            <w:r>
              <w:t>55,209</w:t>
            </w:r>
          </w:p>
        </w:tc>
      </w:tr>
      <w:tr w:rsidR="00DE3B0D" w14:paraId="1A337FEC" w14:textId="77777777" w:rsidTr="00773AA7">
        <w:trPr>
          <w:trHeight w:val="60"/>
        </w:trPr>
        <w:tc>
          <w:tcPr>
            <w:tcW w:w="4990" w:type="dxa"/>
          </w:tcPr>
          <w:p w14:paraId="2B4BAA23" w14:textId="021703C8" w:rsidR="00DE3B0D" w:rsidRDefault="00DE3B0D" w:rsidP="00A95E63">
            <w:pPr>
              <w:pStyle w:val="TableText"/>
            </w:pPr>
            <w:r>
              <w:t>Total</w:t>
            </w:r>
            <w:r w:rsidR="00D23ECC">
              <w:t xml:space="preserve"> </w:t>
            </w:r>
            <w:r>
              <w:t>registration</w:t>
            </w:r>
            <w:r w:rsidR="00D23ECC">
              <w:t xml:space="preserve"> </w:t>
            </w:r>
            <w:r>
              <w:t>and</w:t>
            </w:r>
            <w:r w:rsidR="00D23ECC">
              <w:t xml:space="preserve"> </w:t>
            </w:r>
            <w:r>
              <w:t>licensing</w:t>
            </w:r>
            <w:r w:rsidR="00D23ECC">
              <w:t xml:space="preserve"> </w:t>
            </w:r>
            <w:r>
              <w:t>transactions</w:t>
            </w:r>
          </w:p>
        </w:tc>
        <w:tc>
          <w:tcPr>
            <w:tcW w:w="1021" w:type="dxa"/>
          </w:tcPr>
          <w:p w14:paraId="10CAC2A8" w14:textId="77777777" w:rsidR="00DE3B0D" w:rsidRDefault="00DE3B0D" w:rsidP="00A95E63">
            <w:pPr>
              <w:pStyle w:val="TableTextRight"/>
            </w:pPr>
            <w:r>
              <w:t>91,135</w:t>
            </w:r>
          </w:p>
        </w:tc>
        <w:tc>
          <w:tcPr>
            <w:tcW w:w="1021" w:type="dxa"/>
          </w:tcPr>
          <w:p w14:paraId="4D9A5483" w14:textId="77777777" w:rsidR="00DE3B0D" w:rsidRDefault="00DE3B0D" w:rsidP="00A95E63">
            <w:pPr>
              <w:pStyle w:val="TableTextRight"/>
            </w:pPr>
            <w:r>
              <w:t>94,826</w:t>
            </w:r>
          </w:p>
        </w:tc>
        <w:tc>
          <w:tcPr>
            <w:tcW w:w="1021" w:type="dxa"/>
          </w:tcPr>
          <w:p w14:paraId="34A9093F" w14:textId="77777777" w:rsidR="00DE3B0D" w:rsidRDefault="00DE3B0D" w:rsidP="00A95E63">
            <w:pPr>
              <w:pStyle w:val="TableTextRight"/>
            </w:pPr>
            <w:r>
              <w:t>91,637</w:t>
            </w:r>
          </w:p>
        </w:tc>
        <w:tc>
          <w:tcPr>
            <w:tcW w:w="1021" w:type="dxa"/>
          </w:tcPr>
          <w:p w14:paraId="53D47FB1" w14:textId="77777777" w:rsidR="00DE3B0D" w:rsidRDefault="00DE3B0D" w:rsidP="00A95E63">
            <w:pPr>
              <w:pStyle w:val="TableTextRight"/>
            </w:pPr>
            <w:r>
              <w:t>95,096</w:t>
            </w:r>
          </w:p>
        </w:tc>
      </w:tr>
    </w:tbl>
    <w:p w14:paraId="76204ED7" w14:textId="7EB0CED8" w:rsidR="00DE3B0D" w:rsidRDefault="00DE3B0D" w:rsidP="00AE374E">
      <w:pPr>
        <w:pStyle w:val="Heading4"/>
      </w:pPr>
      <w:bookmarkStart w:id="16" w:name="_Helping_Victorian_businesses"/>
      <w:bookmarkStart w:id="17" w:name="_Ref85883231"/>
      <w:bookmarkEnd w:id="16"/>
      <w:r>
        <w:rPr>
          <w:color w:val="000000"/>
        </w:rPr>
        <w:t>Helping</w:t>
      </w:r>
      <w:r w:rsidR="00D23ECC">
        <w:rPr>
          <w:color w:val="000000"/>
        </w:rPr>
        <w:t xml:space="preserve"> </w:t>
      </w:r>
      <w:r>
        <w:rPr>
          <w:color w:val="000000"/>
        </w:rPr>
        <w:t>Victorian</w:t>
      </w:r>
      <w:r w:rsidR="00D23ECC">
        <w:rPr>
          <w:color w:val="000000"/>
        </w:rPr>
        <w:t xml:space="preserve"> </w:t>
      </w:r>
      <w:r>
        <w:rPr>
          <w:color w:val="000000"/>
        </w:rPr>
        <w:t>businesses</w:t>
      </w:r>
      <w:r w:rsidR="00D23ECC">
        <w:rPr>
          <w:color w:val="000000"/>
        </w:rPr>
        <w:t xml:space="preserve"> </w:t>
      </w:r>
      <w:r>
        <w:rPr>
          <w:color w:val="000000"/>
        </w:rPr>
        <w:t>during</w:t>
      </w:r>
      <w:r w:rsidR="00D23ECC">
        <w:rPr>
          <w:color w:val="000000"/>
        </w:rPr>
        <w:t xml:space="preserve"> </w:t>
      </w:r>
      <w:r>
        <w:rPr>
          <w:color w:val="000000"/>
        </w:rPr>
        <w:t>the</w:t>
      </w:r>
      <w:r w:rsidR="00D23ECC">
        <w:rPr>
          <w:color w:val="000000"/>
        </w:rPr>
        <w:t xml:space="preserve"> </w:t>
      </w:r>
      <w:r>
        <w:rPr>
          <w:color w:val="000000"/>
        </w:rPr>
        <w:t>COVID-19</w:t>
      </w:r>
      <w:r w:rsidR="00D23ECC">
        <w:rPr>
          <w:color w:val="000000"/>
        </w:rPr>
        <w:t xml:space="preserve"> </w:t>
      </w:r>
      <w:r>
        <w:rPr>
          <w:color w:val="000000"/>
        </w:rPr>
        <w:t>pandemic</w:t>
      </w:r>
      <w:bookmarkEnd w:id="17"/>
    </w:p>
    <w:p w14:paraId="507D7295" w14:textId="34813F4E" w:rsidR="00DE3B0D" w:rsidRDefault="00DE3B0D" w:rsidP="00D23ECC">
      <w:pPr>
        <w:pStyle w:val="BodyText"/>
      </w:pPr>
      <w:r>
        <w:t>This</w:t>
      </w:r>
      <w:r w:rsidR="00D23ECC">
        <w:t xml:space="preserve"> </w:t>
      </w:r>
      <w:r>
        <w:t>year</w:t>
      </w:r>
      <w:r w:rsidR="00D23ECC">
        <w:t xml:space="preserve"> </w:t>
      </w:r>
      <w:r>
        <w:t>we</w:t>
      </w:r>
      <w:r w:rsidR="00D23ECC">
        <w:t xml:space="preserve"> </w:t>
      </w:r>
      <w:r>
        <w:t>supported</w:t>
      </w:r>
      <w:r w:rsidR="00D23ECC">
        <w:t xml:space="preserve"> </w:t>
      </w:r>
      <w:r>
        <w:t>regulated</w:t>
      </w:r>
      <w:r w:rsidR="00D23ECC">
        <w:t xml:space="preserve"> </w:t>
      </w:r>
      <w:r>
        <w:t>industries</w:t>
      </w:r>
      <w:r w:rsidR="00D23ECC">
        <w:t xml:space="preserve"> </w:t>
      </w:r>
      <w:r>
        <w:t>to</w:t>
      </w:r>
      <w:r w:rsidR="00D23ECC">
        <w:t xml:space="preserve"> </w:t>
      </w:r>
      <w:r>
        <w:t>manage</w:t>
      </w:r>
      <w:r w:rsidR="00D23ECC">
        <w:t xml:space="preserve"> </w:t>
      </w:r>
      <w:r>
        <w:t>the</w:t>
      </w:r>
      <w:r w:rsidR="00D23ECC">
        <w:t xml:space="preserve"> </w:t>
      </w:r>
      <w:r>
        <w:t>impacts</w:t>
      </w:r>
      <w:r w:rsidR="00D23ECC">
        <w:t xml:space="preserve"> </w:t>
      </w:r>
      <w:r>
        <w:t>of</w:t>
      </w:r>
      <w:r w:rsidR="00D23ECC">
        <w:t xml:space="preserve"> </w:t>
      </w:r>
      <w:r>
        <w:t>COVID-19</w:t>
      </w:r>
      <w:r w:rsidR="00D23ECC">
        <w:t xml:space="preserve"> </w:t>
      </w:r>
      <w:r>
        <w:t>on</w:t>
      </w:r>
      <w:r w:rsidR="00D23ECC">
        <w:t xml:space="preserve"> </w:t>
      </w:r>
      <w:r>
        <w:t>their</w:t>
      </w:r>
      <w:r w:rsidR="00D23ECC">
        <w:t xml:space="preserve"> </w:t>
      </w:r>
      <w:r>
        <w:t>ability</w:t>
      </w:r>
      <w:r w:rsidR="00D23ECC">
        <w:t xml:space="preserve"> </w:t>
      </w:r>
      <w:r>
        <w:t>to</w:t>
      </w:r>
      <w:r w:rsidR="00D23ECC">
        <w:t xml:space="preserve"> </w:t>
      </w:r>
      <w:r>
        <w:t>meet</w:t>
      </w:r>
      <w:r w:rsidR="00D23ECC">
        <w:t xml:space="preserve"> </w:t>
      </w:r>
      <w:r>
        <w:t>compliance</w:t>
      </w:r>
      <w:r w:rsidR="00D23ECC">
        <w:t xml:space="preserve"> </w:t>
      </w:r>
      <w:r>
        <w:t>obligations,</w:t>
      </w:r>
      <w:r w:rsidR="00D23ECC">
        <w:t xml:space="preserve"> </w:t>
      </w:r>
      <w:r>
        <w:t>such</w:t>
      </w:r>
      <w:r w:rsidR="00D23ECC">
        <w:t xml:space="preserve"> </w:t>
      </w:r>
      <w:r>
        <w:t>as</w:t>
      </w:r>
      <w:r w:rsidR="00D23ECC">
        <w:t xml:space="preserve"> </w:t>
      </w:r>
      <w:r>
        <w:t>annual</w:t>
      </w:r>
      <w:r w:rsidR="00D23ECC">
        <w:t xml:space="preserve"> </w:t>
      </w:r>
      <w:r>
        <w:t>reporting</w:t>
      </w:r>
      <w:r w:rsidR="00D23ECC">
        <w:t xml:space="preserve"> </w:t>
      </w:r>
      <w:r>
        <w:t>and</w:t>
      </w:r>
      <w:r w:rsidR="00D23ECC">
        <w:t xml:space="preserve"> </w:t>
      </w:r>
      <w:r>
        <w:t>payment</w:t>
      </w:r>
      <w:r w:rsidR="00D23ECC">
        <w:t xml:space="preserve"> </w:t>
      </w:r>
      <w:r>
        <w:t>of</w:t>
      </w:r>
      <w:r w:rsidR="00D23ECC">
        <w:t xml:space="preserve"> </w:t>
      </w:r>
      <w:r>
        <w:t>licensing</w:t>
      </w:r>
      <w:r w:rsidR="00D23ECC">
        <w:t xml:space="preserve"> </w:t>
      </w:r>
      <w:r>
        <w:t>or</w:t>
      </w:r>
      <w:r w:rsidR="00D23ECC">
        <w:t xml:space="preserve"> </w:t>
      </w:r>
      <w:r>
        <w:t>registration</w:t>
      </w:r>
      <w:r w:rsidR="00D23ECC">
        <w:t xml:space="preserve"> </w:t>
      </w:r>
      <w:r>
        <w:t>fees.</w:t>
      </w:r>
    </w:p>
    <w:p w14:paraId="77A1AE4B" w14:textId="16AA14E3" w:rsidR="00DE3B0D" w:rsidRDefault="00DE3B0D" w:rsidP="00D23ECC">
      <w:pPr>
        <w:pStyle w:val="BodyText"/>
      </w:pPr>
      <w:r>
        <w:t>New</w:t>
      </w:r>
      <w:r w:rsidR="00D23ECC">
        <w:t xml:space="preserve"> </w:t>
      </w:r>
      <w:r>
        <w:t>regulations</w:t>
      </w:r>
      <w:r w:rsidR="00D23ECC">
        <w:t xml:space="preserve"> </w:t>
      </w:r>
      <w:r>
        <w:t>were</w:t>
      </w:r>
      <w:r w:rsidR="00D23ECC">
        <w:t xml:space="preserve"> </w:t>
      </w:r>
      <w:r>
        <w:t>made</w:t>
      </w:r>
      <w:r w:rsidR="00D23ECC">
        <w:t xml:space="preserve"> </w:t>
      </w:r>
      <w:r>
        <w:t>to</w:t>
      </w:r>
      <w:r w:rsidR="00D23ECC">
        <w:t xml:space="preserve"> </w:t>
      </w:r>
      <w:r>
        <w:t>allow</w:t>
      </w:r>
      <w:r w:rsidR="00D23ECC">
        <w:t xml:space="preserve"> </w:t>
      </w:r>
      <w:r>
        <w:t>the</w:t>
      </w:r>
      <w:r w:rsidR="00D23ECC">
        <w:t xml:space="preserve"> </w:t>
      </w:r>
      <w:r>
        <w:t>Registrar</w:t>
      </w:r>
      <w:r w:rsidR="00D23ECC">
        <w:t xml:space="preserve"> </w:t>
      </w:r>
      <w:r>
        <w:t>of</w:t>
      </w:r>
      <w:r w:rsidR="00D23ECC">
        <w:t xml:space="preserve"> </w:t>
      </w:r>
      <w:r>
        <w:t>the</w:t>
      </w:r>
      <w:r w:rsidR="00D23ECC">
        <w:t xml:space="preserve"> </w:t>
      </w:r>
      <w:r>
        <w:t>Business</w:t>
      </w:r>
      <w:r w:rsidR="00D23ECC">
        <w:t xml:space="preserve"> </w:t>
      </w:r>
      <w:r>
        <w:t>Licensing</w:t>
      </w:r>
      <w:r w:rsidR="00D23ECC">
        <w:t xml:space="preserve"> </w:t>
      </w:r>
      <w:r>
        <w:t>Authority</w:t>
      </w:r>
      <w:r w:rsidR="00D23ECC">
        <w:t xml:space="preserve"> </w:t>
      </w:r>
      <w:r>
        <w:t>(BLA)</w:t>
      </w:r>
      <w:r w:rsidR="00D23ECC">
        <w:t xml:space="preserve"> </w:t>
      </w:r>
      <w:r>
        <w:t>to</w:t>
      </w:r>
      <w:r w:rsidR="00D23ECC">
        <w:t xml:space="preserve"> </w:t>
      </w:r>
      <w:r>
        <w:t>refund</w:t>
      </w:r>
      <w:r w:rsidR="00D23ECC">
        <w:t xml:space="preserve"> </w:t>
      </w:r>
      <w:r>
        <w:t>licence</w:t>
      </w:r>
      <w:r w:rsidR="00D23ECC">
        <w:t xml:space="preserve"> </w:t>
      </w:r>
      <w:r>
        <w:t>fees</w:t>
      </w:r>
      <w:r w:rsidR="00D23ECC">
        <w:t xml:space="preserve"> </w:t>
      </w:r>
      <w:r>
        <w:t>in</w:t>
      </w:r>
      <w:r w:rsidR="00D23ECC">
        <w:t xml:space="preserve"> </w:t>
      </w:r>
      <w:r>
        <w:t>exceptional</w:t>
      </w:r>
      <w:r w:rsidR="00D23ECC">
        <w:t xml:space="preserve"> </w:t>
      </w:r>
      <w:r>
        <w:t>circumstances.</w:t>
      </w:r>
      <w:r w:rsidR="00D23ECC">
        <w:t xml:space="preserve"> </w:t>
      </w:r>
      <w:r>
        <w:t>This</w:t>
      </w:r>
      <w:r w:rsidR="00D23ECC">
        <w:t xml:space="preserve"> </w:t>
      </w:r>
      <w:r>
        <w:t>led</w:t>
      </w:r>
      <w:r w:rsidR="00D23ECC">
        <w:t xml:space="preserve"> </w:t>
      </w:r>
      <w:r>
        <w:t>to</w:t>
      </w:r>
      <w:r w:rsidR="00D23ECC">
        <w:t xml:space="preserve"> </w:t>
      </w:r>
      <w:r>
        <w:t>sex</w:t>
      </w:r>
      <w:r w:rsidR="00D23ECC">
        <w:t xml:space="preserve"> </w:t>
      </w:r>
      <w:r>
        <w:t>work</w:t>
      </w:r>
      <w:r w:rsidR="00D23ECC">
        <w:t xml:space="preserve"> </w:t>
      </w:r>
      <w:r>
        <w:t>businesses,</w:t>
      </w:r>
      <w:r w:rsidR="00D23ECC">
        <w:t xml:space="preserve"> </w:t>
      </w:r>
      <w:r>
        <w:t>who</w:t>
      </w:r>
      <w:r w:rsidR="00D23ECC">
        <w:t xml:space="preserve"> </w:t>
      </w:r>
      <w:r>
        <w:t>were</w:t>
      </w:r>
      <w:r w:rsidR="00D23ECC">
        <w:t xml:space="preserve"> </w:t>
      </w:r>
      <w:r>
        <w:t>required</w:t>
      </w:r>
      <w:r w:rsidR="00D23ECC">
        <w:t xml:space="preserve"> </w:t>
      </w:r>
      <w:r>
        <w:t>to</w:t>
      </w:r>
      <w:r w:rsidR="00D23ECC">
        <w:t xml:space="preserve"> </w:t>
      </w:r>
      <w:r>
        <w:t>close</w:t>
      </w:r>
      <w:r w:rsidR="00D23ECC">
        <w:t xml:space="preserve"> </w:t>
      </w:r>
      <w:r>
        <w:t>because</w:t>
      </w:r>
      <w:r w:rsidR="00D23ECC">
        <w:t xml:space="preserve"> </w:t>
      </w:r>
      <w:r>
        <w:t>of</w:t>
      </w:r>
      <w:r w:rsidR="00D23ECC">
        <w:t xml:space="preserve"> </w:t>
      </w:r>
      <w:r>
        <w:t>COVID-19</w:t>
      </w:r>
      <w:r w:rsidR="00D23ECC">
        <w:t xml:space="preserve"> </w:t>
      </w:r>
      <w:r>
        <w:t>restrictions,</w:t>
      </w:r>
      <w:r w:rsidR="00D23ECC">
        <w:t xml:space="preserve"> </w:t>
      </w:r>
      <w:r>
        <w:t>being</w:t>
      </w:r>
      <w:r w:rsidR="00D23ECC">
        <w:t xml:space="preserve"> </w:t>
      </w:r>
      <w:r>
        <w:t>refunded</w:t>
      </w:r>
      <w:r w:rsidR="00D23ECC">
        <w:t xml:space="preserve"> </w:t>
      </w:r>
      <w:r>
        <w:t>more</w:t>
      </w:r>
      <w:r w:rsidR="00D23ECC">
        <w:t xml:space="preserve"> </w:t>
      </w:r>
      <w:r>
        <w:t>than</w:t>
      </w:r>
      <w:r w:rsidR="00D23ECC">
        <w:t xml:space="preserve"> </w:t>
      </w:r>
      <w:r>
        <w:t>$330,000</w:t>
      </w:r>
      <w:r w:rsidR="00D23ECC">
        <w:t xml:space="preserve"> </w:t>
      </w:r>
      <w:r>
        <w:t>in</w:t>
      </w:r>
      <w:r w:rsidR="00D23ECC">
        <w:t xml:space="preserve"> </w:t>
      </w:r>
      <w:r>
        <w:t>annual</w:t>
      </w:r>
      <w:r w:rsidR="00D23ECC">
        <w:t xml:space="preserve"> </w:t>
      </w:r>
      <w:r>
        <w:t>licence</w:t>
      </w:r>
      <w:r w:rsidR="00D23ECC">
        <w:t xml:space="preserve"> </w:t>
      </w:r>
      <w:r>
        <w:t>fee</w:t>
      </w:r>
      <w:r w:rsidR="00D23ECC">
        <w:t xml:space="preserve"> </w:t>
      </w:r>
      <w:r>
        <w:t>renewals</w:t>
      </w:r>
      <w:r w:rsidR="00D23ECC">
        <w:t xml:space="preserve"> </w:t>
      </w:r>
      <w:r>
        <w:t>–</w:t>
      </w:r>
      <w:r w:rsidR="00D23ECC">
        <w:t xml:space="preserve"> </w:t>
      </w:r>
      <w:r>
        <w:t>a</w:t>
      </w:r>
      <w:r w:rsidR="00D23ECC">
        <w:t xml:space="preserve"> </w:t>
      </w:r>
      <w:r>
        <w:t>great</w:t>
      </w:r>
      <w:r w:rsidR="00D23ECC">
        <w:t xml:space="preserve"> </w:t>
      </w:r>
      <w:r>
        <w:t>result</w:t>
      </w:r>
      <w:r w:rsidR="00D23ECC">
        <w:t xml:space="preserve"> </w:t>
      </w:r>
      <w:r>
        <w:t>for</w:t>
      </w:r>
      <w:r w:rsidR="00D23ECC">
        <w:t xml:space="preserve"> </w:t>
      </w:r>
      <w:r>
        <w:t>businesses</w:t>
      </w:r>
      <w:r w:rsidR="00D23ECC">
        <w:t xml:space="preserve"> </w:t>
      </w:r>
      <w:r>
        <w:t>impacted</w:t>
      </w:r>
      <w:r w:rsidR="00D23ECC">
        <w:t xml:space="preserve"> </w:t>
      </w:r>
      <w:r>
        <w:t>by</w:t>
      </w:r>
      <w:r w:rsidR="00D23ECC">
        <w:t xml:space="preserve"> </w:t>
      </w:r>
      <w:r>
        <w:t>restrictions.</w:t>
      </w:r>
    </w:p>
    <w:p w14:paraId="10A8703B" w14:textId="597A87AF" w:rsidR="00DE3B0D" w:rsidRDefault="00DE3B0D" w:rsidP="00D23ECC">
      <w:pPr>
        <w:pStyle w:val="BodyText"/>
      </w:pPr>
      <w:r>
        <w:t>We</w:t>
      </w:r>
      <w:r w:rsidR="00D23ECC">
        <w:t xml:space="preserve"> </w:t>
      </w:r>
      <w:r>
        <w:t>also</w:t>
      </w:r>
      <w:r w:rsidR="00D23ECC">
        <w:t xml:space="preserve"> </w:t>
      </w:r>
      <w:r>
        <w:t>worked</w:t>
      </w:r>
      <w:r w:rsidR="00D23ECC">
        <w:t xml:space="preserve"> </w:t>
      </w:r>
      <w:r>
        <w:t>with</w:t>
      </w:r>
      <w:r w:rsidR="00D23ECC">
        <w:t xml:space="preserve"> </w:t>
      </w:r>
      <w:r>
        <w:t>the</w:t>
      </w:r>
      <w:r w:rsidR="00D23ECC">
        <w:t xml:space="preserve"> </w:t>
      </w:r>
      <w:r>
        <w:t>BLA</w:t>
      </w:r>
      <w:r w:rsidR="00D23ECC">
        <w:t xml:space="preserve"> </w:t>
      </w:r>
      <w:r>
        <w:t>to</w:t>
      </w:r>
      <w:r w:rsidR="00D23ECC">
        <w:t xml:space="preserve"> </w:t>
      </w:r>
      <w:r>
        <w:t>provide</w:t>
      </w:r>
      <w:r w:rsidR="00D23ECC">
        <w:t xml:space="preserve"> </w:t>
      </w:r>
      <w:r>
        <w:t>other</w:t>
      </w:r>
      <w:r w:rsidR="00D23ECC">
        <w:t xml:space="preserve"> </w:t>
      </w:r>
      <w:r>
        <w:t>fee</w:t>
      </w:r>
      <w:r w:rsidR="00D23ECC">
        <w:t xml:space="preserve"> </w:t>
      </w:r>
      <w:r>
        <w:t>waivers</w:t>
      </w:r>
      <w:r w:rsidR="00D23ECC">
        <w:t xml:space="preserve"> </w:t>
      </w:r>
      <w:r>
        <w:t>and</w:t>
      </w:r>
      <w:r w:rsidR="00D23ECC">
        <w:t xml:space="preserve"> </w:t>
      </w:r>
      <w:r>
        <w:t>refunds</w:t>
      </w:r>
      <w:r w:rsidR="00D23ECC">
        <w:t xml:space="preserve"> </w:t>
      </w:r>
      <w:r>
        <w:t>and</w:t>
      </w:r>
      <w:r w:rsidR="00D23ECC">
        <w:t xml:space="preserve"> </w:t>
      </w:r>
      <w:r>
        <w:t>extensions</w:t>
      </w:r>
      <w:r w:rsidR="00D23ECC">
        <w:t xml:space="preserve"> </w:t>
      </w:r>
      <w:r>
        <w:t>of</w:t>
      </w:r>
      <w:r w:rsidR="00D23ECC">
        <w:t xml:space="preserve"> </w:t>
      </w:r>
      <w:r>
        <w:t>time</w:t>
      </w:r>
      <w:r w:rsidR="00D23ECC">
        <w:t xml:space="preserve"> </w:t>
      </w:r>
      <w:r>
        <w:t>for</w:t>
      </w:r>
      <w:r w:rsidR="00D23ECC">
        <w:t xml:space="preserve"> </w:t>
      </w:r>
      <w:r>
        <w:t>annual</w:t>
      </w:r>
      <w:r w:rsidR="00D23ECC">
        <w:t xml:space="preserve"> </w:t>
      </w:r>
      <w:r>
        <w:t>requirements</w:t>
      </w:r>
      <w:r w:rsidR="00D23ECC">
        <w:t xml:space="preserve"> </w:t>
      </w:r>
      <w:r>
        <w:t>to</w:t>
      </w:r>
      <w:r w:rsidR="00D23ECC">
        <w:t xml:space="preserve"> </w:t>
      </w:r>
      <w:r>
        <w:t>businesses</w:t>
      </w:r>
      <w:r w:rsidR="00D23ECC">
        <w:t xml:space="preserve"> </w:t>
      </w:r>
      <w:r>
        <w:t>and</w:t>
      </w:r>
      <w:r w:rsidR="00D23ECC">
        <w:t xml:space="preserve"> </w:t>
      </w:r>
      <w:r>
        <w:t>community</w:t>
      </w:r>
      <w:r w:rsidR="00D23ECC">
        <w:t xml:space="preserve"> </w:t>
      </w:r>
      <w:r>
        <w:t>organisations</w:t>
      </w:r>
      <w:r w:rsidR="00D23ECC">
        <w:t xml:space="preserve"> </w:t>
      </w:r>
      <w:r>
        <w:t>that</w:t>
      </w:r>
      <w:r w:rsidR="00D23ECC">
        <w:t xml:space="preserve"> </w:t>
      </w:r>
      <w:r>
        <w:t>sought</w:t>
      </w:r>
      <w:r w:rsidR="00D23ECC">
        <w:t xml:space="preserve"> </w:t>
      </w:r>
      <w:r>
        <w:t>assistance.</w:t>
      </w:r>
      <w:r w:rsidR="00D23ECC">
        <w:t xml:space="preserve"> </w:t>
      </w:r>
      <w:r>
        <w:t>The</w:t>
      </w:r>
      <w:r w:rsidR="00D23ECC">
        <w:t xml:space="preserve"> </w:t>
      </w:r>
      <w:r>
        <w:t>BLA</w:t>
      </w:r>
      <w:r w:rsidR="00D23ECC">
        <w:t xml:space="preserve"> </w:t>
      </w:r>
      <w:r>
        <w:t>provided</w:t>
      </w:r>
      <w:r w:rsidR="00D23ECC">
        <w:t xml:space="preserve"> </w:t>
      </w:r>
      <w:r>
        <w:t>144</w:t>
      </w:r>
      <w:r w:rsidR="00D23ECC">
        <w:t xml:space="preserve"> </w:t>
      </w:r>
      <w:r>
        <w:t>fee</w:t>
      </w:r>
      <w:r w:rsidR="00D23ECC">
        <w:t xml:space="preserve"> </w:t>
      </w:r>
      <w:r>
        <w:t>waivers</w:t>
      </w:r>
      <w:r w:rsidR="00D23ECC">
        <w:t xml:space="preserve"> </w:t>
      </w:r>
      <w:r>
        <w:t>and</w:t>
      </w:r>
      <w:r w:rsidR="00D23ECC">
        <w:t xml:space="preserve"> </w:t>
      </w:r>
      <w:r>
        <w:t>refunds</w:t>
      </w:r>
      <w:r w:rsidR="00D23ECC">
        <w:t xml:space="preserve"> </w:t>
      </w:r>
      <w:r>
        <w:t>totalling</w:t>
      </w:r>
      <w:r w:rsidR="00D23ECC">
        <w:t xml:space="preserve"> </w:t>
      </w:r>
      <w:r>
        <w:t>more</w:t>
      </w:r>
      <w:r w:rsidR="00D23ECC">
        <w:t xml:space="preserve"> </w:t>
      </w:r>
      <w:r>
        <w:t>than</w:t>
      </w:r>
      <w:r w:rsidR="00D23ECC">
        <w:t xml:space="preserve"> </w:t>
      </w:r>
      <w:r>
        <w:t>$64,500,</w:t>
      </w:r>
      <w:r w:rsidR="00D23ECC">
        <w:t xml:space="preserve"> </w:t>
      </w:r>
      <w:r>
        <w:t>in</w:t>
      </w:r>
      <w:r w:rsidR="00D23ECC">
        <w:t xml:space="preserve"> </w:t>
      </w:r>
      <w:r>
        <w:t>addition</w:t>
      </w:r>
      <w:r w:rsidR="00D23ECC">
        <w:t xml:space="preserve"> </w:t>
      </w:r>
      <w:r>
        <w:t>to</w:t>
      </w:r>
      <w:r w:rsidR="00D23ECC">
        <w:t xml:space="preserve"> </w:t>
      </w:r>
      <w:r>
        <w:t>the</w:t>
      </w:r>
      <w:r w:rsidR="00D23ECC">
        <w:t xml:space="preserve"> </w:t>
      </w:r>
      <w:r>
        <w:t>sex</w:t>
      </w:r>
      <w:r w:rsidR="00D23ECC">
        <w:t xml:space="preserve"> </w:t>
      </w:r>
      <w:r>
        <w:t>work</w:t>
      </w:r>
      <w:r w:rsidR="00D23ECC">
        <w:t xml:space="preserve"> </w:t>
      </w:r>
      <w:r>
        <w:t>licence</w:t>
      </w:r>
      <w:r w:rsidR="00D23ECC">
        <w:t xml:space="preserve"> </w:t>
      </w:r>
      <w:r>
        <w:t>fee</w:t>
      </w:r>
      <w:r w:rsidR="00D23ECC">
        <w:t xml:space="preserve"> </w:t>
      </w:r>
      <w:r>
        <w:t>refunds.</w:t>
      </w:r>
      <w:r w:rsidR="00D23ECC">
        <w:t xml:space="preserve"> </w:t>
      </w:r>
      <w:r>
        <w:t>Consumer</w:t>
      </w:r>
      <w:r w:rsidR="00D23ECC">
        <w:t xml:space="preserve"> </w:t>
      </w:r>
      <w:r>
        <w:t>Affairs</w:t>
      </w:r>
      <w:r w:rsidR="00D23ECC">
        <w:t xml:space="preserve"> </w:t>
      </w:r>
      <w:r>
        <w:t>Victoria</w:t>
      </w:r>
      <w:r w:rsidR="00D23ECC">
        <w:t xml:space="preserve"> </w:t>
      </w:r>
      <w:r>
        <w:t>(CAV)</w:t>
      </w:r>
      <w:r w:rsidR="00D23ECC">
        <w:t xml:space="preserve"> </w:t>
      </w:r>
      <w:r>
        <w:t>gave</w:t>
      </w:r>
      <w:r w:rsidR="00D23ECC">
        <w:t xml:space="preserve"> </w:t>
      </w:r>
      <w:r>
        <w:t>77</w:t>
      </w:r>
      <w:r w:rsidR="00D23ECC">
        <w:t xml:space="preserve"> </w:t>
      </w:r>
      <w:r>
        <w:t>estate</w:t>
      </w:r>
      <w:r w:rsidR="00D23ECC">
        <w:t xml:space="preserve"> </w:t>
      </w:r>
      <w:r>
        <w:t>agents</w:t>
      </w:r>
      <w:r w:rsidR="00D23ECC">
        <w:t xml:space="preserve"> </w:t>
      </w:r>
      <w:r>
        <w:t>and</w:t>
      </w:r>
      <w:r w:rsidR="00D23ECC">
        <w:t xml:space="preserve"> </w:t>
      </w:r>
      <w:r>
        <w:t>conveyancers</w:t>
      </w:r>
      <w:r w:rsidR="00D23ECC">
        <w:t xml:space="preserve"> </w:t>
      </w:r>
      <w:r>
        <w:t>additional</w:t>
      </w:r>
      <w:r w:rsidR="00D23ECC">
        <w:t xml:space="preserve"> </w:t>
      </w:r>
      <w:r>
        <w:t>time</w:t>
      </w:r>
      <w:r w:rsidR="00D23ECC">
        <w:t xml:space="preserve"> </w:t>
      </w:r>
      <w:r>
        <w:t>to</w:t>
      </w:r>
      <w:r w:rsidR="00D23ECC">
        <w:t xml:space="preserve"> </w:t>
      </w:r>
      <w:r>
        <w:t>lodge</w:t>
      </w:r>
      <w:r w:rsidR="00D23ECC">
        <w:t xml:space="preserve"> </w:t>
      </w:r>
      <w:r>
        <w:t>their</w:t>
      </w:r>
      <w:r w:rsidR="00D23ECC">
        <w:t xml:space="preserve"> </w:t>
      </w:r>
      <w:r>
        <w:t>trust</w:t>
      </w:r>
      <w:r w:rsidR="00D23ECC">
        <w:t xml:space="preserve"> </w:t>
      </w:r>
      <w:r>
        <w:t>account</w:t>
      </w:r>
      <w:r w:rsidR="00D23ECC">
        <w:t xml:space="preserve"> </w:t>
      </w:r>
      <w:r>
        <w:t>annual</w:t>
      </w:r>
      <w:r w:rsidR="00D23ECC">
        <w:t xml:space="preserve"> </w:t>
      </w:r>
      <w:r>
        <w:t>audits.</w:t>
      </w:r>
      <w:r w:rsidR="00D23ECC">
        <w:t xml:space="preserve"> </w:t>
      </w:r>
      <w:r>
        <w:t>Extensions</w:t>
      </w:r>
      <w:r w:rsidR="00D23ECC">
        <w:t xml:space="preserve"> </w:t>
      </w:r>
      <w:r>
        <w:t>of</w:t>
      </w:r>
      <w:r w:rsidR="00D23ECC">
        <w:t xml:space="preserve"> </w:t>
      </w:r>
      <w:r>
        <w:t>time</w:t>
      </w:r>
      <w:r w:rsidR="00D23ECC">
        <w:t xml:space="preserve"> </w:t>
      </w:r>
      <w:r>
        <w:t>were</w:t>
      </w:r>
      <w:r w:rsidR="00D23ECC">
        <w:t xml:space="preserve"> </w:t>
      </w:r>
      <w:r>
        <w:t>also</w:t>
      </w:r>
      <w:r w:rsidR="00D23ECC">
        <w:t xml:space="preserve"> </w:t>
      </w:r>
      <w:r>
        <w:t>provided</w:t>
      </w:r>
      <w:r w:rsidR="00D23ECC">
        <w:t xml:space="preserve"> </w:t>
      </w:r>
      <w:r>
        <w:t>to</w:t>
      </w:r>
      <w:r w:rsidR="00D23ECC">
        <w:t xml:space="preserve"> </w:t>
      </w:r>
      <w:r>
        <w:t>almost</w:t>
      </w:r>
      <w:r w:rsidR="00D23ECC">
        <w:t xml:space="preserve"> </w:t>
      </w:r>
      <w:r>
        <w:t>3,000</w:t>
      </w:r>
      <w:r w:rsidR="00D23ECC">
        <w:t xml:space="preserve"> </w:t>
      </w:r>
      <w:r>
        <w:t>incorporated</w:t>
      </w:r>
      <w:r w:rsidR="00D23ECC">
        <w:t xml:space="preserve"> </w:t>
      </w:r>
      <w:r>
        <w:t>associations</w:t>
      </w:r>
      <w:r w:rsidR="00D23ECC">
        <w:t xml:space="preserve"> </w:t>
      </w:r>
      <w:r>
        <w:t>and</w:t>
      </w:r>
      <w:r w:rsidR="00D23ECC">
        <w:t xml:space="preserve"> </w:t>
      </w:r>
      <w:r>
        <w:t>co-operatives</w:t>
      </w:r>
      <w:r w:rsidR="00D23ECC">
        <w:t xml:space="preserve"> </w:t>
      </w:r>
      <w:r>
        <w:t>to</w:t>
      </w:r>
      <w:r w:rsidR="00D23ECC">
        <w:t xml:space="preserve"> </w:t>
      </w:r>
      <w:r>
        <w:t>hold</w:t>
      </w:r>
      <w:r w:rsidR="00D23ECC">
        <w:t xml:space="preserve"> </w:t>
      </w:r>
      <w:r>
        <w:t>annual</w:t>
      </w:r>
      <w:r w:rsidR="00D23ECC">
        <w:t xml:space="preserve"> </w:t>
      </w:r>
      <w:r>
        <w:t>general</w:t>
      </w:r>
      <w:r w:rsidR="00D23ECC">
        <w:t xml:space="preserve"> </w:t>
      </w:r>
      <w:r>
        <w:t>meetings</w:t>
      </w:r>
      <w:r w:rsidR="00D23ECC">
        <w:t xml:space="preserve"> </w:t>
      </w:r>
      <w:r>
        <w:t>and</w:t>
      </w:r>
      <w:r w:rsidR="00D23ECC">
        <w:t xml:space="preserve"> </w:t>
      </w:r>
      <w:r>
        <w:t>lodge</w:t>
      </w:r>
      <w:r w:rsidR="00D23ECC">
        <w:t xml:space="preserve"> </w:t>
      </w:r>
      <w:r>
        <w:t>annual</w:t>
      </w:r>
      <w:r w:rsidR="00D23ECC">
        <w:t xml:space="preserve"> </w:t>
      </w:r>
      <w:r>
        <w:t>statements.</w:t>
      </w:r>
    </w:p>
    <w:p w14:paraId="28E63A03" w14:textId="05820492" w:rsidR="00DE3B0D" w:rsidRDefault="00DE3B0D" w:rsidP="00AE374E">
      <w:pPr>
        <w:pStyle w:val="Heading4"/>
      </w:pPr>
      <w:bookmarkStart w:id="18" w:name="_Reduced_reporting_requirements"/>
      <w:bookmarkStart w:id="19" w:name="_Ref85883260"/>
      <w:bookmarkEnd w:id="18"/>
      <w:r>
        <w:rPr>
          <w:color w:val="000000"/>
        </w:rPr>
        <w:lastRenderedPageBreak/>
        <w:t>Reduced</w:t>
      </w:r>
      <w:r w:rsidR="00D23ECC">
        <w:rPr>
          <w:color w:val="000000"/>
        </w:rPr>
        <w:t xml:space="preserve"> </w:t>
      </w:r>
      <w:r>
        <w:rPr>
          <w:color w:val="000000"/>
        </w:rPr>
        <w:t>reporting</w:t>
      </w:r>
      <w:r w:rsidR="00D23ECC">
        <w:rPr>
          <w:color w:val="000000"/>
        </w:rPr>
        <w:t xml:space="preserve"> </w:t>
      </w:r>
      <w:r>
        <w:rPr>
          <w:color w:val="000000"/>
        </w:rPr>
        <w:t>requirements</w:t>
      </w:r>
      <w:r w:rsidR="00D23ECC">
        <w:rPr>
          <w:color w:val="000000"/>
        </w:rPr>
        <w:t xml:space="preserve"> </w:t>
      </w:r>
      <w:r>
        <w:rPr>
          <w:color w:val="000000"/>
        </w:rPr>
        <w:t>for</w:t>
      </w:r>
      <w:r w:rsidR="00D23ECC">
        <w:rPr>
          <w:color w:val="000000"/>
        </w:rPr>
        <w:t xml:space="preserve"> </w:t>
      </w:r>
      <w:r>
        <w:rPr>
          <w:color w:val="000000"/>
        </w:rPr>
        <w:t>fundraisers</w:t>
      </w:r>
      <w:bookmarkEnd w:id="19"/>
    </w:p>
    <w:p w14:paraId="234C4FDF" w14:textId="51B9F4CE" w:rsidR="00DE3B0D" w:rsidRDefault="00DE3B0D" w:rsidP="00D23ECC">
      <w:pPr>
        <w:pStyle w:val="BodyText"/>
      </w:pPr>
      <w:r>
        <w:t>Following</w:t>
      </w:r>
      <w:r w:rsidR="00D23ECC">
        <w:t xml:space="preserve"> </w:t>
      </w:r>
      <w:r>
        <w:t>amendments</w:t>
      </w:r>
      <w:r w:rsidR="00D23ECC">
        <w:t xml:space="preserve"> </w:t>
      </w:r>
      <w:r>
        <w:t>to</w:t>
      </w:r>
      <w:r w:rsidR="00D23ECC">
        <w:t xml:space="preserve"> </w:t>
      </w:r>
      <w:r>
        <w:t>the</w:t>
      </w:r>
      <w:r w:rsidR="00D23ECC">
        <w:t xml:space="preserve"> </w:t>
      </w:r>
      <w:r w:rsidRPr="00ED78BD">
        <w:rPr>
          <w:rStyle w:val="Emphasis"/>
        </w:rPr>
        <w:t>Fundraising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1998</w:t>
      </w:r>
      <w:r w:rsidR="00D23ECC">
        <w:t xml:space="preserve"> </w:t>
      </w:r>
      <w:r>
        <w:t>introduced</w:t>
      </w:r>
      <w:r w:rsidR="00D23ECC">
        <w:t xml:space="preserve"> </w:t>
      </w:r>
      <w:r>
        <w:t>on</w:t>
      </w:r>
      <w:r w:rsidR="00D23ECC">
        <w:t xml:space="preserve"> </w:t>
      </w:r>
      <w:r>
        <w:t>31</w:t>
      </w:r>
      <w:r w:rsidR="00D23ECC">
        <w:t xml:space="preserve"> </w:t>
      </w:r>
      <w:r>
        <w:t>August</w:t>
      </w:r>
      <w:r w:rsidR="00D23ECC">
        <w:t xml:space="preserve"> </w:t>
      </w:r>
      <w:r>
        <w:t>2020,</w:t>
      </w:r>
      <w:r w:rsidR="00D23ECC">
        <w:t xml:space="preserve"> </w:t>
      </w:r>
      <w:r>
        <w:t>there</w:t>
      </w:r>
      <w:r w:rsidR="00D23ECC">
        <w:t xml:space="preserve"> </w:t>
      </w:r>
      <w:r>
        <w:t>are</w:t>
      </w:r>
      <w:r w:rsidR="00D23ECC">
        <w:t xml:space="preserve"> </w:t>
      </w:r>
      <w:r>
        <w:t>now</w:t>
      </w:r>
      <w:r w:rsidR="00D23ECC">
        <w:t xml:space="preserve"> </w:t>
      </w:r>
      <w:r>
        <w:t>reduced</w:t>
      </w:r>
      <w:r w:rsidR="00D23ECC">
        <w:t xml:space="preserve"> </w:t>
      </w:r>
      <w:r>
        <w:t>registration</w:t>
      </w:r>
      <w:r w:rsidR="00D23ECC">
        <w:t xml:space="preserve"> </w:t>
      </w:r>
      <w:r>
        <w:t>and</w:t>
      </w:r>
      <w:r w:rsidR="00D23ECC">
        <w:t xml:space="preserve"> </w:t>
      </w:r>
      <w:r>
        <w:t>reporting</w:t>
      </w:r>
      <w:r w:rsidR="00D23ECC">
        <w:t xml:space="preserve"> </w:t>
      </w:r>
      <w:r>
        <w:t>requirements</w:t>
      </w:r>
      <w:r w:rsidR="00D23ECC">
        <w:t xml:space="preserve"> </w:t>
      </w:r>
      <w:r>
        <w:t>for</w:t>
      </w:r>
      <w:r w:rsidR="00D23ECC">
        <w:t xml:space="preserve"> </w:t>
      </w:r>
      <w:r>
        <w:t>charities</w:t>
      </w:r>
      <w:r w:rsidR="00D23ECC">
        <w:t xml:space="preserve"> </w:t>
      </w:r>
      <w:r>
        <w:t>that</w:t>
      </w:r>
      <w:r w:rsidR="00D23ECC">
        <w:t xml:space="preserve"> </w:t>
      </w:r>
      <w:r>
        <w:t>fundraise</w:t>
      </w:r>
      <w:r w:rsidR="00D23ECC">
        <w:t xml:space="preserve"> </w:t>
      </w:r>
      <w:r>
        <w:t>in</w:t>
      </w:r>
      <w:r w:rsidR="00D23ECC">
        <w:t xml:space="preserve"> </w:t>
      </w:r>
      <w:r>
        <w:t>Victoria.</w:t>
      </w:r>
    </w:p>
    <w:p w14:paraId="41A0DC21" w14:textId="733D7F6F" w:rsidR="00DE3B0D" w:rsidRDefault="00DE3B0D" w:rsidP="00D23ECC">
      <w:pPr>
        <w:pStyle w:val="BodyText"/>
      </w:pPr>
      <w:r>
        <w:t>Charities</w:t>
      </w:r>
      <w:r w:rsidR="00D23ECC">
        <w:t xml:space="preserve"> </w:t>
      </w:r>
      <w:r>
        <w:t>registered</w:t>
      </w:r>
      <w:r w:rsidR="00D23ECC">
        <w:t xml:space="preserve"> </w:t>
      </w:r>
      <w:r>
        <w:t>with</w:t>
      </w:r>
      <w:r w:rsidR="00D23ECC">
        <w:t xml:space="preserve"> </w:t>
      </w:r>
      <w:r>
        <w:t>the</w:t>
      </w:r>
      <w:r w:rsidR="00D23ECC">
        <w:t xml:space="preserve"> </w:t>
      </w:r>
      <w:r>
        <w:t>Australian</w:t>
      </w:r>
      <w:r w:rsidR="00D23ECC">
        <w:t xml:space="preserve"> </w:t>
      </w:r>
      <w:r>
        <w:t>Charities</w:t>
      </w:r>
      <w:r w:rsidR="00D23ECC">
        <w:t xml:space="preserve"> </w:t>
      </w:r>
      <w:r>
        <w:t>and</w:t>
      </w:r>
      <w:r w:rsidR="00D23ECC">
        <w:t xml:space="preserve"> </w:t>
      </w:r>
      <w:r>
        <w:t>Not-for-profits</w:t>
      </w:r>
      <w:r w:rsidR="00D23ECC">
        <w:t xml:space="preserve"> </w:t>
      </w:r>
      <w:r>
        <w:t>Commission</w:t>
      </w:r>
      <w:r w:rsidR="00D23ECC">
        <w:t xml:space="preserve"> </w:t>
      </w:r>
      <w:r>
        <w:t>now</w:t>
      </w:r>
      <w:r w:rsidR="00D23ECC">
        <w:t xml:space="preserve"> </w:t>
      </w:r>
      <w:r>
        <w:t>only</w:t>
      </w:r>
      <w:r w:rsidR="00D23ECC">
        <w:t xml:space="preserve"> </w:t>
      </w:r>
      <w:r>
        <w:t>need</w:t>
      </w:r>
      <w:r w:rsidR="00D23ECC">
        <w:t xml:space="preserve"> </w:t>
      </w:r>
      <w:r>
        <w:t>to</w:t>
      </w:r>
      <w:r w:rsidR="00D23ECC">
        <w:t xml:space="preserve"> </w:t>
      </w:r>
      <w:r>
        <w:t>report</w:t>
      </w:r>
      <w:r w:rsidR="00D23ECC">
        <w:t xml:space="preserve"> </w:t>
      </w:r>
      <w:r>
        <w:t>their</w:t>
      </w:r>
      <w:r w:rsidR="00D23ECC">
        <w:t xml:space="preserve"> </w:t>
      </w:r>
      <w:r>
        <w:t>intention</w:t>
      </w:r>
      <w:r w:rsidR="00D23ECC">
        <w:t xml:space="preserve"> </w:t>
      </w:r>
      <w:r>
        <w:t>to</w:t>
      </w:r>
      <w:r w:rsidR="00D23ECC">
        <w:t xml:space="preserve"> </w:t>
      </w:r>
      <w:r>
        <w:t>fundraise</w:t>
      </w:r>
      <w:r w:rsidR="00D23ECC">
        <w:t xml:space="preserve"> </w:t>
      </w:r>
      <w:r>
        <w:t>in</w:t>
      </w:r>
      <w:r w:rsidR="00D23ECC">
        <w:t xml:space="preserve"> </w:t>
      </w:r>
      <w:r>
        <w:t>Victoria</w:t>
      </w:r>
      <w:r w:rsidR="00D23ECC">
        <w:t xml:space="preserve"> </w:t>
      </w:r>
      <w:r>
        <w:t>to</w:t>
      </w:r>
      <w:r w:rsidR="00D23ECC">
        <w:t xml:space="preserve"> </w:t>
      </w:r>
      <w:r>
        <w:t>be</w:t>
      </w:r>
      <w:r w:rsidR="00D23ECC">
        <w:t xml:space="preserve"> </w:t>
      </w:r>
      <w:r>
        <w:t>deemed</w:t>
      </w:r>
      <w:r w:rsidR="00D23ECC">
        <w:t xml:space="preserve"> </w:t>
      </w:r>
      <w:r>
        <w:t>registered.</w:t>
      </w:r>
      <w:r w:rsidR="00D23ECC">
        <w:t xml:space="preserve"> </w:t>
      </w:r>
      <w:r>
        <w:t>Fundraisers</w:t>
      </w:r>
      <w:r w:rsidR="00D23ECC">
        <w:t xml:space="preserve"> </w:t>
      </w:r>
      <w:r>
        <w:t>already</w:t>
      </w:r>
      <w:r w:rsidR="00D23ECC">
        <w:t xml:space="preserve"> </w:t>
      </w:r>
      <w:r>
        <w:t>registered</w:t>
      </w:r>
      <w:r w:rsidR="00D23ECC">
        <w:t xml:space="preserve"> </w:t>
      </w:r>
      <w:r>
        <w:t>with</w:t>
      </w:r>
      <w:r w:rsidR="00D23ECC">
        <w:t xml:space="preserve"> </w:t>
      </w:r>
      <w:r>
        <w:t>CAV</w:t>
      </w:r>
      <w:r w:rsidR="00D23ECC">
        <w:t xml:space="preserve"> </w:t>
      </w:r>
      <w:r>
        <w:t>also</w:t>
      </w:r>
      <w:r w:rsidR="00D23ECC">
        <w:t xml:space="preserve"> </w:t>
      </w:r>
      <w:r>
        <w:t>benefit</w:t>
      </w:r>
      <w:r w:rsidR="00D23ECC">
        <w:t xml:space="preserve"> </w:t>
      </w:r>
      <w:r>
        <w:t>from</w:t>
      </w:r>
      <w:r w:rsidR="00D23ECC">
        <w:t xml:space="preserve"> </w:t>
      </w:r>
      <w:r>
        <w:t>reduced</w:t>
      </w:r>
      <w:r w:rsidR="00D23ECC">
        <w:t xml:space="preserve"> </w:t>
      </w:r>
      <w:r>
        <w:t>reporting</w:t>
      </w:r>
      <w:r w:rsidR="00D23ECC">
        <w:t xml:space="preserve"> </w:t>
      </w:r>
      <w:r>
        <w:t>and</w:t>
      </w:r>
      <w:r w:rsidR="00D23ECC">
        <w:t xml:space="preserve"> </w:t>
      </w:r>
      <w:r>
        <w:t>renewal</w:t>
      </w:r>
      <w:r w:rsidR="00D23ECC">
        <w:t xml:space="preserve"> </w:t>
      </w:r>
      <w:r>
        <w:t>requirements.</w:t>
      </w:r>
    </w:p>
    <w:p w14:paraId="5329A7B8" w14:textId="0B3DFE76" w:rsidR="00DE3B0D" w:rsidRDefault="00DE3B0D" w:rsidP="00D23ECC">
      <w:pPr>
        <w:pStyle w:val="BodyText"/>
      </w:pPr>
      <w:r>
        <w:t>Overall,</w:t>
      </w:r>
      <w:r w:rsidR="00D23ECC">
        <w:t xml:space="preserve"> </w:t>
      </w:r>
      <w:r>
        <w:t>60</w:t>
      </w:r>
      <w:r w:rsidR="00D23ECC">
        <w:t xml:space="preserve"> </w:t>
      </w:r>
      <w:r>
        <w:t>per</w:t>
      </w:r>
      <w:r w:rsidR="00D23ECC">
        <w:t xml:space="preserve"> </w:t>
      </w:r>
      <w:r>
        <w:t>cent</w:t>
      </w:r>
      <w:r w:rsidR="00D23ECC">
        <w:t xml:space="preserve"> </w:t>
      </w:r>
      <w:r>
        <w:t>of</w:t>
      </w:r>
      <w:r w:rsidR="00D23ECC">
        <w:t xml:space="preserve"> </w:t>
      </w:r>
      <w:r>
        <w:t>all</w:t>
      </w:r>
      <w:r w:rsidR="00D23ECC">
        <w:t xml:space="preserve"> </w:t>
      </w:r>
      <w:r>
        <w:t>fundraisers</w:t>
      </w:r>
      <w:r w:rsidR="00D23ECC">
        <w:t xml:space="preserve"> </w:t>
      </w:r>
      <w:r>
        <w:t>currently</w:t>
      </w:r>
      <w:r w:rsidR="00D23ECC">
        <w:t xml:space="preserve"> </w:t>
      </w:r>
      <w:r>
        <w:t>listed</w:t>
      </w:r>
      <w:r w:rsidR="00D23ECC">
        <w:t xml:space="preserve"> </w:t>
      </w:r>
      <w:r>
        <w:t>on</w:t>
      </w:r>
      <w:r w:rsidR="00D23ECC">
        <w:t xml:space="preserve"> </w:t>
      </w:r>
      <w:r>
        <w:t>the</w:t>
      </w:r>
      <w:r w:rsidR="00D23ECC">
        <w:t xml:space="preserve"> </w:t>
      </w:r>
      <w:r>
        <w:t>public</w:t>
      </w:r>
      <w:r w:rsidR="00D23ECC">
        <w:t xml:space="preserve"> </w:t>
      </w:r>
      <w:r>
        <w:t>register</w:t>
      </w:r>
      <w:r w:rsidR="00D23ECC">
        <w:t xml:space="preserve"> </w:t>
      </w:r>
      <w:r>
        <w:t>now</w:t>
      </w:r>
      <w:r w:rsidR="00D23ECC">
        <w:t xml:space="preserve"> </w:t>
      </w:r>
      <w:r>
        <w:t>have</w:t>
      </w:r>
      <w:r w:rsidR="00D23ECC">
        <w:t xml:space="preserve"> </w:t>
      </w:r>
      <w:r>
        <w:t>reduced</w:t>
      </w:r>
      <w:r w:rsidR="00D23ECC">
        <w:t xml:space="preserve"> </w:t>
      </w:r>
      <w:r>
        <w:t>reporting</w:t>
      </w:r>
      <w:r w:rsidR="00D23ECC">
        <w:t xml:space="preserve"> </w:t>
      </w:r>
      <w:r>
        <w:t>requirements.</w:t>
      </w:r>
    </w:p>
    <w:p w14:paraId="00140D7F" w14:textId="6CD7C2E3" w:rsidR="00DE3B0D" w:rsidRDefault="00DE3B0D" w:rsidP="00AE374E">
      <w:pPr>
        <w:pStyle w:val="Heading4"/>
      </w:pPr>
      <w:bookmarkStart w:id="20" w:name="_Registration_of_professional"/>
      <w:bookmarkStart w:id="21" w:name="_Ref85883600"/>
      <w:bookmarkEnd w:id="20"/>
      <w:r>
        <w:rPr>
          <w:color w:val="000000"/>
        </w:rPr>
        <w:t>Registration</w:t>
      </w:r>
      <w:r w:rsidR="00D23ECC">
        <w:rPr>
          <w:color w:val="000000"/>
        </w:rPr>
        <w:t xml:space="preserve"> </w:t>
      </w:r>
      <w:r>
        <w:rPr>
          <w:color w:val="000000"/>
        </w:rPr>
        <w:t>of</w:t>
      </w:r>
      <w:r w:rsidR="00D23ECC">
        <w:rPr>
          <w:color w:val="000000"/>
        </w:rPr>
        <w:t xml:space="preserve"> </w:t>
      </w:r>
      <w:r>
        <w:rPr>
          <w:color w:val="000000"/>
        </w:rPr>
        <w:t>professional</w:t>
      </w:r>
      <w:r w:rsidR="00D23ECC">
        <w:rPr>
          <w:color w:val="000000"/>
        </w:rPr>
        <w:t xml:space="preserve"> </w:t>
      </w:r>
      <w:r>
        <w:rPr>
          <w:color w:val="000000"/>
        </w:rPr>
        <w:t>engineers</w:t>
      </w:r>
      <w:r w:rsidR="00D23ECC">
        <w:rPr>
          <w:color w:val="000000"/>
        </w:rPr>
        <w:t xml:space="preserve"> </w:t>
      </w:r>
      <w:r>
        <w:rPr>
          <w:color w:val="000000"/>
        </w:rPr>
        <w:t>has</w:t>
      </w:r>
      <w:r w:rsidR="00D23ECC">
        <w:rPr>
          <w:color w:val="000000"/>
        </w:rPr>
        <w:t xml:space="preserve"> </w:t>
      </w:r>
      <w:r>
        <w:rPr>
          <w:color w:val="000000"/>
        </w:rPr>
        <w:t>commenced</w:t>
      </w:r>
      <w:bookmarkEnd w:id="21"/>
    </w:p>
    <w:p w14:paraId="1C5677D6" w14:textId="70FBDAFA" w:rsidR="00DE3B0D" w:rsidRDefault="00DE3B0D" w:rsidP="00D23ECC">
      <w:pPr>
        <w:pStyle w:val="BodyText"/>
      </w:pPr>
      <w:r>
        <w:t>The</w:t>
      </w:r>
      <w:r w:rsidR="00D23ECC">
        <w:t xml:space="preserve"> </w:t>
      </w:r>
      <w:r w:rsidRPr="00ED78BD">
        <w:rPr>
          <w:rStyle w:val="Emphasis"/>
        </w:rPr>
        <w:t>Professional</w:t>
      </w:r>
      <w:r w:rsidR="00D23ECC" w:rsidRPr="00ED78BD">
        <w:rPr>
          <w:rStyle w:val="Emphasis"/>
        </w:rPr>
        <w:t xml:space="preserve"> </w:t>
      </w:r>
      <w:r w:rsidRPr="00ED78BD">
        <w:rPr>
          <w:rStyle w:val="Emphasis"/>
        </w:rPr>
        <w:t>Engineers</w:t>
      </w:r>
      <w:r w:rsidR="00D23ECC" w:rsidRPr="00ED78BD">
        <w:rPr>
          <w:rStyle w:val="Emphasis"/>
        </w:rPr>
        <w:t xml:space="preserve"> </w:t>
      </w:r>
      <w:r w:rsidRPr="00ED78BD">
        <w:rPr>
          <w:rStyle w:val="Emphasis"/>
        </w:rPr>
        <w:t>Registration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2019</w:t>
      </w:r>
      <w:r w:rsidR="00D23ECC">
        <w:t xml:space="preserve"> </w:t>
      </w:r>
      <w:r>
        <w:t>commenced</w:t>
      </w:r>
      <w:r w:rsidR="00D23ECC">
        <w:t xml:space="preserve"> </w:t>
      </w:r>
      <w:r>
        <w:t>on</w:t>
      </w:r>
      <w:r w:rsidR="00D23ECC">
        <w:t xml:space="preserve"> </w:t>
      </w:r>
      <w:r>
        <w:t>1</w:t>
      </w:r>
      <w:r w:rsidR="00D23ECC">
        <w:t xml:space="preserve"> </w:t>
      </w:r>
      <w:r>
        <w:t>July</w:t>
      </w:r>
      <w:r w:rsidR="00D23ECC">
        <w:t xml:space="preserve"> </w:t>
      </w:r>
      <w:r>
        <w:t>2021,</w:t>
      </w:r>
      <w:r w:rsidR="00D23ECC">
        <w:t xml:space="preserve"> </w:t>
      </w:r>
      <w:r>
        <w:t>delivering</w:t>
      </w:r>
      <w:r w:rsidR="00D23ECC">
        <w:t xml:space="preserve"> </w:t>
      </w:r>
      <w:r>
        <w:t>a</w:t>
      </w:r>
      <w:r w:rsidR="00D23ECC">
        <w:t xml:space="preserve"> </w:t>
      </w:r>
      <w:r>
        <w:t>Government</w:t>
      </w:r>
      <w:r w:rsidR="00D23ECC">
        <w:t xml:space="preserve"> </w:t>
      </w:r>
      <w:r>
        <w:t>priority</w:t>
      </w:r>
      <w:r w:rsidR="00D23ECC">
        <w:t xml:space="preserve"> </w:t>
      </w:r>
      <w:r>
        <w:t>that</w:t>
      </w:r>
      <w:r w:rsidR="00D23ECC">
        <w:t xml:space="preserve"> </w:t>
      </w:r>
      <w:r>
        <w:t>supports</w:t>
      </w:r>
      <w:r w:rsidR="00D23ECC">
        <w:t xml:space="preserve"> </w:t>
      </w:r>
      <w:r>
        <w:t>infrastructure</w:t>
      </w:r>
      <w:r w:rsidR="00D23ECC">
        <w:t xml:space="preserve"> </w:t>
      </w:r>
      <w:r>
        <w:t>delivery</w:t>
      </w:r>
      <w:r w:rsidR="00D23ECC">
        <w:t xml:space="preserve"> </w:t>
      </w:r>
      <w:r>
        <w:t>in</w:t>
      </w:r>
      <w:r w:rsidR="00D23ECC">
        <w:t xml:space="preserve"> </w:t>
      </w:r>
      <w:r>
        <w:t>Victoria.</w:t>
      </w:r>
    </w:p>
    <w:p w14:paraId="3C401726" w14:textId="4584C21A" w:rsidR="00DE3B0D" w:rsidRDefault="00DE3B0D" w:rsidP="00D23ECC">
      <w:pPr>
        <w:pStyle w:val="BodyText"/>
      </w:pPr>
      <w:r>
        <w:t>Implementing</w:t>
      </w:r>
      <w:r w:rsidR="00D23ECC">
        <w:t xml:space="preserve"> </w:t>
      </w:r>
      <w:r>
        <w:t>this</w:t>
      </w:r>
      <w:r w:rsidR="00D23ECC">
        <w:t xml:space="preserve"> </w:t>
      </w:r>
      <w:r>
        <w:t>Act</w:t>
      </w:r>
      <w:r w:rsidR="00D23ECC">
        <w:t xml:space="preserve"> </w:t>
      </w:r>
      <w:r>
        <w:t>will</w:t>
      </w:r>
      <w:r w:rsidR="00D23ECC">
        <w:t xml:space="preserve"> </w:t>
      </w:r>
      <w:r>
        <w:t>give</w:t>
      </w:r>
      <w:r w:rsidR="00D23ECC">
        <w:t xml:space="preserve"> </w:t>
      </w:r>
      <w:r>
        <w:t>Victorians</w:t>
      </w:r>
      <w:r w:rsidR="00D23ECC">
        <w:t xml:space="preserve"> </w:t>
      </w:r>
      <w:r>
        <w:t>greater</w:t>
      </w:r>
      <w:r w:rsidR="00D23ECC">
        <w:t xml:space="preserve"> </w:t>
      </w:r>
      <w:r>
        <w:t>confidence</w:t>
      </w:r>
      <w:r w:rsidR="00D23ECC">
        <w:t xml:space="preserve"> </w:t>
      </w:r>
      <w:r>
        <w:t>by</w:t>
      </w:r>
      <w:r w:rsidR="00D23ECC">
        <w:t xml:space="preserve"> </w:t>
      </w:r>
      <w:r>
        <w:t>requiring</w:t>
      </w:r>
      <w:r w:rsidR="00D23ECC">
        <w:t xml:space="preserve"> </w:t>
      </w:r>
      <w:r>
        <w:t>professional</w:t>
      </w:r>
      <w:r w:rsidR="00D23ECC">
        <w:t xml:space="preserve"> </w:t>
      </w:r>
      <w:r>
        <w:t>engineers</w:t>
      </w:r>
      <w:r w:rsidR="00D23ECC">
        <w:t xml:space="preserve"> </w:t>
      </w:r>
      <w:r>
        <w:t>to</w:t>
      </w:r>
      <w:r w:rsidR="00D23ECC">
        <w:t xml:space="preserve"> </w:t>
      </w:r>
      <w:r>
        <w:t>be</w:t>
      </w:r>
      <w:r w:rsidR="00D23ECC">
        <w:t xml:space="preserve"> </w:t>
      </w:r>
      <w:r>
        <w:t>formally</w:t>
      </w:r>
      <w:r w:rsidR="00D23ECC">
        <w:t xml:space="preserve"> </w:t>
      </w:r>
      <w:r>
        <w:t>registered</w:t>
      </w:r>
      <w:r w:rsidR="00D23ECC">
        <w:t xml:space="preserve"> </w:t>
      </w:r>
      <w:r>
        <w:t>for</w:t>
      </w:r>
      <w:r w:rsidR="00D23ECC">
        <w:t xml:space="preserve"> </w:t>
      </w:r>
      <w:r>
        <w:t>the</w:t>
      </w:r>
      <w:r w:rsidR="00D23ECC">
        <w:t xml:space="preserve"> </w:t>
      </w:r>
      <w:r>
        <w:t>first</w:t>
      </w:r>
      <w:r w:rsidR="00D23ECC">
        <w:t xml:space="preserve"> </w:t>
      </w:r>
      <w:r>
        <w:t>time.</w:t>
      </w:r>
      <w:r w:rsidR="00D23ECC">
        <w:t xml:space="preserve"> </w:t>
      </w:r>
      <w:r>
        <w:t>The</w:t>
      </w:r>
      <w:r w:rsidR="00D23ECC">
        <w:t xml:space="preserve"> </w:t>
      </w:r>
      <w:r>
        <w:t>aim</w:t>
      </w:r>
      <w:r w:rsidR="00D23ECC">
        <w:t xml:space="preserve"> </w:t>
      </w:r>
      <w:r>
        <w:t>is</w:t>
      </w:r>
      <w:r w:rsidR="00D23ECC">
        <w:t xml:space="preserve"> </w:t>
      </w:r>
      <w:r>
        <w:t>to</w:t>
      </w:r>
      <w:r w:rsidR="00D23ECC">
        <w:t xml:space="preserve"> </w:t>
      </w:r>
      <w:r>
        <w:t>protect</w:t>
      </w:r>
      <w:r w:rsidR="00D23ECC">
        <w:t xml:space="preserve"> </w:t>
      </w:r>
      <w:r>
        <w:t>consumers</w:t>
      </w:r>
      <w:r w:rsidR="00D23ECC">
        <w:t xml:space="preserve"> </w:t>
      </w:r>
      <w:r>
        <w:t>by</w:t>
      </w:r>
      <w:r w:rsidR="00D23ECC">
        <w:t xml:space="preserve"> </w:t>
      </w:r>
      <w:r>
        <w:t>ensuring</w:t>
      </w:r>
      <w:r w:rsidR="00D23ECC">
        <w:t xml:space="preserve"> </w:t>
      </w:r>
      <w:r>
        <w:t>only</w:t>
      </w:r>
      <w:r w:rsidR="00D23ECC">
        <w:t xml:space="preserve"> </w:t>
      </w:r>
      <w:r>
        <w:t>suitably</w:t>
      </w:r>
      <w:r w:rsidR="00D23ECC">
        <w:t xml:space="preserve"> </w:t>
      </w:r>
      <w:r>
        <w:t>qualified</w:t>
      </w:r>
      <w:r w:rsidR="00D23ECC">
        <w:t xml:space="preserve"> </w:t>
      </w:r>
      <w:r>
        <w:t>and</w:t>
      </w:r>
      <w:r w:rsidR="00D23ECC">
        <w:t xml:space="preserve"> </w:t>
      </w:r>
      <w:r>
        <w:t>experienced</w:t>
      </w:r>
      <w:r w:rsidR="00D23ECC">
        <w:t xml:space="preserve"> </w:t>
      </w:r>
      <w:r>
        <w:t>people</w:t>
      </w:r>
      <w:r w:rsidR="00D23ECC">
        <w:t xml:space="preserve"> </w:t>
      </w:r>
      <w:r>
        <w:t>provide</w:t>
      </w:r>
      <w:r w:rsidR="00D23ECC">
        <w:t xml:space="preserve"> </w:t>
      </w:r>
      <w:r>
        <w:t>these</w:t>
      </w:r>
      <w:r w:rsidR="00D23ECC">
        <w:t xml:space="preserve"> </w:t>
      </w:r>
      <w:r>
        <w:t>services.</w:t>
      </w:r>
    </w:p>
    <w:p w14:paraId="01C4DC15" w14:textId="6D727CBA" w:rsidR="00DE3B0D" w:rsidRDefault="00DE3B0D" w:rsidP="00D23ECC">
      <w:pPr>
        <w:pStyle w:val="BodyText"/>
      </w:pPr>
      <w:r>
        <w:t>To</w:t>
      </w:r>
      <w:r w:rsidR="00D23ECC">
        <w:t xml:space="preserve"> </w:t>
      </w:r>
      <w:r>
        <w:t>assist</w:t>
      </w:r>
      <w:r w:rsidR="00D23ECC">
        <w:t xml:space="preserve"> </w:t>
      </w:r>
      <w:r>
        <w:t>professional</w:t>
      </w:r>
      <w:r w:rsidR="00D23ECC">
        <w:t xml:space="preserve"> </w:t>
      </w:r>
      <w:r>
        <w:t>engineers</w:t>
      </w:r>
      <w:r w:rsidR="00D23ECC">
        <w:t xml:space="preserve"> </w:t>
      </w:r>
      <w:r>
        <w:t>to</w:t>
      </w:r>
      <w:r w:rsidR="00D23ECC">
        <w:t xml:space="preserve"> </w:t>
      </w:r>
      <w:r>
        <w:t>prepare</w:t>
      </w:r>
      <w:r w:rsidR="00D23ECC">
        <w:t xml:space="preserve"> </w:t>
      </w:r>
      <w:r>
        <w:t>for</w:t>
      </w:r>
      <w:r w:rsidR="00D23ECC">
        <w:t xml:space="preserve"> </w:t>
      </w:r>
      <w:r>
        <w:t>registration</w:t>
      </w:r>
      <w:r w:rsidR="00D23ECC">
        <w:t xml:space="preserve"> </w:t>
      </w:r>
      <w:r>
        <w:t>and</w:t>
      </w:r>
      <w:r w:rsidR="00D23ECC">
        <w:t xml:space="preserve"> </w:t>
      </w:r>
      <w:r>
        <w:t>ensure</w:t>
      </w:r>
      <w:r w:rsidR="00D23ECC">
        <w:t xml:space="preserve"> </w:t>
      </w:r>
      <w:r>
        <w:t>minimal</w:t>
      </w:r>
      <w:r w:rsidR="00D23ECC">
        <w:t xml:space="preserve"> </w:t>
      </w:r>
      <w:r>
        <w:t>disruption</w:t>
      </w:r>
      <w:r w:rsidR="00D23ECC">
        <w:t xml:space="preserve"> </w:t>
      </w:r>
      <w:r>
        <w:t>to</w:t>
      </w:r>
      <w:r w:rsidR="00D23ECC">
        <w:t xml:space="preserve"> </w:t>
      </w:r>
      <w:r>
        <w:t>business,</w:t>
      </w:r>
      <w:r w:rsidR="00D23ECC">
        <w:t xml:space="preserve"> </w:t>
      </w:r>
      <w:r>
        <w:t>registration</w:t>
      </w:r>
      <w:r w:rsidR="00D23ECC">
        <w:t xml:space="preserve"> </w:t>
      </w:r>
      <w:r>
        <w:t>is</w:t>
      </w:r>
      <w:r w:rsidR="00D23ECC">
        <w:t xml:space="preserve"> </w:t>
      </w:r>
      <w:r>
        <w:t>being</w:t>
      </w:r>
      <w:r w:rsidR="00D23ECC">
        <w:t xml:space="preserve"> </w:t>
      </w:r>
      <w:r>
        <w:t>progressively</w:t>
      </w:r>
      <w:r w:rsidR="00D23ECC">
        <w:t xml:space="preserve"> </w:t>
      </w:r>
      <w:r>
        <w:t>rolled-out</w:t>
      </w:r>
      <w:r w:rsidR="00D23ECC">
        <w:t xml:space="preserve"> </w:t>
      </w:r>
      <w:r>
        <w:t>over</w:t>
      </w:r>
      <w:r w:rsidR="00D23ECC">
        <w:t xml:space="preserve"> </w:t>
      </w:r>
      <w:r>
        <w:t>the</w:t>
      </w:r>
      <w:r w:rsidR="00D23ECC">
        <w:t xml:space="preserve"> </w:t>
      </w:r>
      <w:r>
        <w:t>next</w:t>
      </w:r>
      <w:r w:rsidR="00D23ECC">
        <w:t xml:space="preserve"> </w:t>
      </w:r>
      <w:r>
        <w:t>two-and-a-half</w:t>
      </w:r>
      <w:r w:rsidR="00D23ECC">
        <w:t xml:space="preserve"> </w:t>
      </w:r>
      <w:r>
        <w:t>years.</w:t>
      </w:r>
      <w:r w:rsidR="00D23ECC">
        <w:t xml:space="preserve"> </w:t>
      </w:r>
      <w:r>
        <w:t>A</w:t>
      </w:r>
      <w:r w:rsidR="00D23ECC">
        <w:t xml:space="preserve"> </w:t>
      </w:r>
      <w:r>
        <w:t>single,</w:t>
      </w:r>
      <w:r w:rsidR="00D23ECC">
        <w:t xml:space="preserve"> </w:t>
      </w:r>
      <w:r>
        <w:t>modern,</w:t>
      </w:r>
      <w:r w:rsidR="00D23ECC">
        <w:t xml:space="preserve"> </w:t>
      </w:r>
      <w:r>
        <w:t>tailored</w:t>
      </w:r>
      <w:r w:rsidR="00D23ECC">
        <w:t xml:space="preserve"> </w:t>
      </w:r>
      <w:r>
        <w:t>online</w:t>
      </w:r>
      <w:r w:rsidR="00D23ECC">
        <w:t xml:space="preserve"> </w:t>
      </w:r>
      <w:r>
        <w:t>registration</w:t>
      </w:r>
      <w:r w:rsidR="00D23ECC">
        <w:t xml:space="preserve"> </w:t>
      </w:r>
      <w:r>
        <w:t>system</w:t>
      </w:r>
      <w:r w:rsidR="00D23ECC">
        <w:t xml:space="preserve"> </w:t>
      </w:r>
      <w:r>
        <w:t>has</w:t>
      </w:r>
      <w:r w:rsidR="00D23ECC">
        <w:t xml:space="preserve"> </w:t>
      </w:r>
      <w:r>
        <w:t>been</w:t>
      </w:r>
      <w:r w:rsidR="00D23ECC">
        <w:t xml:space="preserve"> </w:t>
      </w:r>
      <w:r>
        <w:t>developed</w:t>
      </w:r>
      <w:r w:rsidR="00D23ECC">
        <w:t xml:space="preserve"> </w:t>
      </w:r>
      <w:r>
        <w:t>for</w:t>
      </w:r>
      <w:r w:rsidR="00D23ECC">
        <w:t xml:space="preserve"> </w:t>
      </w:r>
      <w:r>
        <w:t>an</w:t>
      </w:r>
      <w:r w:rsidR="00D23ECC">
        <w:t xml:space="preserve"> </w:t>
      </w:r>
      <w:r>
        <w:t>estimated</w:t>
      </w:r>
      <w:r w:rsidR="00D23ECC">
        <w:t xml:space="preserve"> </w:t>
      </w:r>
      <w:r>
        <w:t>28,000</w:t>
      </w:r>
      <w:r w:rsidR="00D23ECC">
        <w:t xml:space="preserve"> </w:t>
      </w:r>
      <w:r>
        <w:t>professional</w:t>
      </w:r>
      <w:r w:rsidR="00D23ECC">
        <w:t xml:space="preserve"> </w:t>
      </w:r>
      <w:r>
        <w:t>engineers</w:t>
      </w:r>
      <w:r w:rsidR="00D23ECC">
        <w:t xml:space="preserve"> </w:t>
      </w:r>
      <w:r>
        <w:t>to</w:t>
      </w:r>
      <w:r w:rsidR="00D23ECC">
        <w:t xml:space="preserve"> </w:t>
      </w:r>
      <w:r>
        <w:t>apply</w:t>
      </w:r>
      <w:r w:rsidR="00D23ECC">
        <w:t xml:space="preserve"> </w:t>
      </w:r>
      <w:r>
        <w:t>for</w:t>
      </w:r>
      <w:r w:rsidR="00D23ECC">
        <w:t xml:space="preserve"> </w:t>
      </w:r>
      <w:r>
        <w:t>registration</w:t>
      </w:r>
      <w:r w:rsidR="00D23ECC">
        <w:t xml:space="preserve"> </w:t>
      </w:r>
      <w:r>
        <w:t>and</w:t>
      </w:r>
      <w:r w:rsidR="00D23ECC">
        <w:t xml:space="preserve"> </w:t>
      </w:r>
      <w:r>
        <w:t>manage</w:t>
      </w:r>
      <w:r w:rsidR="00D23ECC">
        <w:t xml:space="preserve"> </w:t>
      </w:r>
      <w:r>
        <w:t>their</w:t>
      </w:r>
      <w:r w:rsidR="00D23ECC">
        <w:t xml:space="preserve"> </w:t>
      </w:r>
      <w:r>
        <w:t>new</w:t>
      </w:r>
      <w:r w:rsidR="00D23ECC">
        <w:t xml:space="preserve"> </w:t>
      </w:r>
      <w:r>
        <w:t>regulatory</w:t>
      </w:r>
      <w:r w:rsidR="00D23ECC">
        <w:t xml:space="preserve"> </w:t>
      </w:r>
      <w:r>
        <w:t>obligations.</w:t>
      </w:r>
    </w:p>
    <w:p w14:paraId="783BCBD8" w14:textId="5C5DFBE6" w:rsidR="00DE3B0D" w:rsidRDefault="00DE3B0D" w:rsidP="00D23ECC">
      <w:pPr>
        <w:pStyle w:val="BodyText"/>
      </w:pPr>
      <w:r>
        <w:t>Under</w:t>
      </w:r>
      <w:r w:rsidR="00D23ECC">
        <w:t xml:space="preserve"> </w:t>
      </w:r>
      <w:r>
        <w:t>a</w:t>
      </w:r>
      <w:r w:rsidR="00D23ECC">
        <w:t xml:space="preserve"> </w:t>
      </w:r>
      <w:r>
        <w:t>co-regulatory</w:t>
      </w:r>
      <w:r w:rsidR="00D23ECC">
        <w:t xml:space="preserve"> </w:t>
      </w:r>
      <w:r>
        <w:t>model,</w:t>
      </w:r>
      <w:r w:rsidR="00D23ECC">
        <w:t xml:space="preserve"> </w:t>
      </w:r>
      <w:r>
        <w:t>and</w:t>
      </w:r>
      <w:r w:rsidR="00D23ECC">
        <w:t xml:space="preserve"> </w:t>
      </w:r>
      <w:r>
        <w:t>in</w:t>
      </w:r>
      <w:r w:rsidR="00D23ECC">
        <w:t xml:space="preserve"> </w:t>
      </w:r>
      <w:r>
        <w:t>a</w:t>
      </w:r>
      <w:r w:rsidR="00D23ECC">
        <w:t xml:space="preserve"> </w:t>
      </w:r>
      <w:r>
        <w:t>first</w:t>
      </w:r>
      <w:r w:rsidR="00D23ECC">
        <w:t xml:space="preserve"> </w:t>
      </w:r>
      <w:r>
        <w:t>for</w:t>
      </w:r>
      <w:r w:rsidR="00D23ECC">
        <w:t xml:space="preserve"> </w:t>
      </w:r>
      <w:r>
        <w:t>Victoria,</w:t>
      </w:r>
      <w:r w:rsidR="00D23ECC">
        <w:t xml:space="preserve"> </w:t>
      </w:r>
      <w:r>
        <w:t>registration</w:t>
      </w:r>
      <w:r w:rsidR="00D23ECC">
        <w:t xml:space="preserve"> </w:t>
      </w:r>
      <w:r>
        <w:t>will</w:t>
      </w:r>
      <w:r w:rsidR="00D23ECC">
        <w:t xml:space="preserve"> </w:t>
      </w:r>
      <w:r>
        <w:t>be</w:t>
      </w:r>
      <w:r w:rsidR="00D23ECC">
        <w:t xml:space="preserve"> </w:t>
      </w:r>
      <w:r>
        <w:t>jointly</w:t>
      </w:r>
      <w:r w:rsidR="00D23ECC">
        <w:t xml:space="preserve"> </w:t>
      </w:r>
      <w:r>
        <w:t>administered</w:t>
      </w:r>
      <w:r w:rsidR="00D23ECC">
        <w:t xml:space="preserve"> </w:t>
      </w:r>
      <w:r>
        <w:t>by</w:t>
      </w:r>
      <w:r w:rsidR="00D23ECC">
        <w:t xml:space="preserve"> </w:t>
      </w:r>
      <w:r>
        <w:t>the</w:t>
      </w:r>
      <w:r w:rsidR="00D23ECC">
        <w:t xml:space="preserve"> </w:t>
      </w:r>
      <w:r>
        <w:t>engineering</w:t>
      </w:r>
      <w:r w:rsidR="00D23ECC">
        <w:t xml:space="preserve"> </w:t>
      </w:r>
      <w:r>
        <w:t>profession</w:t>
      </w:r>
      <w:r w:rsidR="00D23ECC">
        <w:t xml:space="preserve"> </w:t>
      </w:r>
      <w:r>
        <w:t>and</w:t>
      </w:r>
      <w:r w:rsidR="00D23ECC">
        <w:t xml:space="preserve"> </w:t>
      </w:r>
      <w:r>
        <w:t>government.</w:t>
      </w:r>
      <w:r w:rsidR="00D23ECC">
        <w:t xml:space="preserve"> </w:t>
      </w:r>
      <w:r>
        <w:t>Engineering</w:t>
      </w:r>
      <w:r w:rsidR="00D23ECC">
        <w:t xml:space="preserve"> </w:t>
      </w:r>
      <w:r>
        <w:t>associations</w:t>
      </w:r>
      <w:r w:rsidR="00D23ECC">
        <w:t xml:space="preserve"> </w:t>
      </w:r>
      <w:r>
        <w:t>administer</w:t>
      </w:r>
      <w:r w:rsidR="00D23ECC">
        <w:t xml:space="preserve"> </w:t>
      </w:r>
      <w:r>
        <w:t>approved</w:t>
      </w:r>
      <w:r w:rsidR="00D23ECC">
        <w:t xml:space="preserve"> </w:t>
      </w:r>
      <w:r>
        <w:t>assessment</w:t>
      </w:r>
      <w:r w:rsidR="00D23ECC">
        <w:t xml:space="preserve"> </w:t>
      </w:r>
      <w:r>
        <w:t>schemes</w:t>
      </w:r>
      <w:r w:rsidR="00D23ECC">
        <w:t xml:space="preserve"> </w:t>
      </w:r>
      <w:r>
        <w:t>to</w:t>
      </w:r>
      <w:r w:rsidR="00D23ECC">
        <w:t xml:space="preserve"> </w:t>
      </w:r>
      <w:r>
        <w:t>verify</w:t>
      </w:r>
      <w:r w:rsidR="00D23ECC">
        <w:t xml:space="preserve"> </w:t>
      </w:r>
      <w:r>
        <w:t>the</w:t>
      </w:r>
      <w:r w:rsidR="00D23ECC">
        <w:t xml:space="preserve"> </w:t>
      </w:r>
      <w:r>
        <w:t>qualifications</w:t>
      </w:r>
      <w:r w:rsidR="00D23ECC">
        <w:t xml:space="preserve"> </w:t>
      </w:r>
      <w:r>
        <w:t>and</w:t>
      </w:r>
      <w:r w:rsidR="00D23ECC">
        <w:t xml:space="preserve"> </w:t>
      </w:r>
      <w:r>
        <w:t>experience</w:t>
      </w:r>
      <w:r w:rsidR="00D23ECC">
        <w:t xml:space="preserve"> </w:t>
      </w:r>
      <w:r>
        <w:t>of</w:t>
      </w:r>
      <w:r w:rsidR="00D23ECC">
        <w:t xml:space="preserve"> </w:t>
      </w:r>
      <w:r>
        <w:t>professional</w:t>
      </w:r>
      <w:r w:rsidR="00D23ECC">
        <w:t xml:space="preserve"> </w:t>
      </w:r>
      <w:r>
        <w:t>engineers.</w:t>
      </w:r>
      <w:r w:rsidR="00D23ECC">
        <w:t xml:space="preserve"> </w:t>
      </w:r>
      <w:r>
        <w:t>The</w:t>
      </w:r>
      <w:r w:rsidR="00D23ECC">
        <w:t xml:space="preserve"> </w:t>
      </w:r>
      <w:r>
        <w:t>BLA,</w:t>
      </w:r>
      <w:r w:rsidR="00D23ECC">
        <w:t xml:space="preserve"> </w:t>
      </w:r>
      <w:r>
        <w:t>with</w:t>
      </w:r>
      <w:r w:rsidR="00D23ECC">
        <w:t xml:space="preserve"> </w:t>
      </w:r>
      <w:r>
        <w:t>support</w:t>
      </w:r>
      <w:r w:rsidR="00D23ECC">
        <w:t xml:space="preserve"> </w:t>
      </w:r>
      <w:r>
        <w:t>from</w:t>
      </w:r>
      <w:r w:rsidR="00D23ECC">
        <w:t xml:space="preserve"> </w:t>
      </w:r>
      <w:r>
        <w:t>CAV</w:t>
      </w:r>
      <w:r w:rsidR="00D23ECC">
        <w:t xml:space="preserve"> </w:t>
      </w:r>
      <w:r>
        <w:t>and</w:t>
      </w:r>
      <w:r w:rsidR="00D23ECC">
        <w:t xml:space="preserve"> </w:t>
      </w:r>
      <w:r>
        <w:t>advice</w:t>
      </w:r>
      <w:r w:rsidR="00D23ECC">
        <w:t xml:space="preserve"> </w:t>
      </w:r>
      <w:r>
        <w:t>from</w:t>
      </w:r>
      <w:r w:rsidR="00D23ECC">
        <w:t xml:space="preserve"> </w:t>
      </w:r>
      <w:r>
        <w:t>the</w:t>
      </w:r>
      <w:r w:rsidR="00D23ECC">
        <w:t xml:space="preserve"> </w:t>
      </w:r>
      <w:r>
        <w:t>Victorian</w:t>
      </w:r>
      <w:r w:rsidR="00D23ECC">
        <w:t xml:space="preserve"> </w:t>
      </w:r>
      <w:r>
        <w:t>Building</w:t>
      </w:r>
      <w:r w:rsidR="00D23ECC">
        <w:t xml:space="preserve"> </w:t>
      </w:r>
      <w:r>
        <w:t>Authority,</w:t>
      </w:r>
      <w:r w:rsidR="00D23ECC">
        <w:t xml:space="preserve"> </w:t>
      </w:r>
      <w:r>
        <w:t>will</w:t>
      </w:r>
      <w:r w:rsidR="00D23ECC">
        <w:t xml:space="preserve"> </w:t>
      </w:r>
      <w:r>
        <w:t>register</w:t>
      </w:r>
      <w:r w:rsidR="00D23ECC">
        <w:t xml:space="preserve"> </w:t>
      </w:r>
      <w:r>
        <w:t>professional</w:t>
      </w:r>
      <w:r w:rsidR="00D23ECC">
        <w:t xml:space="preserve"> </w:t>
      </w:r>
      <w:r>
        <w:t>engineers</w:t>
      </w:r>
      <w:r w:rsidR="00D23ECC">
        <w:t xml:space="preserve"> </w:t>
      </w:r>
      <w:r>
        <w:t>and</w:t>
      </w:r>
      <w:r w:rsidR="00D23ECC">
        <w:t xml:space="preserve"> </w:t>
      </w:r>
      <w:r>
        <w:t>endorse</w:t>
      </w:r>
      <w:r w:rsidR="00D23ECC">
        <w:t xml:space="preserve"> </w:t>
      </w:r>
      <w:r>
        <w:t>them</w:t>
      </w:r>
      <w:r w:rsidR="00D23ECC">
        <w:t xml:space="preserve"> </w:t>
      </w:r>
      <w:r>
        <w:t>to</w:t>
      </w:r>
      <w:r w:rsidR="00D23ECC">
        <w:t xml:space="preserve"> </w:t>
      </w:r>
      <w:r>
        <w:t>work</w:t>
      </w:r>
      <w:r w:rsidR="00D23ECC">
        <w:t xml:space="preserve"> </w:t>
      </w:r>
      <w:r>
        <w:t>in</w:t>
      </w:r>
      <w:r w:rsidR="00D23ECC">
        <w:t xml:space="preserve"> </w:t>
      </w:r>
      <w:r>
        <w:t>the</w:t>
      </w:r>
      <w:r w:rsidR="00D23ECC">
        <w:t xml:space="preserve"> </w:t>
      </w:r>
      <w:r>
        <w:t>building</w:t>
      </w:r>
      <w:r w:rsidR="00D23ECC">
        <w:t xml:space="preserve"> </w:t>
      </w:r>
      <w:r>
        <w:t>industry.</w:t>
      </w:r>
    </w:p>
    <w:p w14:paraId="290822D8" w14:textId="1B80BF35" w:rsidR="00DE3B0D" w:rsidRDefault="00DE3B0D" w:rsidP="00D23ECC">
      <w:pPr>
        <w:pStyle w:val="BodyText"/>
      </w:pPr>
      <w:r>
        <w:t>The</w:t>
      </w:r>
      <w:r w:rsidR="00D23ECC">
        <w:t xml:space="preserve"> </w:t>
      </w:r>
      <w:r>
        <w:t>commencement</w:t>
      </w:r>
      <w:r w:rsidR="00D23ECC">
        <w:t xml:space="preserve"> </w:t>
      </w:r>
      <w:r>
        <w:t>of</w:t>
      </w:r>
      <w:r w:rsidR="00D23ECC">
        <w:t xml:space="preserve"> </w:t>
      </w:r>
      <w:r>
        <w:t>the</w:t>
      </w:r>
      <w:r w:rsidR="00D23ECC">
        <w:t xml:space="preserve"> </w:t>
      </w:r>
      <w:r>
        <w:t>new</w:t>
      </w:r>
      <w:r w:rsidR="00D23ECC">
        <w:t xml:space="preserve"> </w:t>
      </w:r>
      <w:r>
        <w:t>Act</w:t>
      </w:r>
      <w:r w:rsidR="00D23ECC">
        <w:t xml:space="preserve"> </w:t>
      </w:r>
      <w:r>
        <w:t>removed</w:t>
      </w:r>
      <w:r w:rsidR="00D23ECC">
        <w:t xml:space="preserve"> </w:t>
      </w:r>
      <w:r>
        <w:t>the</w:t>
      </w:r>
      <w:r w:rsidR="00D23ECC">
        <w:t xml:space="preserve"> </w:t>
      </w:r>
      <w:r>
        <w:t>requirement</w:t>
      </w:r>
      <w:r w:rsidR="00D23ECC">
        <w:t xml:space="preserve"> </w:t>
      </w:r>
      <w:r>
        <w:t>for</w:t>
      </w:r>
      <w:r w:rsidR="00D23ECC">
        <w:t xml:space="preserve"> </w:t>
      </w:r>
      <w:r>
        <w:t>engineers</w:t>
      </w:r>
      <w:r w:rsidR="00D23ECC">
        <w:t xml:space="preserve"> </w:t>
      </w:r>
      <w:r>
        <w:t>working</w:t>
      </w:r>
      <w:r w:rsidR="00D23ECC">
        <w:t xml:space="preserve"> </w:t>
      </w:r>
      <w:r>
        <w:t>in</w:t>
      </w:r>
      <w:r w:rsidR="00D23ECC">
        <w:t xml:space="preserve"> </w:t>
      </w:r>
      <w:r>
        <w:t>the</w:t>
      </w:r>
      <w:r w:rsidR="00D23ECC">
        <w:t xml:space="preserve"> </w:t>
      </w:r>
      <w:r>
        <w:t>building</w:t>
      </w:r>
      <w:r w:rsidR="00D23ECC">
        <w:t xml:space="preserve"> </w:t>
      </w:r>
      <w:r>
        <w:t>industry</w:t>
      </w:r>
      <w:r w:rsidR="00D23ECC">
        <w:t xml:space="preserve"> </w:t>
      </w:r>
      <w:r>
        <w:t>to</w:t>
      </w:r>
      <w:r w:rsidR="00D23ECC">
        <w:t xml:space="preserve"> </w:t>
      </w:r>
      <w:r>
        <w:t>be</w:t>
      </w:r>
      <w:r w:rsidR="00D23ECC">
        <w:t xml:space="preserve"> </w:t>
      </w:r>
      <w:r>
        <w:t>registered</w:t>
      </w:r>
      <w:r w:rsidR="00D23ECC">
        <w:t xml:space="preserve"> </w:t>
      </w:r>
      <w:r>
        <w:t>under</w:t>
      </w:r>
      <w:r w:rsidR="00D23ECC">
        <w:t xml:space="preserve"> </w:t>
      </w:r>
      <w:r>
        <w:t>the</w:t>
      </w:r>
      <w:r w:rsidR="00D23ECC">
        <w:t xml:space="preserve"> </w:t>
      </w:r>
      <w:r w:rsidRPr="00ED78BD">
        <w:rPr>
          <w:rStyle w:val="Emphasis"/>
        </w:rPr>
        <w:t>Building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1993</w:t>
      </w:r>
      <w:r>
        <w:t>.</w:t>
      </w:r>
      <w:r w:rsidR="00D23ECC">
        <w:t xml:space="preserve"> </w:t>
      </w:r>
      <w:r>
        <w:t>Nearly</w:t>
      </w:r>
      <w:r w:rsidR="00D23ECC">
        <w:t xml:space="preserve"> </w:t>
      </w:r>
      <w:r>
        <w:t>4,000</w:t>
      </w:r>
      <w:r w:rsidR="00D23ECC">
        <w:t xml:space="preserve"> </w:t>
      </w:r>
      <w:r>
        <w:t>engineers</w:t>
      </w:r>
      <w:r w:rsidR="00D23ECC">
        <w:t xml:space="preserve"> </w:t>
      </w:r>
      <w:r>
        <w:t>registered</w:t>
      </w:r>
      <w:r w:rsidR="00D23ECC">
        <w:t xml:space="preserve"> </w:t>
      </w:r>
      <w:r>
        <w:t>under</w:t>
      </w:r>
      <w:r w:rsidR="00D23ECC">
        <w:t xml:space="preserve"> </w:t>
      </w:r>
      <w:r>
        <w:t>the</w:t>
      </w:r>
      <w:r w:rsidR="00D23ECC">
        <w:t xml:space="preserve"> </w:t>
      </w:r>
      <w:r w:rsidRPr="00ED78BD">
        <w:rPr>
          <w:rStyle w:val="Emphasis"/>
        </w:rPr>
        <w:t>Building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1993</w:t>
      </w:r>
      <w:r w:rsidR="00D23ECC">
        <w:t xml:space="preserve"> </w:t>
      </w:r>
      <w:r>
        <w:t>on</w:t>
      </w:r>
      <w:r w:rsidR="00D23ECC">
        <w:t xml:space="preserve"> </w:t>
      </w:r>
      <w:r>
        <w:t>30</w:t>
      </w:r>
      <w:r w:rsidR="00D23ECC">
        <w:t xml:space="preserve"> </w:t>
      </w:r>
      <w:r>
        <w:t>June</w:t>
      </w:r>
      <w:r w:rsidR="00D23ECC">
        <w:t xml:space="preserve"> </w:t>
      </w:r>
      <w:r>
        <w:t>2021</w:t>
      </w:r>
      <w:r w:rsidR="00D23ECC">
        <w:t xml:space="preserve"> </w:t>
      </w:r>
      <w:r>
        <w:t>were</w:t>
      </w:r>
      <w:r w:rsidR="00D23ECC">
        <w:t xml:space="preserve"> </w:t>
      </w:r>
      <w:r>
        <w:t>automatically</w:t>
      </w:r>
      <w:r w:rsidR="00D23ECC">
        <w:t xml:space="preserve"> </w:t>
      </w:r>
      <w:r>
        <w:t>transferred</w:t>
      </w:r>
      <w:r w:rsidR="00D23ECC">
        <w:t xml:space="preserve"> </w:t>
      </w:r>
      <w:r>
        <w:t>across</w:t>
      </w:r>
      <w:r w:rsidR="00D23ECC">
        <w:t xml:space="preserve"> </w:t>
      </w:r>
      <w:r>
        <w:t>to</w:t>
      </w:r>
      <w:r w:rsidR="00D23ECC">
        <w:t xml:space="preserve"> </w:t>
      </w:r>
      <w:r>
        <w:t>the</w:t>
      </w:r>
      <w:r w:rsidR="00D23ECC">
        <w:t xml:space="preserve"> </w:t>
      </w:r>
      <w:r>
        <w:t>new</w:t>
      </w:r>
      <w:r w:rsidR="00D23ECC">
        <w:t xml:space="preserve"> </w:t>
      </w:r>
      <w:r>
        <w:t>Act,</w:t>
      </w:r>
      <w:r w:rsidR="00D23ECC">
        <w:t xml:space="preserve"> </w:t>
      </w:r>
      <w:r>
        <w:t>thereby</w:t>
      </w:r>
      <w:r w:rsidR="00D23ECC">
        <w:t xml:space="preserve"> </w:t>
      </w:r>
      <w:r>
        <w:t>becoming</w:t>
      </w:r>
      <w:r w:rsidR="00D23ECC">
        <w:t xml:space="preserve"> </w:t>
      </w:r>
      <w:r>
        <w:t>the</w:t>
      </w:r>
      <w:r w:rsidR="00D23ECC">
        <w:t xml:space="preserve"> </w:t>
      </w:r>
      <w:r>
        <w:t>first</w:t>
      </w:r>
      <w:r w:rsidR="00D23ECC">
        <w:t xml:space="preserve"> </w:t>
      </w:r>
      <w:r>
        <w:t>group</w:t>
      </w:r>
      <w:r w:rsidR="00D23ECC">
        <w:t xml:space="preserve"> </w:t>
      </w:r>
      <w:r>
        <w:t>of</w:t>
      </w:r>
      <w:r w:rsidR="00D23ECC">
        <w:t xml:space="preserve"> </w:t>
      </w:r>
      <w:r>
        <w:t>registered</w:t>
      </w:r>
      <w:r w:rsidR="00D23ECC">
        <w:t xml:space="preserve"> </w:t>
      </w:r>
      <w:r>
        <w:t>professional</w:t>
      </w:r>
      <w:r w:rsidR="00D23ECC">
        <w:t xml:space="preserve"> </w:t>
      </w:r>
      <w:r>
        <w:t>engineers</w:t>
      </w:r>
      <w:r w:rsidR="00D23ECC">
        <w:t xml:space="preserve"> </w:t>
      </w:r>
      <w:r>
        <w:t>in</w:t>
      </w:r>
      <w:r w:rsidR="00D23ECC">
        <w:t xml:space="preserve"> </w:t>
      </w:r>
      <w:r>
        <w:t>Victoria.</w:t>
      </w:r>
    </w:p>
    <w:p w14:paraId="382D8F50" w14:textId="6B04A9A7" w:rsidR="00DE3B0D" w:rsidRDefault="00DE3B0D" w:rsidP="00D23ECC">
      <w:pPr>
        <w:pStyle w:val="BodyText"/>
      </w:pPr>
      <w:r>
        <w:t>Extensive</w:t>
      </w:r>
      <w:r w:rsidR="00D23ECC">
        <w:t xml:space="preserve"> </w:t>
      </w:r>
      <w:r>
        <w:t>stakeholder</w:t>
      </w:r>
      <w:r w:rsidR="00D23ECC">
        <w:t xml:space="preserve"> </w:t>
      </w:r>
      <w:r>
        <w:t>engagement</w:t>
      </w:r>
      <w:r w:rsidR="00D23ECC">
        <w:t xml:space="preserve"> </w:t>
      </w:r>
      <w:r>
        <w:t>was</w:t>
      </w:r>
      <w:r w:rsidR="00D23ECC">
        <w:t xml:space="preserve"> </w:t>
      </w:r>
      <w:r>
        <w:t>undertaken</w:t>
      </w:r>
      <w:r w:rsidR="00D23ECC">
        <w:t xml:space="preserve"> </w:t>
      </w:r>
      <w:r>
        <w:t>to</w:t>
      </w:r>
      <w:r w:rsidR="00D23ECC">
        <w:t xml:space="preserve"> </w:t>
      </w:r>
      <w:r>
        <w:t>support</w:t>
      </w:r>
      <w:r w:rsidR="00D23ECC">
        <w:t xml:space="preserve"> </w:t>
      </w:r>
      <w:r>
        <w:t>implementation.</w:t>
      </w:r>
      <w:r w:rsidR="00D23ECC">
        <w:t xml:space="preserve"> </w:t>
      </w:r>
      <w:r>
        <w:t>This</w:t>
      </w:r>
      <w:r w:rsidR="00D23ECC">
        <w:t xml:space="preserve"> </w:t>
      </w:r>
      <w:r>
        <w:t>included</w:t>
      </w:r>
      <w:r w:rsidR="00D23ECC">
        <w:t xml:space="preserve"> </w:t>
      </w:r>
      <w:r>
        <w:t>two</w:t>
      </w:r>
      <w:r w:rsidR="00D23ECC">
        <w:t xml:space="preserve"> </w:t>
      </w:r>
      <w:r>
        <w:t>public</w:t>
      </w:r>
      <w:r w:rsidR="00D23ECC">
        <w:t xml:space="preserve"> </w:t>
      </w:r>
      <w:r>
        <w:t>consultations</w:t>
      </w:r>
      <w:r w:rsidR="00D23ECC">
        <w:t xml:space="preserve"> </w:t>
      </w:r>
      <w:r>
        <w:t>and</w:t>
      </w:r>
      <w:r w:rsidR="00D23ECC">
        <w:t xml:space="preserve"> </w:t>
      </w:r>
      <w:r>
        <w:t>ongoing</w:t>
      </w:r>
      <w:r w:rsidR="00D23ECC">
        <w:t xml:space="preserve"> </w:t>
      </w:r>
      <w:r>
        <w:t>engagement</w:t>
      </w:r>
      <w:r w:rsidR="00D23ECC">
        <w:t xml:space="preserve"> </w:t>
      </w:r>
      <w:r>
        <w:t>with</w:t>
      </w:r>
      <w:r w:rsidR="00D23ECC">
        <w:t xml:space="preserve"> </w:t>
      </w:r>
      <w:r>
        <w:t>the</w:t>
      </w:r>
      <w:r w:rsidR="00D23ECC">
        <w:t xml:space="preserve"> </w:t>
      </w:r>
      <w:r>
        <w:t>profession,</w:t>
      </w:r>
      <w:r w:rsidR="00D23ECC">
        <w:t xml:space="preserve"> </w:t>
      </w:r>
      <w:r>
        <w:t>relevant</w:t>
      </w:r>
      <w:r w:rsidR="00D23ECC">
        <w:t xml:space="preserve"> </w:t>
      </w:r>
      <w:r>
        <w:t>government</w:t>
      </w:r>
      <w:r w:rsidR="00D23ECC">
        <w:t xml:space="preserve"> </w:t>
      </w:r>
      <w:r>
        <w:t>agencies</w:t>
      </w:r>
      <w:r w:rsidR="00D23ECC">
        <w:t xml:space="preserve"> </w:t>
      </w:r>
      <w:r>
        <w:t>and</w:t>
      </w:r>
      <w:r w:rsidR="00D23ECC">
        <w:t xml:space="preserve"> </w:t>
      </w:r>
      <w:r>
        <w:t>the</w:t>
      </w:r>
      <w:r w:rsidR="00D23ECC">
        <w:t xml:space="preserve"> </w:t>
      </w:r>
      <w:r>
        <w:t>broader</w:t>
      </w:r>
      <w:r w:rsidR="00D23ECC">
        <w:t xml:space="preserve"> </w:t>
      </w:r>
      <w:r>
        <w:t>Victorian</w:t>
      </w:r>
      <w:r w:rsidR="00D23ECC">
        <w:t xml:space="preserve"> </w:t>
      </w:r>
      <w:r>
        <w:t>community.</w:t>
      </w:r>
      <w:r w:rsidR="00D23ECC">
        <w:t xml:space="preserve"> </w:t>
      </w:r>
      <w:r>
        <w:t>This</w:t>
      </w:r>
      <w:r w:rsidR="00D23ECC">
        <w:t xml:space="preserve"> </w:t>
      </w:r>
      <w:r>
        <w:t>provided</w:t>
      </w:r>
      <w:r w:rsidR="00D23ECC">
        <w:t xml:space="preserve"> </w:t>
      </w:r>
      <w:r>
        <w:t>us</w:t>
      </w:r>
      <w:r w:rsidR="00D23ECC">
        <w:t xml:space="preserve"> </w:t>
      </w:r>
      <w:r>
        <w:t>with</w:t>
      </w:r>
      <w:r w:rsidR="00D23ECC">
        <w:t xml:space="preserve"> </w:t>
      </w:r>
      <w:r>
        <w:t>valuable</w:t>
      </w:r>
      <w:r w:rsidR="00D23ECC">
        <w:t xml:space="preserve"> </w:t>
      </w:r>
      <w:r>
        <w:t>feedback</w:t>
      </w:r>
      <w:r w:rsidR="00D23ECC">
        <w:t xml:space="preserve"> </w:t>
      </w:r>
      <w:r>
        <w:t>to</w:t>
      </w:r>
      <w:r w:rsidR="00D23ECC">
        <w:t xml:space="preserve"> </w:t>
      </w:r>
      <w:r>
        <w:t>finalise</w:t>
      </w:r>
      <w:r w:rsidR="00D23ECC">
        <w:t xml:space="preserve"> </w:t>
      </w:r>
      <w:r>
        <w:t>guidance</w:t>
      </w:r>
      <w:r w:rsidR="00D23ECC">
        <w:t xml:space="preserve"> </w:t>
      </w:r>
      <w:r>
        <w:t>material,</w:t>
      </w:r>
      <w:r w:rsidR="00D23ECC">
        <w:t xml:space="preserve"> </w:t>
      </w:r>
      <w:r>
        <w:t>regulations</w:t>
      </w:r>
      <w:r w:rsidR="00D23ECC">
        <w:t xml:space="preserve"> </w:t>
      </w:r>
      <w:r>
        <w:t>and</w:t>
      </w:r>
      <w:r w:rsidR="00D23ECC">
        <w:t xml:space="preserve"> </w:t>
      </w:r>
      <w:r>
        <w:t>a</w:t>
      </w:r>
      <w:r w:rsidR="00D23ECC">
        <w:t xml:space="preserve"> </w:t>
      </w:r>
      <w:r>
        <w:t>Code</w:t>
      </w:r>
      <w:r w:rsidR="00D23ECC">
        <w:t xml:space="preserve"> </w:t>
      </w:r>
      <w:r>
        <w:t>of</w:t>
      </w:r>
      <w:r w:rsidR="00D23ECC">
        <w:t xml:space="preserve"> </w:t>
      </w:r>
      <w:r>
        <w:t>Conduct</w:t>
      </w:r>
      <w:r w:rsidR="00D23ECC">
        <w:t xml:space="preserve"> </w:t>
      </w:r>
      <w:r>
        <w:t>for</w:t>
      </w:r>
      <w:r w:rsidR="00D23ECC">
        <w:t xml:space="preserve"> </w:t>
      </w:r>
      <w:r>
        <w:t>professional</w:t>
      </w:r>
      <w:r w:rsidR="00D23ECC">
        <w:t xml:space="preserve"> </w:t>
      </w:r>
      <w:r>
        <w:t>engineers.</w:t>
      </w:r>
    </w:p>
    <w:p w14:paraId="46DFB78B" w14:textId="1B9C5506" w:rsidR="00DE3B0D" w:rsidRDefault="00DE3B0D" w:rsidP="00D23ECC">
      <w:pPr>
        <w:pStyle w:val="BodyText"/>
      </w:pPr>
      <w:r>
        <w:t>A</w:t>
      </w:r>
      <w:r w:rsidR="00D23ECC">
        <w:t xml:space="preserve"> </w:t>
      </w:r>
      <w:r>
        <w:t>targeted</w:t>
      </w:r>
      <w:r w:rsidR="00D23ECC">
        <w:t xml:space="preserve"> </w:t>
      </w:r>
      <w:r>
        <w:t>communication</w:t>
      </w:r>
      <w:r w:rsidR="00D23ECC">
        <w:t xml:space="preserve"> </w:t>
      </w:r>
      <w:r>
        <w:t>strategy</w:t>
      </w:r>
      <w:r w:rsidR="00D23ECC">
        <w:t xml:space="preserve"> </w:t>
      </w:r>
      <w:r>
        <w:t>informing</w:t>
      </w:r>
      <w:r w:rsidR="00D23ECC">
        <w:t xml:space="preserve"> </w:t>
      </w:r>
      <w:r>
        <w:t>professional</w:t>
      </w:r>
      <w:r w:rsidR="00D23ECC">
        <w:t xml:space="preserve"> </w:t>
      </w:r>
      <w:r>
        <w:t>engineers</w:t>
      </w:r>
      <w:r w:rsidR="00D23ECC">
        <w:t xml:space="preserve"> </w:t>
      </w:r>
      <w:r>
        <w:t>about</w:t>
      </w:r>
      <w:r w:rsidR="00D23ECC">
        <w:t xml:space="preserve"> </w:t>
      </w:r>
      <w:r>
        <w:t>the</w:t>
      </w:r>
      <w:r w:rsidR="00D23ECC">
        <w:t xml:space="preserve"> </w:t>
      </w:r>
      <w:r>
        <w:t>new</w:t>
      </w:r>
      <w:r w:rsidR="00D23ECC">
        <w:t xml:space="preserve"> </w:t>
      </w:r>
      <w:r>
        <w:t>laws</w:t>
      </w:r>
      <w:r w:rsidR="00D23ECC">
        <w:t xml:space="preserve"> </w:t>
      </w:r>
      <w:r>
        <w:t>includes</w:t>
      </w:r>
      <w:r w:rsidR="00D23ECC">
        <w:t xml:space="preserve"> </w:t>
      </w:r>
      <w:r>
        <w:t>website</w:t>
      </w:r>
      <w:r w:rsidR="00D23ECC">
        <w:t xml:space="preserve"> </w:t>
      </w:r>
      <w:r>
        <w:t>content,</w:t>
      </w:r>
      <w:r w:rsidR="00D23ECC">
        <w:t xml:space="preserve"> </w:t>
      </w:r>
      <w:r>
        <w:t>email</w:t>
      </w:r>
      <w:r w:rsidR="00D23ECC">
        <w:t xml:space="preserve"> </w:t>
      </w:r>
      <w:r>
        <w:t>newsletters</w:t>
      </w:r>
      <w:r w:rsidR="00D23ECC">
        <w:t xml:space="preserve"> </w:t>
      </w:r>
      <w:r>
        <w:t>and</w:t>
      </w:r>
      <w:r w:rsidR="00D23ECC">
        <w:t xml:space="preserve"> </w:t>
      </w:r>
      <w:r>
        <w:t>a</w:t>
      </w:r>
      <w:r w:rsidR="00D23ECC">
        <w:t xml:space="preserve"> </w:t>
      </w:r>
      <w:r>
        <w:t>comprehensive</w:t>
      </w:r>
      <w:r w:rsidR="00D23ECC">
        <w:t xml:space="preserve"> </w:t>
      </w:r>
      <w:r>
        <w:t>social</w:t>
      </w:r>
      <w:r w:rsidR="00D23ECC">
        <w:t xml:space="preserve"> </w:t>
      </w:r>
      <w:r>
        <w:t>media</w:t>
      </w:r>
      <w:r w:rsidR="00D23ECC">
        <w:t xml:space="preserve"> </w:t>
      </w:r>
      <w:r>
        <w:t>campaign</w:t>
      </w:r>
      <w:r w:rsidR="00D23ECC">
        <w:t xml:space="preserve"> </w:t>
      </w:r>
      <w:r>
        <w:t>using</w:t>
      </w:r>
      <w:r w:rsidR="00D23ECC">
        <w:t xml:space="preserve"> </w:t>
      </w:r>
      <w:r>
        <w:t>Facebook,</w:t>
      </w:r>
      <w:r w:rsidR="00D23ECC">
        <w:t xml:space="preserve"> </w:t>
      </w:r>
      <w:r>
        <w:t>Twitter</w:t>
      </w:r>
      <w:r w:rsidR="00D23ECC">
        <w:t xml:space="preserve"> </w:t>
      </w:r>
      <w:r>
        <w:t>and</w:t>
      </w:r>
      <w:r w:rsidR="00D23ECC">
        <w:t xml:space="preserve"> </w:t>
      </w:r>
      <w:r>
        <w:t>LinkedIn</w:t>
      </w:r>
      <w:r w:rsidR="00D23ECC">
        <w:t xml:space="preserve"> </w:t>
      </w:r>
      <w:r>
        <w:t>advertising.</w:t>
      </w:r>
    </w:p>
    <w:p w14:paraId="6BEE5B2A" w14:textId="77777777" w:rsidR="002F22DF" w:rsidRPr="002F22DF" w:rsidRDefault="002F22DF" w:rsidP="002F22DF">
      <w:pPr>
        <w:pStyle w:val="BodyText"/>
      </w:pPr>
      <w:r w:rsidRPr="002F22DF">
        <w:br w:type="page"/>
      </w:r>
    </w:p>
    <w:p w14:paraId="0F913447" w14:textId="4D310089" w:rsidR="00DE3B0D" w:rsidRPr="002F22DF" w:rsidRDefault="00DE3B0D" w:rsidP="00AE374E">
      <w:pPr>
        <w:pStyle w:val="Heading4"/>
      </w:pPr>
      <w:r w:rsidRPr="002F22DF">
        <w:rPr>
          <w:color w:val="000000"/>
        </w:rPr>
        <w:lastRenderedPageBreak/>
        <w:t>Enforcement</w:t>
      </w:r>
      <w:r w:rsidR="00D23ECC" w:rsidRPr="002F22DF">
        <w:rPr>
          <w:color w:val="000000"/>
        </w:rPr>
        <w:t xml:space="preserve"> </w:t>
      </w:r>
      <w:r w:rsidRPr="002F22DF">
        <w:rPr>
          <w:color w:val="000000"/>
        </w:rPr>
        <w:t>actions</w:t>
      </w:r>
    </w:p>
    <w:p w14:paraId="508F4708" w14:textId="7A5B355B" w:rsidR="00DE3B0D" w:rsidRDefault="00DE3B0D" w:rsidP="00D23ECC">
      <w:pPr>
        <w:pStyle w:val="BodyText"/>
      </w:pPr>
      <w:r w:rsidRPr="002F22DF">
        <w:t>We</w:t>
      </w:r>
      <w:r w:rsidR="00D23ECC" w:rsidRPr="002F22DF">
        <w:t xml:space="preserve"> </w:t>
      </w:r>
      <w:r w:rsidRPr="002F22DF">
        <w:t>took</w:t>
      </w:r>
      <w:r w:rsidR="00D23ECC" w:rsidRPr="002F22DF">
        <w:t xml:space="preserve"> </w:t>
      </w:r>
      <w:r w:rsidRPr="002F22DF">
        <w:t>several</w:t>
      </w:r>
      <w:r w:rsidR="00D23ECC" w:rsidRPr="002F22DF">
        <w:t xml:space="preserve"> </w:t>
      </w:r>
      <w:r w:rsidRPr="002F22DF">
        <w:t>enforcement</w:t>
      </w:r>
      <w:r w:rsidR="00D23ECC" w:rsidRPr="002F22DF">
        <w:t xml:space="preserve"> </w:t>
      </w:r>
      <w:r w:rsidRPr="002F22DF">
        <w:t>actions</w:t>
      </w:r>
      <w:r w:rsidR="00D23ECC" w:rsidRPr="002F22DF">
        <w:t xml:space="preserve"> </w:t>
      </w:r>
      <w:r w:rsidRPr="002F22DF">
        <w:t>in</w:t>
      </w:r>
      <w:r w:rsidR="00D23ECC" w:rsidRPr="002F22DF">
        <w:t xml:space="preserve"> </w:t>
      </w:r>
      <w:r w:rsidRPr="002F22DF">
        <w:t>2020–21.</w:t>
      </w:r>
    </w:p>
    <w:p w14:paraId="23A4E370" w14:textId="3215786B" w:rsidR="00DE3B0D" w:rsidRDefault="00DE3B0D" w:rsidP="00AE374E">
      <w:pPr>
        <w:pStyle w:val="Heading5"/>
      </w:pPr>
      <w:r>
        <w:rPr>
          <w:color w:val="000000"/>
        </w:rPr>
        <w:t>Trust</w:t>
      </w:r>
      <w:r w:rsidR="00D23ECC">
        <w:rPr>
          <w:color w:val="000000"/>
        </w:rPr>
        <w:t xml:space="preserve"> </w:t>
      </w:r>
      <w:r>
        <w:rPr>
          <w:color w:val="000000"/>
        </w:rPr>
        <w:t>account</w:t>
      </w:r>
      <w:r w:rsidR="00D23ECC">
        <w:rPr>
          <w:color w:val="000000"/>
        </w:rPr>
        <w:t xml:space="preserve"> </w:t>
      </w:r>
      <w:r>
        <w:rPr>
          <w:color w:val="000000"/>
        </w:rPr>
        <w:t>audit</w:t>
      </w:r>
      <w:r w:rsidR="00D23ECC">
        <w:rPr>
          <w:color w:val="000000"/>
        </w:rPr>
        <w:t xml:space="preserve"> </w:t>
      </w:r>
      <w:r>
        <w:rPr>
          <w:color w:val="000000"/>
        </w:rPr>
        <w:t>crackdown</w:t>
      </w:r>
    </w:p>
    <w:p w14:paraId="07B5F7E3" w14:textId="66A94197" w:rsidR="00DE3B0D" w:rsidRDefault="00DE3B0D" w:rsidP="00D23ECC">
      <w:pPr>
        <w:pStyle w:val="BodyText"/>
      </w:pPr>
      <w:r>
        <w:t>Trust</w:t>
      </w:r>
      <w:r w:rsidR="00D23ECC">
        <w:t xml:space="preserve"> </w:t>
      </w:r>
      <w:r>
        <w:t>accounts</w:t>
      </w:r>
      <w:r w:rsidR="00D23ECC">
        <w:t xml:space="preserve"> </w:t>
      </w:r>
      <w:r>
        <w:t>are</w:t>
      </w:r>
      <w:r w:rsidR="00D23ECC">
        <w:t xml:space="preserve"> </w:t>
      </w:r>
      <w:r>
        <w:t>a</w:t>
      </w:r>
      <w:r w:rsidR="00D23ECC">
        <w:t xml:space="preserve"> </w:t>
      </w:r>
      <w:r>
        <w:t>critical</w:t>
      </w:r>
      <w:r w:rsidR="00D23ECC">
        <w:t xml:space="preserve"> </w:t>
      </w:r>
      <w:r>
        <w:t>part</w:t>
      </w:r>
      <w:r w:rsidR="00D23ECC">
        <w:t xml:space="preserve"> </w:t>
      </w:r>
      <w:r>
        <w:t>of</w:t>
      </w:r>
      <w:r w:rsidR="00D23ECC">
        <w:t xml:space="preserve"> </w:t>
      </w:r>
      <w:r>
        <w:t>the</w:t>
      </w:r>
      <w:r w:rsidR="00D23ECC">
        <w:t xml:space="preserve"> </w:t>
      </w:r>
      <w:r>
        <w:t>consumer</w:t>
      </w:r>
      <w:r w:rsidR="00D23ECC">
        <w:t xml:space="preserve"> </w:t>
      </w:r>
      <w:r>
        <w:t>protection</w:t>
      </w:r>
      <w:r w:rsidR="00D23ECC">
        <w:t xml:space="preserve"> </w:t>
      </w:r>
      <w:r>
        <w:t>framework.</w:t>
      </w:r>
      <w:r w:rsidR="00D23ECC">
        <w:t xml:space="preserve"> </w:t>
      </w:r>
      <w:r>
        <w:t>They</w:t>
      </w:r>
      <w:r w:rsidR="00D23ECC">
        <w:t xml:space="preserve"> </w:t>
      </w:r>
      <w:r>
        <w:t>protect</w:t>
      </w:r>
      <w:r w:rsidR="00D23ECC">
        <w:t xml:space="preserve"> </w:t>
      </w:r>
      <w:r>
        <w:t>consumers</w:t>
      </w:r>
      <w:r w:rsidR="00D23ECC">
        <w:t xml:space="preserve"> </w:t>
      </w:r>
      <w:r>
        <w:t>who</w:t>
      </w:r>
      <w:r w:rsidR="00D23ECC">
        <w:t xml:space="preserve"> </w:t>
      </w:r>
      <w:r>
        <w:t>pay</w:t>
      </w:r>
      <w:r w:rsidR="00D23ECC">
        <w:t xml:space="preserve"> </w:t>
      </w:r>
      <w:r>
        <w:t>money</w:t>
      </w:r>
      <w:r w:rsidR="00D23ECC">
        <w:t xml:space="preserve"> </w:t>
      </w:r>
      <w:r>
        <w:t>(such</w:t>
      </w:r>
      <w:r w:rsidR="00D23ECC">
        <w:t xml:space="preserve"> </w:t>
      </w:r>
      <w:r>
        <w:t>as</w:t>
      </w:r>
      <w:r w:rsidR="00D23ECC">
        <w:t xml:space="preserve"> </w:t>
      </w:r>
      <w:r>
        <w:t>rent</w:t>
      </w:r>
      <w:r w:rsidR="00D23ECC">
        <w:t xml:space="preserve"> </w:t>
      </w:r>
      <w:r>
        <w:t>or</w:t>
      </w:r>
      <w:r w:rsidR="00D23ECC">
        <w:t xml:space="preserve"> </w:t>
      </w:r>
      <w:r>
        <w:t>purchase</w:t>
      </w:r>
      <w:r w:rsidR="00D23ECC">
        <w:t xml:space="preserve"> </w:t>
      </w:r>
      <w:r>
        <w:t>deposits)</w:t>
      </w:r>
      <w:r w:rsidR="00D23ECC">
        <w:t xml:space="preserve"> </w:t>
      </w:r>
      <w:r>
        <w:t>to</w:t>
      </w:r>
      <w:r w:rsidR="00D23ECC">
        <w:t xml:space="preserve"> </w:t>
      </w:r>
      <w:r>
        <w:t>real</w:t>
      </w:r>
      <w:r w:rsidR="00D23ECC">
        <w:t xml:space="preserve"> </w:t>
      </w:r>
      <w:r>
        <w:t>estate</w:t>
      </w:r>
      <w:r w:rsidR="00D23ECC">
        <w:t xml:space="preserve"> </w:t>
      </w:r>
      <w:r>
        <w:t>agents</w:t>
      </w:r>
      <w:r w:rsidR="00D23ECC">
        <w:t xml:space="preserve"> </w:t>
      </w:r>
      <w:r>
        <w:t>and</w:t>
      </w:r>
      <w:r w:rsidR="00D23ECC">
        <w:t xml:space="preserve"> </w:t>
      </w:r>
      <w:r>
        <w:t>conveyancers.</w:t>
      </w:r>
    </w:p>
    <w:p w14:paraId="6AF37BC8" w14:textId="2395265E" w:rsidR="00DE3B0D" w:rsidRDefault="00DE3B0D" w:rsidP="00D23ECC">
      <w:pPr>
        <w:pStyle w:val="BodyText"/>
      </w:pPr>
      <w:r>
        <w:t>Under</w:t>
      </w:r>
      <w:r w:rsidR="00D23ECC">
        <w:t xml:space="preserve"> </w:t>
      </w:r>
      <w:r>
        <w:t>the</w:t>
      </w:r>
      <w:r w:rsidR="00D23ECC">
        <w:t xml:space="preserve"> </w:t>
      </w:r>
      <w:r>
        <w:t>law,</w:t>
      </w:r>
      <w:r w:rsidR="00D23ECC">
        <w:t xml:space="preserve"> </w:t>
      </w:r>
      <w:r>
        <w:t>an</w:t>
      </w:r>
      <w:r w:rsidR="00D23ECC">
        <w:t xml:space="preserve"> </w:t>
      </w:r>
      <w:r>
        <w:t>estate</w:t>
      </w:r>
      <w:r w:rsidR="00D23ECC">
        <w:t xml:space="preserve"> </w:t>
      </w:r>
      <w:r>
        <w:t>agent</w:t>
      </w:r>
      <w:r w:rsidR="00D23ECC">
        <w:t xml:space="preserve"> </w:t>
      </w:r>
      <w:r>
        <w:t>must</w:t>
      </w:r>
      <w:r w:rsidR="00D23ECC">
        <w:t xml:space="preserve"> </w:t>
      </w:r>
      <w:r>
        <w:t>deposit</w:t>
      </w:r>
      <w:r w:rsidR="00D23ECC">
        <w:t xml:space="preserve"> </w:t>
      </w:r>
      <w:r>
        <w:t>any</w:t>
      </w:r>
      <w:r w:rsidR="00D23ECC">
        <w:t xml:space="preserve"> </w:t>
      </w:r>
      <w:r>
        <w:t>client</w:t>
      </w:r>
      <w:r w:rsidR="00D23ECC">
        <w:t xml:space="preserve"> </w:t>
      </w:r>
      <w:r>
        <w:t>money</w:t>
      </w:r>
      <w:r w:rsidR="00D23ECC">
        <w:t xml:space="preserve"> </w:t>
      </w:r>
      <w:r>
        <w:t>they</w:t>
      </w:r>
      <w:r w:rsidR="00D23ECC">
        <w:t xml:space="preserve"> </w:t>
      </w:r>
      <w:r>
        <w:t>receive</w:t>
      </w:r>
      <w:r w:rsidR="00D23ECC">
        <w:t xml:space="preserve"> </w:t>
      </w:r>
      <w:r>
        <w:t>in</w:t>
      </w:r>
      <w:r w:rsidR="00D23ECC">
        <w:t xml:space="preserve"> </w:t>
      </w:r>
      <w:r>
        <w:t>advance</w:t>
      </w:r>
      <w:r w:rsidR="00D23ECC">
        <w:t xml:space="preserve"> </w:t>
      </w:r>
      <w:r>
        <w:t>into</w:t>
      </w:r>
      <w:r w:rsidR="00D23ECC">
        <w:t xml:space="preserve"> </w:t>
      </w:r>
      <w:r>
        <w:t>a</w:t>
      </w:r>
      <w:r w:rsidR="00D23ECC">
        <w:t xml:space="preserve"> </w:t>
      </w:r>
      <w:r>
        <w:t>trust</w:t>
      </w:r>
      <w:r w:rsidR="00D23ECC">
        <w:t xml:space="preserve"> </w:t>
      </w:r>
      <w:r>
        <w:t>account</w:t>
      </w:r>
      <w:r w:rsidR="00D23ECC">
        <w:t xml:space="preserve"> </w:t>
      </w:r>
      <w:r>
        <w:t>for</w:t>
      </w:r>
      <w:r w:rsidR="00D23ECC">
        <w:t xml:space="preserve"> </w:t>
      </w:r>
      <w:r>
        <w:t>safe</w:t>
      </w:r>
      <w:r w:rsidR="00D23ECC">
        <w:t xml:space="preserve"> </w:t>
      </w:r>
      <w:r>
        <w:t>keeping</w:t>
      </w:r>
      <w:r w:rsidR="00D23ECC">
        <w:t xml:space="preserve"> </w:t>
      </w:r>
      <w:r>
        <w:t>and</w:t>
      </w:r>
      <w:r w:rsidR="00D23ECC">
        <w:t xml:space="preserve"> </w:t>
      </w:r>
      <w:r>
        <w:t>can</w:t>
      </w:r>
      <w:r w:rsidR="00D23ECC">
        <w:t xml:space="preserve"> </w:t>
      </w:r>
      <w:r>
        <w:t>face</w:t>
      </w:r>
      <w:r w:rsidR="00D23ECC">
        <w:t xml:space="preserve"> </w:t>
      </w:r>
      <w:r>
        <w:t>penalties</w:t>
      </w:r>
      <w:r w:rsidR="00D23ECC">
        <w:t xml:space="preserve"> </w:t>
      </w:r>
      <w:r>
        <w:t>of</w:t>
      </w:r>
      <w:r w:rsidR="00D23ECC">
        <w:t xml:space="preserve"> </w:t>
      </w:r>
      <w:r>
        <w:t>up</w:t>
      </w:r>
      <w:r w:rsidR="00D23ECC">
        <w:t xml:space="preserve"> </w:t>
      </w:r>
      <w:r>
        <w:t>to</w:t>
      </w:r>
      <w:r w:rsidR="00D23ECC">
        <w:t xml:space="preserve"> </w:t>
      </w:r>
      <w:r>
        <w:t>$82,510</w:t>
      </w:r>
      <w:r w:rsidR="00D23ECC">
        <w:t xml:space="preserve"> </w:t>
      </w:r>
      <w:r>
        <w:t>or</w:t>
      </w:r>
      <w:r w:rsidR="00D23ECC">
        <w:t xml:space="preserve"> </w:t>
      </w:r>
      <w:r>
        <w:t>10</w:t>
      </w:r>
      <w:r w:rsidR="00D23ECC">
        <w:t xml:space="preserve"> </w:t>
      </w:r>
      <w:r>
        <w:t>years’</w:t>
      </w:r>
      <w:r w:rsidR="00D23ECC">
        <w:t xml:space="preserve"> </w:t>
      </w:r>
      <w:r>
        <w:t>imprisonment</w:t>
      </w:r>
      <w:r w:rsidR="00D23ECC">
        <w:t xml:space="preserve"> </w:t>
      </w:r>
      <w:r>
        <w:t>if</w:t>
      </w:r>
      <w:r w:rsidR="00D23ECC">
        <w:t xml:space="preserve"> </w:t>
      </w:r>
      <w:r>
        <w:t>they</w:t>
      </w:r>
      <w:r w:rsidR="00D23ECC">
        <w:t xml:space="preserve"> </w:t>
      </w:r>
      <w:r>
        <w:t>fail</w:t>
      </w:r>
      <w:r w:rsidR="00D23ECC">
        <w:t xml:space="preserve"> </w:t>
      </w:r>
      <w:r>
        <w:t>to</w:t>
      </w:r>
      <w:r w:rsidR="00D23ECC">
        <w:t xml:space="preserve"> </w:t>
      </w:r>
      <w:r>
        <w:t>comply.</w:t>
      </w:r>
      <w:r w:rsidR="00D23ECC">
        <w:t xml:space="preserve"> </w:t>
      </w:r>
      <w:r>
        <w:t>This</w:t>
      </w:r>
      <w:r w:rsidR="00D23ECC">
        <w:t xml:space="preserve"> </w:t>
      </w:r>
      <w:r>
        <w:t>includes</w:t>
      </w:r>
      <w:r w:rsidR="00D23ECC">
        <w:t xml:space="preserve"> </w:t>
      </w:r>
      <w:r>
        <w:t>sales</w:t>
      </w:r>
      <w:r w:rsidR="00D23ECC">
        <w:t xml:space="preserve"> </w:t>
      </w:r>
      <w:r>
        <w:t>deposits,</w:t>
      </w:r>
      <w:r w:rsidR="00D23ECC">
        <w:t xml:space="preserve"> </w:t>
      </w:r>
      <w:r>
        <w:t>rent</w:t>
      </w:r>
      <w:r w:rsidR="00D23ECC">
        <w:t xml:space="preserve"> </w:t>
      </w:r>
      <w:r>
        <w:t>or</w:t>
      </w:r>
      <w:r w:rsidR="00D23ECC">
        <w:t xml:space="preserve"> </w:t>
      </w:r>
      <w:r>
        <w:t>fees</w:t>
      </w:r>
      <w:r w:rsidR="00D23ECC">
        <w:t xml:space="preserve"> </w:t>
      </w:r>
      <w:r>
        <w:t>for</w:t>
      </w:r>
      <w:r w:rsidR="00D23ECC">
        <w:t xml:space="preserve"> </w:t>
      </w:r>
      <w:r>
        <w:t>advertising</w:t>
      </w:r>
      <w:r w:rsidR="00D23ECC">
        <w:t xml:space="preserve"> </w:t>
      </w:r>
      <w:r>
        <w:t>and</w:t>
      </w:r>
      <w:r w:rsidR="00D23ECC">
        <w:t xml:space="preserve"> </w:t>
      </w:r>
      <w:r>
        <w:t>maintenance.</w:t>
      </w:r>
      <w:r w:rsidR="00D23ECC">
        <w:t xml:space="preserve"> </w:t>
      </w:r>
      <w:r>
        <w:t>Conveyancers</w:t>
      </w:r>
      <w:r w:rsidR="00D23ECC">
        <w:t xml:space="preserve"> </w:t>
      </w:r>
      <w:r>
        <w:t>have</w:t>
      </w:r>
      <w:r w:rsidR="00D23ECC">
        <w:t xml:space="preserve"> </w:t>
      </w:r>
      <w:r>
        <w:t>similar</w:t>
      </w:r>
      <w:r w:rsidR="00D23ECC">
        <w:t xml:space="preserve"> </w:t>
      </w:r>
      <w:r>
        <w:t>obligations.</w:t>
      </w:r>
      <w:r w:rsidR="00D23ECC">
        <w:t xml:space="preserve"> </w:t>
      </w:r>
      <w:r>
        <w:t>Estate</w:t>
      </w:r>
      <w:r w:rsidR="00D23ECC">
        <w:t xml:space="preserve"> </w:t>
      </w:r>
      <w:r>
        <w:t>agent</w:t>
      </w:r>
      <w:r w:rsidR="00D23ECC">
        <w:t xml:space="preserve"> </w:t>
      </w:r>
      <w:r>
        <w:t>and</w:t>
      </w:r>
      <w:r w:rsidR="00D23ECC">
        <w:t xml:space="preserve"> </w:t>
      </w:r>
      <w:r>
        <w:t>conveyancer</w:t>
      </w:r>
      <w:r w:rsidR="00D23ECC">
        <w:t xml:space="preserve"> </w:t>
      </w:r>
      <w:r>
        <w:t>trust</w:t>
      </w:r>
      <w:r w:rsidR="00D23ECC">
        <w:t xml:space="preserve"> </w:t>
      </w:r>
      <w:r>
        <w:t>account</w:t>
      </w:r>
      <w:r w:rsidR="00D23ECC">
        <w:t xml:space="preserve"> </w:t>
      </w:r>
      <w:r>
        <w:t>audits</w:t>
      </w:r>
      <w:r w:rsidR="00D23ECC">
        <w:t xml:space="preserve"> </w:t>
      </w:r>
      <w:r>
        <w:t>can</w:t>
      </w:r>
      <w:r w:rsidR="00D23ECC">
        <w:t xml:space="preserve"> </w:t>
      </w:r>
      <w:r>
        <w:t>be</w:t>
      </w:r>
      <w:r w:rsidR="00D23ECC">
        <w:t xml:space="preserve"> </w:t>
      </w:r>
      <w:r>
        <w:t>lodged</w:t>
      </w:r>
      <w:r w:rsidR="00D23ECC">
        <w:t xml:space="preserve"> </w:t>
      </w:r>
      <w:r>
        <w:t>electronically</w:t>
      </w:r>
      <w:r w:rsidR="00D23ECC">
        <w:t xml:space="preserve"> </w:t>
      </w:r>
      <w:r>
        <w:t>using</w:t>
      </w:r>
      <w:r w:rsidR="00D23ECC">
        <w:t xml:space="preserve"> </w:t>
      </w:r>
      <w:r>
        <w:t>our</w:t>
      </w:r>
      <w:r w:rsidR="00D23ECC">
        <w:t xml:space="preserve"> </w:t>
      </w:r>
      <w:r>
        <w:t>online</w:t>
      </w:r>
      <w:r w:rsidR="00D23ECC">
        <w:t xml:space="preserve"> </w:t>
      </w:r>
      <w:r>
        <w:t>portal</w:t>
      </w:r>
      <w:r w:rsidR="00D23ECC">
        <w:t xml:space="preserve"> </w:t>
      </w:r>
      <w:r>
        <w:t>myCAV.</w:t>
      </w:r>
    </w:p>
    <w:p w14:paraId="19E089F7" w14:textId="1455E272" w:rsidR="00DE3B0D" w:rsidRDefault="00DE3B0D" w:rsidP="00D23ECC">
      <w:pPr>
        <w:pStyle w:val="BodyText"/>
      </w:pPr>
      <w:r>
        <w:t>Since</w:t>
      </w:r>
      <w:r w:rsidR="00D23ECC">
        <w:t xml:space="preserve"> </w:t>
      </w:r>
      <w:r>
        <w:t>1</w:t>
      </w:r>
      <w:r w:rsidR="00D23ECC">
        <w:t xml:space="preserve"> </w:t>
      </w:r>
      <w:r>
        <w:t>July</w:t>
      </w:r>
      <w:r w:rsidR="00D23ECC">
        <w:t xml:space="preserve"> </w:t>
      </w:r>
      <w:r>
        <w:t>2020,</w:t>
      </w:r>
      <w:r w:rsidR="00D23ECC">
        <w:t xml:space="preserve"> </w:t>
      </w:r>
      <w:r>
        <w:t>we</w:t>
      </w:r>
      <w:r w:rsidR="00D23ECC">
        <w:t xml:space="preserve"> </w:t>
      </w:r>
      <w:r>
        <w:t>have</w:t>
      </w:r>
      <w:r w:rsidR="00D23ECC">
        <w:t xml:space="preserve"> </w:t>
      </w:r>
      <w:r>
        <w:t>initiated</w:t>
      </w:r>
      <w:r w:rsidR="00D23ECC">
        <w:t xml:space="preserve"> </w:t>
      </w:r>
      <w:r>
        <w:t>criminal</w:t>
      </w:r>
      <w:r w:rsidR="00D23ECC">
        <w:t xml:space="preserve"> </w:t>
      </w:r>
      <w:r>
        <w:t>prosecutions</w:t>
      </w:r>
      <w:r w:rsidR="00D23ECC">
        <w:t xml:space="preserve"> </w:t>
      </w:r>
      <w:r>
        <w:t>against</w:t>
      </w:r>
      <w:r w:rsidR="00D23ECC">
        <w:t xml:space="preserve"> </w:t>
      </w:r>
      <w:r>
        <w:t>six</w:t>
      </w:r>
      <w:r w:rsidR="00D23ECC">
        <w:t xml:space="preserve"> </w:t>
      </w:r>
      <w:r>
        <w:t>estate</w:t>
      </w:r>
      <w:r w:rsidR="00D23ECC">
        <w:t xml:space="preserve"> </w:t>
      </w:r>
      <w:r>
        <w:t>agents</w:t>
      </w:r>
      <w:r w:rsidR="00D23ECC">
        <w:t xml:space="preserve"> </w:t>
      </w:r>
      <w:r>
        <w:t>and</w:t>
      </w:r>
      <w:r w:rsidR="00D23ECC">
        <w:t xml:space="preserve"> </w:t>
      </w:r>
      <w:r>
        <w:t>one</w:t>
      </w:r>
      <w:r w:rsidR="00D23ECC">
        <w:t xml:space="preserve"> </w:t>
      </w:r>
      <w:r>
        <w:t>agent’s</w:t>
      </w:r>
      <w:r w:rsidR="00D23ECC">
        <w:t xml:space="preserve"> </w:t>
      </w:r>
      <w:r>
        <w:t>representative</w:t>
      </w:r>
      <w:r w:rsidR="00D23ECC">
        <w:t xml:space="preserve"> </w:t>
      </w:r>
      <w:r>
        <w:t>for</w:t>
      </w:r>
      <w:r w:rsidR="00D23ECC">
        <w:t xml:space="preserve"> </w:t>
      </w:r>
      <w:r>
        <w:t>alleged</w:t>
      </w:r>
      <w:r w:rsidR="00D23ECC">
        <w:t xml:space="preserve"> </w:t>
      </w:r>
      <w:r>
        <w:t>trust</w:t>
      </w:r>
      <w:r w:rsidR="00D23ECC">
        <w:t xml:space="preserve"> </w:t>
      </w:r>
      <w:r>
        <w:t>account</w:t>
      </w:r>
      <w:r w:rsidR="00D23ECC">
        <w:t xml:space="preserve"> </w:t>
      </w:r>
      <w:r>
        <w:t>contraventions.</w:t>
      </w:r>
      <w:r w:rsidR="00D23ECC">
        <w:t xml:space="preserve"> </w:t>
      </w:r>
      <w:r>
        <w:t>One</w:t>
      </w:r>
      <w:r w:rsidR="00D23ECC">
        <w:t xml:space="preserve"> </w:t>
      </w:r>
      <w:r>
        <w:t>of</w:t>
      </w:r>
      <w:r w:rsidR="00D23ECC">
        <w:t xml:space="preserve"> </w:t>
      </w:r>
      <w:r>
        <w:t>the</w:t>
      </w:r>
      <w:r w:rsidR="00D23ECC">
        <w:t xml:space="preserve"> </w:t>
      </w:r>
      <w:r>
        <w:t>prosecutions</w:t>
      </w:r>
      <w:r w:rsidR="00D23ECC">
        <w:t xml:space="preserve"> </w:t>
      </w:r>
      <w:r>
        <w:t>has</w:t>
      </w:r>
      <w:r w:rsidR="00D23ECC">
        <w:t xml:space="preserve"> </w:t>
      </w:r>
      <w:r>
        <w:t>since</w:t>
      </w:r>
      <w:r w:rsidR="00D23ECC">
        <w:t xml:space="preserve"> </w:t>
      </w:r>
      <w:r>
        <w:t>finalised,</w:t>
      </w:r>
      <w:r w:rsidR="00D23ECC">
        <w:t xml:space="preserve"> </w:t>
      </w:r>
      <w:r>
        <w:t>resulting</w:t>
      </w:r>
      <w:r w:rsidR="00D23ECC">
        <w:t xml:space="preserve"> </w:t>
      </w:r>
      <w:r>
        <w:t>in</w:t>
      </w:r>
      <w:r w:rsidR="00D23ECC">
        <w:t xml:space="preserve"> </w:t>
      </w:r>
      <w:r>
        <w:t>a</w:t>
      </w:r>
      <w:r w:rsidR="00D23ECC">
        <w:t xml:space="preserve"> </w:t>
      </w:r>
      <w:r>
        <w:t>conviction</w:t>
      </w:r>
      <w:r w:rsidR="00D23ECC">
        <w:t xml:space="preserve"> </w:t>
      </w:r>
      <w:r>
        <w:t>and</w:t>
      </w:r>
      <w:r w:rsidR="00D23ECC">
        <w:t xml:space="preserve"> </w:t>
      </w:r>
      <w:r>
        <w:t>significant</w:t>
      </w:r>
      <w:r w:rsidR="00D23ECC">
        <w:t xml:space="preserve"> </w:t>
      </w:r>
      <w:r>
        <w:t>fine.</w:t>
      </w:r>
      <w:r w:rsidR="00D23ECC">
        <w:t xml:space="preserve"> </w:t>
      </w:r>
      <w:r>
        <w:t>It</w:t>
      </w:r>
      <w:r w:rsidR="00D23ECC">
        <w:t xml:space="preserve"> </w:t>
      </w:r>
      <w:r>
        <w:t>is</w:t>
      </w:r>
      <w:r w:rsidR="00D23ECC">
        <w:t xml:space="preserve"> </w:t>
      </w:r>
      <w:r>
        <w:t>envisaged</w:t>
      </w:r>
      <w:r w:rsidR="00D23ECC">
        <w:t xml:space="preserve"> </w:t>
      </w:r>
      <w:r>
        <w:t>that</w:t>
      </w:r>
      <w:r w:rsidR="00D23ECC">
        <w:t xml:space="preserve"> </w:t>
      </w:r>
      <w:r>
        <w:t>more</w:t>
      </w:r>
      <w:r w:rsidR="00D23ECC">
        <w:t xml:space="preserve"> </w:t>
      </w:r>
      <w:r>
        <w:t>criminal</w:t>
      </w:r>
      <w:r w:rsidR="00D23ECC">
        <w:t xml:space="preserve"> </w:t>
      </w:r>
      <w:r>
        <w:t>prosecutions</w:t>
      </w:r>
      <w:r w:rsidR="00D23ECC">
        <w:t xml:space="preserve"> </w:t>
      </w:r>
      <w:r>
        <w:t>will</w:t>
      </w:r>
      <w:r w:rsidR="00D23ECC">
        <w:t xml:space="preserve"> </w:t>
      </w:r>
      <w:r>
        <w:t>conclude</w:t>
      </w:r>
      <w:r w:rsidR="00D23ECC">
        <w:t xml:space="preserve"> </w:t>
      </w:r>
      <w:r>
        <w:t>in</w:t>
      </w:r>
      <w:r w:rsidR="00D23ECC">
        <w:t xml:space="preserve"> </w:t>
      </w:r>
      <w:r>
        <w:t>the</w:t>
      </w:r>
      <w:r w:rsidR="00D23ECC">
        <w:t xml:space="preserve"> </w:t>
      </w:r>
      <w:r>
        <w:t>financial</w:t>
      </w:r>
      <w:r w:rsidR="00D23ECC">
        <w:t xml:space="preserve"> </w:t>
      </w:r>
      <w:r>
        <w:t>year</w:t>
      </w:r>
      <w:r w:rsidR="00D23ECC">
        <w:t xml:space="preserve"> </w:t>
      </w:r>
      <w:r>
        <w:t>ending</w:t>
      </w:r>
      <w:r w:rsidR="00D23ECC">
        <w:t xml:space="preserve"> </w:t>
      </w:r>
      <w:r>
        <w:t>2021–2022.</w:t>
      </w:r>
    </w:p>
    <w:p w14:paraId="56198832" w14:textId="2078B1E3" w:rsidR="00DE3B0D" w:rsidRDefault="00DE3B0D" w:rsidP="00D23ECC">
      <w:pPr>
        <w:pStyle w:val="BodyText"/>
      </w:pPr>
      <w:r>
        <w:t>Trust</w:t>
      </w:r>
      <w:r w:rsidR="00D23ECC">
        <w:t xml:space="preserve"> </w:t>
      </w:r>
      <w:r>
        <w:t>account</w:t>
      </w:r>
      <w:r w:rsidR="00D23ECC">
        <w:t xml:space="preserve"> </w:t>
      </w:r>
      <w:r>
        <w:t>audits</w:t>
      </w:r>
      <w:r w:rsidR="00D23ECC">
        <w:t xml:space="preserve"> </w:t>
      </w:r>
      <w:r>
        <w:t>are</w:t>
      </w:r>
      <w:r w:rsidR="00D23ECC">
        <w:t xml:space="preserve"> </w:t>
      </w:r>
      <w:r>
        <w:t>an</w:t>
      </w:r>
      <w:r w:rsidR="00D23ECC">
        <w:t xml:space="preserve"> </w:t>
      </w:r>
      <w:r>
        <w:t>important</w:t>
      </w:r>
      <w:r w:rsidR="00D23ECC">
        <w:t xml:space="preserve"> </w:t>
      </w:r>
      <w:r>
        <w:t>additional</w:t>
      </w:r>
      <w:r w:rsidR="00D23ECC">
        <w:t xml:space="preserve"> </w:t>
      </w:r>
      <w:r>
        <w:t>protection</w:t>
      </w:r>
      <w:r w:rsidR="00D23ECC">
        <w:t xml:space="preserve"> </w:t>
      </w:r>
      <w:r>
        <w:t>measure</w:t>
      </w:r>
      <w:r w:rsidR="00D23ECC">
        <w:t xml:space="preserve"> </w:t>
      </w:r>
      <w:r>
        <w:t>that</w:t>
      </w:r>
      <w:r w:rsidR="00D23ECC">
        <w:t xml:space="preserve"> </w:t>
      </w:r>
      <w:r>
        <w:t>provide</w:t>
      </w:r>
      <w:r w:rsidR="00D23ECC">
        <w:t xml:space="preserve"> </w:t>
      </w:r>
      <w:r>
        <w:t>peace</w:t>
      </w:r>
      <w:r w:rsidR="00D23ECC">
        <w:t xml:space="preserve"> </w:t>
      </w:r>
      <w:r>
        <w:t>of</w:t>
      </w:r>
      <w:r w:rsidR="00D23ECC">
        <w:t xml:space="preserve"> </w:t>
      </w:r>
      <w:r>
        <w:t>mind</w:t>
      </w:r>
      <w:r w:rsidR="00D23ECC">
        <w:t xml:space="preserve"> </w:t>
      </w:r>
      <w:r>
        <w:t>to</w:t>
      </w:r>
      <w:r w:rsidR="00D23ECC">
        <w:t xml:space="preserve"> </w:t>
      </w:r>
      <w:r>
        <w:t>consumers</w:t>
      </w:r>
      <w:r w:rsidR="00D23ECC">
        <w:t xml:space="preserve"> </w:t>
      </w:r>
      <w:r>
        <w:t>handing</w:t>
      </w:r>
      <w:r w:rsidR="00D23ECC">
        <w:t xml:space="preserve"> </w:t>
      </w:r>
      <w:r>
        <w:t>their</w:t>
      </w:r>
      <w:r w:rsidR="00D23ECC">
        <w:t xml:space="preserve"> </w:t>
      </w:r>
      <w:r>
        <w:t>money</w:t>
      </w:r>
      <w:r w:rsidR="00D23ECC">
        <w:t xml:space="preserve"> </w:t>
      </w:r>
      <w:r>
        <w:t>over</w:t>
      </w:r>
      <w:r w:rsidR="00D23ECC">
        <w:t xml:space="preserve"> </w:t>
      </w:r>
      <w:r>
        <w:t>to</w:t>
      </w:r>
      <w:r w:rsidR="00D23ECC">
        <w:t xml:space="preserve"> </w:t>
      </w:r>
      <w:r>
        <w:t>agents.</w:t>
      </w:r>
      <w:r w:rsidR="00D23ECC">
        <w:t xml:space="preserve"> </w:t>
      </w:r>
      <w:r>
        <w:t>While</w:t>
      </w:r>
      <w:r w:rsidR="00D23ECC">
        <w:t xml:space="preserve"> </w:t>
      </w:r>
      <w:r>
        <w:t>most</w:t>
      </w:r>
      <w:r w:rsidR="00D23ECC">
        <w:t xml:space="preserve"> </w:t>
      </w:r>
      <w:r>
        <w:t>agents</w:t>
      </w:r>
      <w:r w:rsidR="00D23ECC">
        <w:t xml:space="preserve"> </w:t>
      </w:r>
      <w:r>
        <w:t>manage</w:t>
      </w:r>
      <w:r w:rsidR="00D23ECC">
        <w:t xml:space="preserve"> </w:t>
      </w:r>
      <w:r>
        <w:t>trust</w:t>
      </w:r>
      <w:r w:rsidR="00D23ECC">
        <w:t xml:space="preserve"> </w:t>
      </w:r>
      <w:r>
        <w:t>money</w:t>
      </w:r>
      <w:r w:rsidR="00D23ECC">
        <w:t xml:space="preserve"> </w:t>
      </w:r>
      <w:r>
        <w:t>appropriately,</w:t>
      </w:r>
      <w:r w:rsidR="00D23ECC">
        <w:t xml:space="preserve"> </w:t>
      </w:r>
      <w:r>
        <w:t>including</w:t>
      </w:r>
      <w:r w:rsidR="00D23ECC">
        <w:t xml:space="preserve"> </w:t>
      </w:r>
      <w:r>
        <w:t>by</w:t>
      </w:r>
      <w:r w:rsidR="00D23ECC">
        <w:t xml:space="preserve"> </w:t>
      </w:r>
      <w:r>
        <w:t>having</w:t>
      </w:r>
      <w:r w:rsidR="00D23ECC">
        <w:t xml:space="preserve"> </w:t>
      </w:r>
      <w:r>
        <w:t>their</w:t>
      </w:r>
      <w:r w:rsidR="00D23ECC">
        <w:t xml:space="preserve"> </w:t>
      </w:r>
      <w:r>
        <w:t>accounts</w:t>
      </w:r>
      <w:r w:rsidR="00D23ECC">
        <w:t xml:space="preserve"> </w:t>
      </w:r>
      <w:r>
        <w:t>audited</w:t>
      </w:r>
      <w:r w:rsidR="00D23ECC">
        <w:t xml:space="preserve"> </w:t>
      </w:r>
      <w:r>
        <w:t>annually</w:t>
      </w:r>
      <w:r w:rsidR="00D23ECC">
        <w:t xml:space="preserve"> </w:t>
      </w:r>
      <w:r>
        <w:t>and</w:t>
      </w:r>
      <w:r w:rsidR="00D23ECC">
        <w:t xml:space="preserve"> </w:t>
      </w:r>
      <w:r>
        <w:t>lodging</w:t>
      </w:r>
      <w:r w:rsidR="00D23ECC">
        <w:t xml:space="preserve"> </w:t>
      </w:r>
      <w:r>
        <w:t>a</w:t>
      </w:r>
      <w:r w:rsidR="00D23ECC">
        <w:t xml:space="preserve"> </w:t>
      </w:r>
      <w:r>
        <w:t>copy</w:t>
      </w:r>
      <w:r w:rsidR="00D23ECC">
        <w:t xml:space="preserve"> </w:t>
      </w:r>
      <w:r>
        <w:t>of</w:t>
      </w:r>
      <w:r w:rsidR="00D23ECC">
        <w:t xml:space="preserve"> </w:t>
      </w:r>
      <w:r>
        <w:t>their</w:t>
      </w:r>
      <w:r w:rsidR="00D23ECC">
        <w:t xml:space="preserve"> </w:t>
      </w:r>
      <w:r>
        <w:t>annual</w:t>
      </w:r>
      <w:r w:rsidR="00D23ECC">
        <w:t xml:space="preserve"> </w:t>
      </w:r>
      <w:r>
        <w:t>audit</w:t>
      </w:r>
      <w:r w:rsidR="00D23ECC">
        <w:t xml:space="preserve"> </w:t>
      </w:r>
      <w:r>
        <w:t>report,</w:t>
      </w:r>
      <w:r w:rsidR="00D23ECC">
        <w:t xml:space="preserve"> </w:t>
      </w:r>
      <w:r>
        <w:t>those</w:t>
      </w:r>
      <w:r w:rsidR="00D23ECC">
        <w:t xml:space="preserve"> </w:t>
      </w:r>
      <w:r>
        <w:t>who</w:t>
      </w:r>
      <w:r w:rsidR="00D23ECC">
        <w:t xml:space="preserve"> </w:t>
      </w:r>
      <w:r>
        <w:t>don’t</w:t>
      </w:r>
      <w:r w:rsidR="00D23ECC">
        <w:t xml:space="preserve"> </w:t>
      </w:r>
      <w:r>
        <w:t>face</w:t>
      </w:r>
      <w:r w:rsidR="00D23ECC">
        <w:t xml:space="preserve"> </w:t>
      </w:r>
      <w:r>
        <w:t>penalties.</w:t>
      </w:r>
      <w:r w:rsidR="00D23ECC">
        <w:t xml:space="preserve"> </w:t>
      </w:r>
      <w:r>
        <w:t>To</w:t>
      </w:r>
      <w:r w:rsidR="00D23ECC">
        <w:t xml:space="preserve"> </w:t>
      </w:r>
      <w:r>
        <w:t>crack</w:t>
      </w:r>
      <w:r w:rsidR="00D23ECC">
        <w:t xml:space="preserve"> </w:t>
      </w:r>
      <w:r>
        <w:t>down</w:t>
      </w:r>
      <w:r w:rsidR="00D23ECC">
        <w:t xml:space="preserve"> </w:t>
      </w:r>
      <w:r>
        <w:t>on</w:t>
      </w:r>
      <w:r w:rsidR="00D23ECC">
        <w:t xml:space="preserve"> </w:t>
      </w:r>
      <w:r>
        <w:t>overdue</w:t>
      </w:r>
      <w:r w:rsidR="00D23ECC">
        <w:t xml:space="preserve"> </w:t>
      </w:r>
      <w:r>
        <w:t>audits,</w:t>
      </w:r>
      <w:r w:rsidR="00D23ECC">
        <w:t xml:space="preserve"> </w:t>
      </w:r>
      <w:r>
        <w:t>we</w:t>
      </w:r>
      <w:r w:rsidR="00D23ECC">
        <w:t xml:space="preserve"> </w:t>
      </w:r>
      <w:r>
        <w:t>fined</w:t>
      </w:r>
      <w:r w:rsidR="00D23ECC">
        <w:t xml:space="preserve"> </w:t>
      </w:r>
      <w:r>
        <w:t>estate</w:t>
      </w:r>
      <w:r w:rsidR="00D23ECC">
        <w:t xml:space="preserve"> </w:t>
      </w:r>
      <w:r>
        <w:t>agents</w:t>
      </w:r>
      <w:r w:rsidR="00D23ECC">
        <w:t xml:space="preserve"> </w:t>
      </w:r>
      <w:r>
        <w:t>more</w:t>
      </w:r>
      <w:r w:rsidR="00D23ECC">
        <w:t xml:space="preserve"> </w:t>
      </w:r>
      <w:r>
        <w:t>than</w:t>
      </w:r>
      <w:r w:rsidR="00D23ECC">
        <w:t xml:space="preserve"> </w:t>
      </w:r>
      <w:r>
        <w:t>$120,000</w:t>
      </w:r>
      <w:r w:rsidR="00D23ECC">
        <w:t xml:space="preserve"> </w:t>
      </w:r>
      <w:r>
        <w:t>this</w:t>
      </w:r>
      <w:r w:rsidR="00D23ECC">
        <w:t xml:space="preserve"> </w:t>
      </w:r>
      <w:r>
        <w:t>year</w:t>
      </w:r>
      <w:r w:rsidR="00D23ECC">
        <w:t xml:space="preserve"> </w:t>
      </w:r>
      <w:r>
        <w:t>for</w:t>
      </w:r>
      <w:r w:rsidR="00D23ECC">
        <w:t xml:space="preserve"> </w:t>
      </w:r>
      <w:r>
        <w:t>not</w:t>
      </w:r>
      <w:r w:rsidR="00D23ECC">
        <w:t xml:space="preserve"> </w:t>
      </w:r>
      <w:r>
        <w:t>having</w:t>
      </w:r>
      <w:r w:rsidR="00D23ECC">
        <w:t xml:space="preserve"> </w:t>
      </w:r>
      <w:r>
        <w:t>their</w:t>
      </w:r>
      <w:r w:rsidR="00D23ECC">
        <w:t xml:space="preserve"> </w:t>
      </w:r>
      <w:r>
        <w:t>trust</w:t>
      </w:r>
      <w:r w:rsidR="00D23ECC">
        <w:t xml:space="preserve"> </w:t>
      </w:r>
      <w:r>
        <w:t>accounts</w:t>
      </w:r>
      <w:r w:rsidR="00D23ECC">
        <w:t xml:space="preserve"> </w:t>
      </w:r>
      <w:r>
        <w:t>audited.</w:t>
      </w:r>
      <w:r w:rsidR="00D23ECC">
        <w:t xml:space="preserve"> </w:t>
      </w:r>
      <w:r>
        <w:t>A</w:t>
      </w:r>
      <w:r w:rsidR="00D23ECC">
        <w:t xml:space="preserve"> </w:t>
      </w:r>
      <w:r>
        <w:t>further</w:t>
      </w:r>
      <w:r w:rsidR="00D23ECC">
        <w:t xml:space="preserve"> </w:t>
      </w:r>
      <w:r>
        <w:t>14</w:t>
      </w:r>
      <w:r w:rsidR="00D23ECC">
        <w:t xml:space="preserve"> </w:t>
      </w:r>
      <w:r>
        <w:t>estate</w:t>
      </w:r>
      <w:r w:rsidR="00D23ECC">
        <w:t xml:space="preserve"> </w:t>
      </w:r>
      <w:r>
        <w:t>agents</w:t>
      </w:r>
      <w:r w:rsidR="00D23ECC">
        <w:t xml:space="preserve"> </w:t>
      </w:r>
      <w:r>
        <w:t>and</w:t>
      </w:r>
      <w:r w:rsidR="00D23ECC">
        <w:t xml:space="preserve"> </w:t>
      </w:r>
      <w:r>
        <w:t>conveyancers</w:t>
      </w:r>
      <w:r w:rsidR="00D23ECC">
        <w:t xml:space="preserve"> </w:t>
      </w:r>
      <w:r>
        <w:t>were</w:t>
      </w:r>
      <w:r w:rsidR="00D23ECC">
        <w:t xml:space="preserve"> </w:t>
      </w:r>
      <w:r>
        <w:t>issued</w:t>
      </w:r>
      <w:r w:rsidR="00D23ECC">
        <w:t xml:space="preserve"> </w:t>
      </w:r>
      <w:r>
        <w:t>official</w:t>
      </w:r>
      <w:r w:rsidR="00D23ECC">
        <w:t xml:space="preserve"> </w:t>
      </w:r>
      <w:r>
        <w:t>warnings</w:t>
      </w:r>
      <w:r w:rsidR="00D23ECC">
        <w:t xml:space="preserve"> </w:t>
      </w:r>
      <w:r>
        <w:t>regarding</w:t>
      </w:r>
      <w:r w:rsidR="00D23ECC">
        <w:t xml:space="preserve"> </w:t>
      </w:r>
      <w:r>
        <w:t>their</w:t>
      </w:r>
      <w:r w:rsidR="00D23ECC">
        <w:t xml:space="preserve"> </w:t>
      </w:r>
      <w:r>
        <w:t>trust</w:t>
      </w:r>
      <w:r w:rsidR="00D23ECC">
        <w:t xml:space="preserve"> </w:t>
      </w:r>
      <w:r>
        <w:t>accounting</w:t>
      </w:r>
      <w:r w:rsidR="00D23ECC">
        <w:t xml:space="preserve"> </w:t>
      </w:r>
      <w:r>
        <w:t>obligations.</w:t>
      </w:r>
    </w:p>
    <w:p w14:paraId="2C8ABA3C" w14:textId="65CBC9C2" w:rsidR="00DE3B0D" w:rsidRDefault="00DE3B0D" w:rsidP="00D23ECC">
      <w:pPr>
        <w:pStyle w:val="BodyText"/>
      </w:pPr>
      <w:r>
        <w:t>We</w:t>
      </w:r>
      <w:r w:rsidR="00D23ECC">
        <w:t xml:space="preserve"> </w:t>
      </w:r>
      <w:r>
        <w:t>are</w:t>
      </w:r>
      <w:r w:rsidR="00D23ECC">
        <w:t xml:space="preserve"> </w:t>
      </w:r>
      <w:r>
        <w:t>mindful</w:t>
      </w:r>
      <w:r w:rsidR="00D23ECC">
        <w:t xml:space="preserve"> </w:t>
      </w:r>
      <w:r>
        <w:t>of</w:t>
      </w:r>
      <w:r w:rsidR="00D23ECC">
        <w:t xml:space="preserve"> </w:t>
      </w:r>
      <w:r>
        <w:t>the</w:t>
      </w:r>
      <w:r w:rsidR="00D23ECC">
        <w:t xml:space="preserve"> </w:t>
      </w:r>
      <w:r>
        <w:t>need</w:t>
      </w:r>
      <w:r w:rsidR="00D23ECC">
        <w:t xml:space="preserve"> </w:t>
      </w:r>
      <w:r>
        <w:t>to</w:t>
      </w:r>
      <w:r w:rsidR="00D23ECC">
        <w:t xml:space="preserve"> </w:t>
      </w:r>
      <w:r>
        <w:t>provide</w:t>
      </w:r>
      <w:r w:rsidR="00D23ECC">
        <w:t xml:space="preserve"> </w:t>
      </w:r>
      <w:r>
        <w:t>support,</w:t>
      </w:r>
      <w:r w:rsidR="00D23ECC">
        <w:t xml:space="preserve"> </w:t>
      </w:r>
      <w:r>
        <w:t>including</w:t>
      </w:r>
      <w:r w:rsidR="00D23ECC">
        <w:t xml:space="preserve"> </w:t>
      </w:r>
      <w:r>
        <w:t>extensions</w:t>
      </w:r>
      <w:r w:rsidR="00D23ECC">
        <w:t xml:space="preserve"> </w:t>
      </w:r>
      <w:r>
        <w:t>of</w:t>
      </w:r>
      <w:r w:rsidR="00D23ECC">
        <w:t xml:space="preserve"> </w:t>
      </w:r>
      <w:r>
        <w:t>time</w:t>
      </w:r>
      <w:r w:rsidR="00D23ECC">
        <w:t xml:space="preserve"> </w:t>
      </w:r>
      <w:r>
        <w:t>for</w:t>
      </w:r>
      <w:r w:rsidR="00D23ECC">
        <w:t xml:space="preserve"> </w:t>
      </w:r>
      <w:r>
        <w:t>lodgement,</w:t>
      </w:r>
      <w:r w:rsidR="00D23ECC">
        <w:t xml:space="preserve"> </w:t>
      </w:r>
      <w:r>
        <w:t>where</w:t>
      </w:r>
      <w:r w:rsidR="00D23ECC">
        <w:t xml:space="preserve"> </w:t>
      </w:r>
      <w:r>
        <w:t>COVID-19</w:t>
      </w:r>
      <w:r w:rsidR="00D23ECC">
        <w:t xml:space="preserve"> </w:t>
      </w:r>
      <w:r>
        <w:t>has</w:t>
      </w:r>
      <w:r w:rsidR="00D23ECC">
        <w:t xml:space="preserve"> </w:t>
      </w:r>
      <w:r>
        <w:t>impacted</w:t>
      </w:r>
      <w:r w:rsidR="00D23ECC">
        <w:t xml:space="preserve"> </w:t>
      </w:r>
      <w:r>
        <w:t>on</w:t>
      </w:r>
      <w:r w:rsidR="00D23ECC">
        <w:t xml:space="preserve"> </w:t>
      </w:r>
      <w:r>
        <w:t>an</w:t>
      </w:r>
      <w:r w:rsidR="00D23ECC">
        <w:t xml:space="preserve"> </w:t>
      </w:r>
      <w:r>
        <w:t>estate</w:t>
      </w:r>
      <w:r w:rsidR="00D23ECC">
        <w:t xml:space="preserve"> </w:t>
      </w:r>
      <w:r>
        <w:t>agent</w:t>
      </w:r>
      <w:r w:rsidR="00D23ECC">
        <w:t xml:space="preserve"> </w:t>
      </w:r>
      <w:r>
        <w:t>or</w:t>
      </w:r>
      <w:r w:rsidR="00D23ECC">
        <w:t xml:space="preserve"> </w:t>
      </w:r>
      <w:r>
        <w:t>conveyancer’s</w:t>
      </w:r>
      <w:r w:rsidR="00D23ECC">
        <w:t xml:space="preserve"> </w:t>
      </w:r>
      <w:r>
        <w:t>ability</w:t>
      </w:r>
      <w:r w:rsidR="00D23ECC">
        <w:t xml:space="preserve"> </w:t>
      </w:r>
      <w:r>
        <w:t>to</w:t>
      </w:r>
      <w:r w:rsidR="00D23ECC">
        <w:t xml:space="preserve"> </w:t>
      </w:r>
      <w:r>
        <w:t>complete</w:t>
      </w:r>
      <w:r w:rsidR="00D23ECC">
        <w:t xml:space="preserve"> </w:t>
      </w:r>
      <w:r>
        <w:t>their</w:t>
      </w:r>
      <w:r w:rsidR="00D23ECC">
        <w:t xml:space="preserve"> </w:t>
      </w:r>
      <w:r>
        <w:t>trust</w:t>
      </w:r>
      <w:r w:rsidR="00D23ECC">
        <w:t xml:space="preserve"> </w:t>
      </w:r>
      <w:r>
        <w:t>account</w:t>
      </w:r>
      <w:r w:rsidR="00D23ECC">
        <w:t xml:space="preserve"> </w:t>
      </w:r>
      <w:r>
        <w:t>audit</w:t>
      </w:r>
      <w:r w:rsidR="00D23ECC">
        <w:t xml:space="preserve"> </w:t>
      </w:r>
      <w:r>
        <w:t>by</w:t>
      </w:r>
      <w:r w:rsidR="00D23ECC">
        <w:t xml:space="preserve"> </w:t>
      </w:r>
      <w:r>
        <w:t>the</w:t>
      </w:r>
      <w:r w:rsidR="00D23ECC">
        <w:t xml:space="preserve"> </w:t>
      </w:r>
      <w:r>
        <w:t>ordinary</w:t>
      </w:r>
      <w:r w:rsidR="00D23ECC">
        <w:t xml:space="preserve"> </w:t>
      </w:r>
      <w:r>
        <w:t>due</w:t>
      </w:r>
      <w:r w:rsidR="00D23ECC">
        <w:t xml:space="preserve"> </w:t>
      </w:r>
      <w:r>
        <w:t>date.</w:t>
      </w:r>
      <w:r w:rsidR="00D23ECC">
        <w:t xml:space="preserve"> </w:t>
      </w:r>
      <w:r>
        <w:t>In</w:t>
      </w:r>
      <w:r w:rsidR="00D23ECC">
        <w:t xml:space="preserve"> </w:t>
      </w:r>
      <w:r>
        <w:t>2020–21</w:t>
      </w:r>
      <w:r w:rsidR="00D23ECC">
        <w:t xml:space="preserve"> </w:t>
      </w:r>
      <w:r>
        <w:t>we</w:t>
      </w:r>
      <w:r w:rsidR="00D23ECC">
        <w:t xml:space="preserve"> </w:t>
      </w:r>
      <w:r>
        <w:t>provided</w:t>
      </w:r>
      <w:r w:rsidR="00D23ECC">
        <w:t xml:space="preserve"> </w:t>
      </w:r>
      <w:r>
        <w:t>extensions</w:t>
      </w:r>
      <w:r w:rsidR="00D23ECC">
        <w:t xml:space="preserve"> </w:t>
      </w:r>
      <w:r>
        <w:t>of</w:t>
      </w:r>
      <w:r w:rsidR="00D23ECC">
        <w:t xml:space="preserve"> </w:t>
      </w:r>
      <w:r>
        <w:t>time</w:t>
      </w:r>
      <w:r w:rsidR="00D23ECC">
        <w:t xml:space="preserve"> </w:t>
      </w:r>
      <w:r>
        <w:t>to</w:t>
      </w:r>
      <w:r w:rsidR="00D23ECC">
        <w:t xml:space="preserve"> </w:t>
      </w:r>
      <w:r>
        <w:t>many</w:t>
      </w:r>
      <w:r w:rsidR="00D23ECC">
        <w:t xml:space="preserve"> </w:t>
      </w:r>
      <w:r>
        <w:t>licensees</w:t>
      </w:r>
      <w:r w:rsidR="00D23ECC">
        <w:t xml:space="preserve"> </w:t>
      </w:r>
      <w:r>
        <w:t>in</w:t>
      </w:r>
      <w:r w:rsidR="00D23ECC">
        <w:t xml:space="preserve"> </w:t>
      </w:r>
      <w:r>
        <w:t>recognition</w:t>
      </w:r>
      <w:r w:rsidR="00D23ECC">
        <w:t xml:space="preserve"> </w:t>
      </w:r>
      <w:r>
        <w:t>of</w:t>
      </w:r>
      <w:r w:rsidR="00D23ECC">
        <w:t xml:space="preserve"> </w:t>
      </w:r>
      <w:r>
        <w:t>the</w:t>
      </w:r>
      <w:r w:rsidR="00D23ECC">
        <w:t xml:space="preserve"> </w:t>
      </w:r>
      <w:r>
        <w:t>impacts</w:t>
      </w:r>
      <w:r w:rsidR="00D23ECC">
        <w:t xml:space="preserve"> </w:t>
      </w:r>
      <w:r>
        <w:t>of</w:t>
      </w:r>
      <w:r w:rsidR="00D23ECC">
        <w:t xml:space="preserve"> </w:t>
      </w:r>
      <w:r>
        <w:t>the</w:t>
      </w:r>
      <w:r w:rsidR="00D23ECC">
        <w:t xml:space="preserve"> </w:t>
      </w:r>
      <w:r>
        <w:t>pandemic.</w:t>
      </w:r>
      <w:r w:rsidR="00D23ECC">
        <w:t xml:space="preserve"> </w:t>
      </w:r>
      <w:r>
        <w:t>However,</w:t>
      </w:r>
      <w:r w:rsidR="00D23ECC">
        <w:t xml:space="preserve"> </w:t>
      </w:r>
      <w:r>
        <w:t>completing</w:t>
      </w:r>
      <w:r w:rsidR="00D23ECC">
        <w:t xml:space="preserve"> </w:t>
      </w:r>
      <w:r>
        <w:t>and</w:t>
      </w:r>
      <w:r w:rsidR="00D23ECC">
        <w:t xml:space="preserve"> </w:t>
      </w:r>
      <w:r>
        <w:t>lodging</w:t>
      </w:r>
      <w:r w:rsidR="00D23ECC">
        <w:t xml:space="preserve"> </w:t>
      </w:r>
      <w:r>
        <w:t>an</w:t>
      </w:r>
      <w:r w:rsidR="00D23ECC">
        <w:t xml:space="preserve"> </w:t>
      </w:r>
      <w:r>
        <w:t>annual</w:t>
      </w:r>
      <w:r w:rsidR="00D23ECC">
        <w:t xml:space="preserve"> </w:t>
      </w:r>
      <w:r>
        <w:t>audit</w:t>
      </w:r>
      <w:r w:rsidR="00D23ECC">
        <w:t xml:space="preserve"> </w:t>
      </w:r>
      <w:r>
        <w:t>is</w:t>
      </w:r>
      <w:r w:rsidR="00D23ECC">
        <w:t xml:space="preserve"> </w:t>
      </w:r>
      <w:r>
        <w:t>still</w:t>
      </w:r>
      <w:r w:rsidR="002F22DF">
        <w:t> </w:t>
      </w:r>
      <w:r>
        <w:t>an</w:t>
      </w:r>
      <w:r w:rsidR="00D23ECC">
        <w:t xml:space="preserve"> </w:t>
      </w:r>
      <w:r>
        <w:t>essential</w:t>
      </w:r>
      <w:r w:rsidR="00D23ECC">
        <w:t xml:space="preserve"> </w:t>
      </w:r>
      <w:r>
        <w:t>consumer</w:t>
      </w:r>
      <w:r w:rsidR="00D23ECC">
        <w:t xml:space="preserve"> </w:t>
      </w:r>
      <w:r>
        <w:t>protection</w:t>
      </w:r>
      <w:r w:rsidR="00D23ECC">
        <w:t xml:space="preserve"> </w:t>
      </w:r>
      <w:r>
        <w:t>requirement.</w:t>
      </w:r>
      <w:r w:rsidR="00D23ECC">
        <w:t xml:space="preserve"> </w:t>
      </w:r>
      <w:r>
        <w:t>In</w:t>
      </w:r>
      <w:r w:rsidR="00D23ECC">
        <w:t xml:space="preserve"> </w:t>
      </w:r>
      <w:r>
        <w:t>2021–22</w:t>
      </w:r>
      <w:r w:rsidR="00D23ECC">
        <w:t xml:space="preserve"> </w:t>
      </w:r>
      <w:r>
        <w:t>we</w:t>
      </w:r>
      <w:r w:rsidR="00D23ECC">
        <w:t xml:space="preserve"> </w:t>
      </w:r>
      <w:r>
        <w:t>will</w:t>
      </w:r>
      <w:r w:rsidR="00D23ECC">
        <w:t xml:space="preserve"> </w:t>
      </w:r>
      <w:r>
        <w:t>continue</w:t>
      </w:r>
      <w:r w:rsidR="00D23ECC">
        <w:t xml:space="preserve"> </w:t>
      </w:r>
      <w:r>
        <w:t>to</w:t>
      </w:r>
      <w:r w:rsidR="00D23ECC">
        <w:t xml:space="preserve"> </w:t>
      </w:r>
      <w:r>
        <w:t>remind</w:t>
      </w:r>
      <w:r w:rsidR="00D23ECC">
        <w:t xml:space="preserve"> </w:t>
      </w:r>
      <w:r>
        <w:t>industry</w:t>
      </w:r>
      <w:r w:rsidR="00D23ECC">
        <w:t xml:space="preserve"> </w:t>
      </w:r>
      <w:r>
        <w:t>participants</w:t>
      </w:r>
      <w:r w:rsidR="00D23ECC">
        <w:t xml:space="preserve"> </w:t>
      </w:r>
      <w:r>
        <w:t>of</w:t>
      </w:r>
      <w:r w:rsidR="00D23ECC">
        <w:t xml:space="preserve"> </w:t>
      </w:r>
      <w:r>
        <w:t>their</w:t>
      </w:r>
      <w:r w:rsidR="00D23ECC">
        <w:t xml:space="preserve"> </w:t>
      </w:r>
      <w:r>
        <w:t>obligations</w:t>
      </w:r>
      <w:r w:rsidR="00D23ECC">
        <w:t xml:space="preserve"> </w:t>
      </w:r>
      <w:r>
        <w:t>and</w:t>
      </w:r>
      <w:r w:rsidR="00D23ECC">
        <w:t xml:space="preserve"> </w:t>
      </w:r>
      <w:r>
        <w:t>will</w:t>
      </w:r>
      <w:r w:rsidR="00D23ECC">
        <w:t xml:space="preserve"> </w:t>
      </w:r>
      <w:r>
        <w:t>take</w:t>
      </w:r>
      <w:r w:rsidR="00D23ECC">
        <w:t xml:space="preserve"> </w:t>
      </w:r>
      <w:r>
        <w:t>action</w:t>
      </w:r>
      <w:r w:rsidR="00D23ECC">
        <w:t xml:space="preserve"> </w:t>
      </w:r>
      <w:r>
        <w:t>to</w:t>
      </w:r>
      <w:r w:rsidR="00D23ECC">
        <w:t xml:space="preserve"> </w:t>
      </w:r>
      <w:r>
        <w:t>promote</w:t>
      </w:r>
      <w:r w:rsidR="00D23ECC">
        <w:t xml:space="preserve"> </w:t>
      </w:r>
      <w:r>
        <w:t>compliance</w:t>
      </w:r>
      <w:r w:rsidR="00D23ECC">
        <w:t xml:space="preserve"> </w:t>
      </w:r>
      <w:r>
        <w:t>and</w:t>
      </w:r>
      <w:r w:rsidR="00D23ECC">
        <w:t xml:space="preserve"> </w:t>
      </w:r>
      <w:r>
        <w:t>address</w:t>
      </w:r>
      <w:r w:rsidR="00D23ECC">
        <w:t xml:space="preserve"> </w:t>
      </w:r>
      <w:r>
        <w:t>non-compliance</w:t>
      </w:r>
      <w:r w:rsidR="00D23ECC">
        <w:t xml:space="preserve"> </w:t>
      </w:r>
      <w:r>
        <w:t>where</w:t>
      </w:r>
      <w:r w:rsidR="00D23ECC">
        <w:t xml:space="preserve"> </w:t>
      </w:r>
      <w:r>
        <w:t>appropriate.</w:t>
      </w:r>
    </w:p>
    <w:p w14:paraId="611761FE" w14:textId="28A73757" w:rsidR="00DE3B0D" w:rsidRDefault="00DE3B0D" w:rsidP="00AE374E">
      <w:pPr>
        <w:pStyle w:val="Heading5"/>
      </w:pPr>
      <w:r>
        <w:rPr>
          <w:color w:val="000000"/>
        </w:rPr>
        <w:t>Australian</w:t>
      </w:r>
      <w:r w:rsidR="00D23ECC">
        <w:rPr>
          <w:color w:val="000000"/>
        </w:rPr>
        <w:t xml:space="preserve"> </w:t>
      </w:r>
      <w:r>
        <w:rPr>
          <w:color w:val="000000"/>
        </w:rPr>
        <w:t>Consumer</w:t>
      </w:r>
      <w:r w:rsidR="00D23ECC">
        <w:rPr>
          <w:color w:val="000000"/>
        </w:rPr>
        <w:t xml:space="preserve"> </w:t>
      </w:r>
      <w:r>
        <w:rPr>
          <w:color w:val="000000"/>
        </w:rPr>
        <w:t>Law</w:t>
      </w:r>
      <w:r w:rsidR="00D23ECC">
        <w:rPr>
          <w:color w:val="000000"/>
        </w:rPr>
        <w:t xml:space="preserve"> </w:t>
      </w:r>
      <w:r>
        <w:rPr>
          <w:color w:val="000000"/>
        </w:rPr>
        <w:t>court</w:t>
      </w:r>
      <w:r w:rsidR="00D23ECC">
        <w:rPr>
          <w:color w:val="000000"/>
        </w:rPr>
        <w:t xml:space="preserve"> </w:t>
      </w:r>
      <w:r>
        <w:rPr>
          <w:color w:val="000000"/>
        </w:rPr>
        <w:t>outcome</w:t>
      </w:r>
      <w:r w:rsidR="00D23ECC">
        <w:rPr>
          <w:color w:val="000000"/>
        </w:rPr>
        <w:t xml:space="preserve"> </w:t>
      </w:r>
      <w:r>
        <w:rPr>
          <w:color w:val="000000"/>
        </w:rPr>
        <w:t>–</w:t>
      </w:r>
      <w:r w:rsidR="00D23ECC">
        <w:rPr>
          <w:color w:val="000000"/>
        </w:rPr>
        <w:t xml:space="preserve"> </w:t>
      </w:r>
      <w:r>
        <w:rPr>
          <w:color w:val="000000"/>
        </w:rPr>
        <w:t>Solar</w:t>
      </w:r>
      <w:r w:rsidR="00D23ECC">
        <w:rPr>
          <w:color w:val="000000"/>
        </w:rPr>
        <w:t xml:space="preserve"> </w:t>
      </w:r>
      <w:r>
        <w:rPr>
          <w:color w:val="000000"/>
        </w:rPr>
        <w:t>Vic</w:t>
      </w:r>
      <w:r w:rsidR="00D23ECC">
        <w:rPr>
          <w:color w:val="000000"/>
        </w:rPr>
        <w:t xml:space="preserve"> </w:t>
      </w:r>
      <w:r>
        <w:rPr>
          <w:color w:val="000000"/>
        </w:rPr>
        <w:t>and</w:t>
      </w:r>
      <w:r w:rsidR="00D23ECC">
        <w:rPr>
          <w:color w:val="000000"/>
        </w:rPr>
        <w:t xml:space="preserve"> </w:t>
      </w:r>
      <w:r>
        <w:rPr>
          <w:color w:val="000000"/>
        </w:rPr>
        <w:t>Sunny</w:t>
      </w:r>
      <w:r w:rsidR="00D23ECC">
        <w:rPr>
          <w:color w:val="000000"/>
        </w:rPr>
        <w:t xml:space="preserve"> </w:t>
      </w:r>
      <w:r>
        <w:rPr>
          <w:color w:val="000000"/>
        </w:rPr>
        <w:t>Srinivasan</w:t>
      </w:r>
    </w:p>
    <w:p w14:paraId="59173114" w14:textId="43518974" w:rsidR="00DE3B0D" w:rsidRDefault="00DE3B0D" w:rsidP="00D23ECC">
      <w:pPr>
        <w:pStyle w:val="BodyText"/>
      </w:pPr>
      <w:r>
        <w:t>A</w:t>
      </w:r>
      <w:r w:rsidR="00D23ECC">
        <w:t xml:space="preserve"> </w:t>
      </w:r>
      <w:r>
        <w:t>solar</w:t>
      </w:r>
      <w:r w:rsidR="00D23ECC">
        <w:t xml:space="preserve"> </w:t>
      </w:r>
      <w:r>
        <w:t>panel</w:t>
      </w:r>
      <w:r w:rsidR="00D23ECC">
        <w:t xml:space="preserve"> </w:t>
      </w:r>
      <w:r>
        <w:t>retailer</w:t>
      </w:r>
      <w:r w:rsidR="00D23ECC">
        <w:t xml:space="preserve"> </w:t>
      </w:r>
      <w:r>
        <w:t>which</w:t>
      </w:r>
      <w:r w:rsidR="00D23ECC">
        <w:t xml:space="preserve"> </w:t>
      </w:r>
      <w:r>
        <w:t>made</w:t>
      </w:r>
      <w:r w:rsidR="00D23ECC">
        <w:t xml:space="preserve"> </w:t>
      </w:r>
      <w:r>
        <w:t>misleading</w:t>
      </w:r>
      <w:r w:rsidR="00D23ECC">
        <w:t xml:space="preserve"> </w:t>
      </w:r>
      <w:r>
        <w:t>representations</w:t>
      </w:r>
      <w:r w:rsidR="00D23ECC">
        <w:t xml:space="preserve"> </w:t>
      </w:r>
      <w:r>
        <w:t>to</w:t>
      </w:r>
      <w:r w:rsidR="00D23ECC">
        <w:t xml:space="preserve"> </w:t>
      </w:r>
      <w:r>
        <w:t>consumers,</w:t>
      </w:r>
      <w:r w:rsidR="00D23ECC">
        <w:t xml:space="preserve"> </w:t>
      </w:r>
      <w:r>
        <w:t>failed</w:t>
      </w:r>
      <w:r w:rsidR="00D23ECC">
        <w:t xml:space="preserve"> </w:t>
      </w:r>
      <w:r>
        <w:t>to</w:t>
      </w:r>
      <w:r w:rsidR="00D23ECC">
        <w:t xml:space="preserve"> </w:t>
      </w:r>
      <w:r>
        <w:t>comply</w:t>
      </w:r>
      <w:r w:rsidR="00D23ECC">
        <w:t xml:space="preserve"> </w:t>
      </w:r>
      <w:r>
        <w:t>with</w:t>
      </w:r>
      <w:r w:rsidR="00D23ECC">
        <w:t xml:space="preserve"> </w:t>
      </w:r>
      <w:r>
        <w:t>legal</w:t>
      </w:r>
      <w:r w:rsidR="00D23ECC">
        <w:t xml:space="preserve"> </w:t>
      </w:r>
      <w:r>
        <w:t>protections</w:t>
      </w:r>
      <w:r w:rsidR="00D23ECC">
        <w:t xml:space="preserve"> </w:t>
      </w:r>
      <w:r>
        <w:t>for</w:t>
      </w:r>
      <w:r w:rsidR="00D23ECC">
        <w:t xml:space="preserve"> </w:t>
      </w:r>
      <w:r>
        <w:t>unsolicited</w:t>
      </w:r>
      <w:r w:rsidR="00D23ECC">
        <w:t xml:space="preserve"> </w:t>
      </w:r>
      <w:r>
        <w:t>consumer</w:t>
      </w:r>
      <w:r w:rsidR="00D23ECC">
        <w:t xml:space="preserve"> </w:t>
      </w:r>
      <w:r>
        <w:t>agreements</w:t>
      </w:r>
      <w:r w:rsidR="00D23ECC">
        <w:t xml:space="preserve"> </w:t>
      </w:r>
      <w:r>
        <w:t>and</w:t>
      </w:r>
      <w:r w:rsidR="00D23ECC">
        <w:t xml:space="preserve"> </w:t>
      </w:r>
      <w:r>
        <w:t>engaged</w:t>
      </w:r>
      <w:r w:rsidR="00D23ECC">
        <w:t xml:space="preserve"> </w:t>
      </w:r>
      <w:r>
        <w:t>in</w:t>
      </w:r>
      <w:r w:rsidR="00D23ECC">
        <w:t xml:space="preserve"> </w:t>
      </w:r>
      <w:r>
        <w:t>unconscionable</w:t>
      </w:r>
      <w:r w:rsidR="00D23ECC">
        <w:t xml:space="preserve"> </w:t>
      </w:r>
      <w:r>
        <w:t>conduct,</w:t>
      </w:r>
      <w:r w:rsidR="00D23ECC">
        <w:t xml:space="preserve"> </w:t>
      </w:r>
      <w:r>
        <w:t>among</w:t>
      </w:r>
      <w:r w:rsidR="00D23ECC">
        <w:t xml:space="preserve"> </w:t>
      </w:r>
      <w:r>
        <w:t>other</w:t>
      </w:r>
      <w:r w:rsidR="00D23ECC">
        <w:t xml:space="preserve"> </w:t>
      </w:r>
      <w:r>
        <w:t>breaches</w:t>
      </w:r>
      <w:r w:rsidR="00D23ECC">
        <w:t xml:space="preserve"> </w:t>
      </w:r>
      <w:r>
        <w:t>of</w:t>
      </w:r>
      <w:r w:rsidR="00D23ECC">
        <w:t xml:space="preserve"> </w:t>
      </w:r>
      <w:r>
        <w:t>the</w:t>
      </w:r>
      <w:r w:rsidR="00D23ECC">
        <w:t xml:space="preserve"> </w:t>
      </w:r>
      <w:r>
        <w:t>Australian</w:t>
      </w:r>
      <w:r w:rsidR="00D23ECC">
        <w:t xml:space="preserve"> </w:t>
      </w:r>
      <w:r>
        <w:t>Consumer</w:t>
      </w:r>
      <w:r w:rsidR="00D23ECC">
        <w:t xml:space="preserve"> </w:t>
      </w:r>
      <w:r>
        <w:t>Law</w:t>
      </w:r>
      <w:r w:rsidR="00D23ECC">
        <w:t xml:space="preserve"> </w:t>
      </w:r>
      <w:r>
        <w:t>(ACL),</w:t>
      </w:r>
      <w:r w:rsidR="00D23ECC">
        <w:t xml:space="preserve"> </w:t>
      </w:r>
      <w:r>
        <w:t>was</w:t>
      </w:r>
      <w:r w:rsidR="00D23ECC">
        <w:t xml:space="preserve"> </w:t>
      </w:r>
      <w:r>
        <w:t>fined</w:t>
      </w:r>
      <w:r w:rsidR="00D23ECC">
        <w:t xml:space="preserve"> </w:t>
      </w:r>
      <w:r>
        <w:t>$3</w:t>
      </w:r>
      <w:r w:rsidR="00D23ECC">
        <w:t xml:space="preserve"> </w:t>
      </w:r>
      <w:r>
        <w:t>million</w:t>
      </w:r>
      <w:r w:rsidR="00D23ECC">
        <w:t xml:space="preserve"> </w:t>
      </w:r>
      <w:r>
        <w:t>in</w:t>
      </w:r>
      <w:r w:rsidR="00D23ECC">
        <w:t xml:space="preserve"> </w:t>
      </w:r>
      <w:r>
        <w:t>the</w:t>
      </w:r>
      <w:r w:rsidR="00D23ECC">
        <w:t xml:space="preserve"> </w:t>
      </w:r>
      <w:r>
        <w:t>Federal</w:t>
      </w:r>
      <w:r w:rsidR="00D23ECC">
        <w:t xml:space="preserve"> </w:t>
      </w:r>
      <w:r>
        <w:t>Court,</w:t>
      </w:r>
      <w:r w:rsidR="00D23ECC">
        <w:t xml:space="preserve"> </w:t>
      </w:r>
      <w:r>
        <w:t>and</w:t>
      </w:r>
      <w:r w:rsidR="00D23ECC">
        <w:t xml:space="preserve"> </w:t>
      </w:r>
      <w:r>
        <w:t>its</w:t>
      </w:r>
      <w:r w:rsidR="00D23ECC">
        <w:t xml:space="preserve"> </w:t>
      </w:r>
      <w:r>
        <w:t>director</w:t>
      </w:r>
      <w:r w:rsidR="00D23ECC">
        <w:t xml:space="preserve"> </w:t>
      </w:r>
      <w:r>
        <w:t>ordered</w:t>
      </w:r>
      <w:r w:rsidR="00D23ECC">
        <w:t xml:space="preserve"> </w:t>
      </w:r>
      <w:r>
        <w:t>to</w:t>
      </w:r>
      <w:r w:rsidR="00D23ECC">
        <w:t xml:space="preserve"> </w:t>
      </w:r>
      <w:r>
        <w:t>pay</w:t>
      </w:r>
      <w:r w:rsidR="00D23ECC">
        <w:t xml:space="preserve"> </w:t>
      </w:r>
      <w:r>
        <w:t>$450,000.</w:t>
      </w:r>
    </w:p>
    <w:p w14:paraId="69C2A401" w14:textId="33CBBCAF" w:rsidR="00DE3B0D" w:rsidRDefault="00DE3B0D" w:rsidP="00D23ECC">
      <w:pPr>
        <w:pStyle w:val="BodyText"/>
      </w:pPr>
      <w:r>
        <w:t>The</w:t>
      </w:r>
      <w:r w:rsidR="00D23ECC">
        <w:t xml:space="preserve"> </w:t>
      </w:r>
      <w:r>
        <w:t>company,</w:t>
      </w:r>
      <w:r w:rsidR="00D23ECC">
        <w:t xml:space="preserve"> </w:t>
      </w:r>
      <w:r>
        <w:t>Vic</w:t>
      </w:r>
      <w:r w:rsidR="00D23ECC">
        <w:t xml:space="preserve"> </w:t>
      </w:r>
      <w:r>
        <w:t>Solar</w:t>
      </w:r>
      <w:r w:rsidR="00D23ECC">
        <w:t xml:space="preserve"> </w:t>
      </w:r>
      <w:r>
        <w:t>Technologies</w:t>
      </w:r>
      <w:r w:rsidR="00D23ECC">
        <w:t xml:space="preserve"> </w:t>
      </w:r>
      <w:r>
        <w:t>Pty</w:t>
      </w:r>
      <w:r w:rsidR="00D23ECC">
        <w:t xml:space="preserve"> </w:t>
      </w:r>
      <w:r>
        <w:t>Ltd</w:t>
      </w:r>
      <w:r w:rsidR="00D23ECC">
        <w:t xml:space="preserve"> </w:t>
      </w:r>
      <w:r>
        <w:t>(ACN:</w:t>
      </w:r>
      <w:r w:rsidR="00D23ECC">
        <w:t xml:space="preserve"> </w:t>
      </w:r>
      <w:r>
        <w:t>160</w:t>
      </w:r>
      <w:r w:rsidR="00D23ECC">
        <w:t xml:space="preserve"> </w:t>
      </w:r>
      <w:r>
        <w:t>835</w:t>
      </w:r>
      <w:r w:rsidR="00D23ECC">
        <w:t xml:space="preserve"> </w:t>
      </w:r>
      <w:r>
        <w:t>941)</w:t>
      </w:r>
      <w:r w:rsidR="00D23ECC">
        <w:t xml:space="preserve"> </w:t>
      </w:r>
      <w:r>
        <w:t>(Vic</w:t>
      </w:r>
      <w:r w:rsidR="00D23ECC">
        <w:t xml:space="preserve"> </w:t>
      </w:r>
      <w:r>
        <w:t>Solar)</w:t>
      </w:r>
      <w:r w:rsidR="00D23ECC">
        <w:t xml:space="preserve"> </w:t>
      </w:r>
      <w:r>
        <w:t>contravened</w:t>
      </w:r>
      <w:r w:rsidR="00D23ECC">
        <w:t xml:space="preserve"> </w:t>
      </w:r>
      <w:r>
        <w:t>the</w:t>
      </w:r>
      <w:r w:rsidR="00D23ECC">
        <w:t xml:space="preserve"> </w:t>
      </w:r>
      <w:r>
        <w:t>ACL</w:t>
      </w:r>
      <w:r w:rsidR="00D23ECC">
        <w:t xml:space="preserve"> </w:t>
      </w:r>
      <w:r>
        <w:t>in</w:t>
      </w:r>
      <w:r w:rsidR="00D23ECC">
        <w:t xml:space="preserve"> </w:t>
      </w:r>
      <w:r>
        <w:t>relation</w:t>
      </w:r>
      <w:r w:rsidR="00D23ECC">
        <w:t xml:space="preserve"> </w:t>
      </w:r>
      <w:r>
        <w:t>to</w:t>
      </w:r>
      <w:r w:rsidR="00D23ECC">
        <w:t xml:space="preserve"> </w:t>
      </w:r>
      <w:r>
        <w:t>4,300</w:t>
      </w:r>
      <w:r w:rsidR="00D23ECC">
        <w:t xml:space="preserve"> </w:t>
      </w:r>
      <w:r>
        <w:t>consumer</w:t>
      </w:r>
      <w:r w:rsidR="00D23ECC">
        <w:t xml:space="preserve"> </w:t>
      </w:r>
      <w:r>
        <w:t>contracts.</w:t>
      </w:r>
    </w:p>
    <w:p w14:paraId="6B1AAF19" w14:textId="12CD9027" w:rsidR="00DE3B0D" w:rsidRDefault="00DE3B0D" w:rsidP="00D23ECC">
      <w:pPr>
        <w:pStyle w:val="BodyText"/>
      </w:pPr>
      <w:r>
        <w:t>Vic</w:t>
      </w:r>
      <w:r w:rsidR="00D23ECC">
        <w:t xml:space="preserve"> </w:t>
      </w:r>
      <w:r>
        <w:t>Solar</w:t>
      </w:r>
      <w:r w:rsidR="00D23ECC">
        <w:t xml:space="preserve"> </w:t>
      </w:r>
      <w:r>
        <w:t>used</w:t>
      </w:r>
      <w:r w:rsidR="00D23ECC">
        <w:t xml:space="preserve"> </w:t>
      </w:r>
      <w:r>
        <w:t>marketing</w:t>
      </w:r>
      <w:r w:rsidR="00D23ECC">
        <w:t xml:space="preserve"> </w:t>
      </w:r>
      <w:r>
        <w:t>companies</w:t>
      </w:r>
      <w:r w:rsidR="00D23ECC">
        <w:t xml:space="preserve"> </w:t>
      </w:r>
      <w:r>
        <w:t>(known</w:t>
      </w:r>
      <w:r w:rsidR="00D23ECC">
        <w:t xml:space="preserve"> </w:t>
      </w:r>
      <w:r>
        <w:t>as</w:t>
      </w:r>
      <w:r w:rsidR="00D23ECC">
        <w:t xml:space="preserve"> </w:t>
      </w:r>
      <w:r>
        <w:t>lead</w:t>
      </w:r>
      <w:r w:rsidR="00D23ECC">
        <w:t xml:space="preserve"> </w:t>
      </w:r>
      <w:r>
        <w:t>generators)</w:t>
      </w:r>
      <w:r w:rsidR="00D23ECC">
        <w:t xml:space="preserve"> </w:t>
      </w:r>
      <w:r>
        <w:t>to</w:t>
      </w:r>
      <w:r w:rsidR="00D23ECC">
        <w:t xml:space="preserve"> </w:t>
      </w:r>
      <w:r>
        <w:t>try</w:t>
      </w:r>
      <w:r w:rsidR="00D23ECC">
        <w:t xml:space="preserve"> </w:t>
      </w:r>
      <w:r>
        <w:t>to</w:t>
      </w:r>
      <w:r w:rsidR="00D23ECC">
        <w:t xml:space="preserve"> </w:t>
      </w:r>
      <w:r>
        <w:t>get</w:t>
      </w:r>
      <w:r w:rsidR="00D23ECC">
        <w:t xml:space="preserve"> </w:t>
      </w:r>
      <w:r>
        <w:t>around</w:t>
      </w:r>
      <w:r w:rsidR="00D23ECC">
        <w:t xml:space="preserve"> </w:t>
      </w:r>
      <w:r>
        <w:t>requirements</w:t>
      </w:r>
      <w:r w:rsidR="00D23ECC">
        <w:t xml:space="preserve"> </w:t>
      </w:r>
      <w:r>
        <w:t>within</w:t>
      </w:r>
      <w:r w:rsidR="00D23ECC">
        <w:t xml:space="preserve"> </w:t>
      </w:r>
      <w:r>
        <w:t>the</w:t>
      </w:r>
      <w:r w:rsidR="00D23ECC">
        <w:t xml:space="preserve"> </w:t>
      </w:r>
      <w:r>
        <w:t>ACL</w:t>
      </w:r>
      <w:r w:rsidR="00D23ECC">
        <w:t xml:space="preserve"> </w:t>
      </w:r>
      <w:r>
        <w:t>relating</w:t>
      </w:r>
      <w:r w:rsidR="00D23ECC">
        <w:t xml:space="preserve"> </w:t>
      </w:r>
      <w:r>
        <w:t>to</w:t>
      </w:r>
      <w:r w:rsidR="00D23ECC">
        <w:t xml:space="preserve"> </w:t>
      </w:r>
      <w:r>
        <w:t>unsolicited</w:t>
      </w:r>
      <w:r w:rsidR="00D23ECC">
        <w:t xml:space="preserve"> </w:t>
      </w:r>
      <w:r>
        <w:t>consumer</w:t>
      </w:r>
      <w:r w:rsidR="00D23ECC">
        <w:t xml:space="preserve"> </w:t>
      </w:r>
      <w:r>
        <w:t>contracts,</w:t>
      </w:r>
      <w:r w:rsidR="00D23ECC">
        <w:t xml:space="preserve"> </w:t>
      </w:r>
      <w:r>
        <w:t>such</w:t>
      </w:r>
      <w:r w:rsidR="00D23ECC">
        <w:t xml:space="preserve"> </w:t>
      </w:r>
      <w:r>
        <w:t>as</w:t>
      </w:r>
      <w:r w:rsidR="00D23ECC">
        <w:t xml:space="preserve"> </w:t>
      </w:r>
      <w:r>
        <w:t>door-to-door</w:t>
      </w:r>
      <w:r w:rsidR="00D23ECC">
        <w:t xml:space="preserve"> </w:t>
      </w:r>
      <w:r>
        <w:t>sales</w:t>
      </w:r>
      <w:r w:rsidR="00D23ECC">
        <w:t xml:space="preserve"> </w:t>
      </w:r>
      <w:r>
        <w:t>or</w:t>
      </w:r>
      <w:r w:rsidR="00D23ECC">
        <w:t xml:space="preserve"> </w:t>
      </w:r>
      <w:r>
        <w:t>telemarketing</w:t>
      </w:r>
      <w:r w:rsidR="00D23ECC">
        <w:t xml:space="preserve"> </w:t>
      </w:r>
      <w:r>
        <w:t>agreements.</w:t>
      </w:r>
      <w:r w:rsidR="00D23ECC">
        <w:t xml:space="preserve"> </w:t>
      </w:r>
      <w:r>
        <w:t>The</w:t>
      </w:r>
      <w:r w:rsidR="00D23ECC">
        <w:t xml:space="preserve"> </w:t>
      </w:r>
      <w:r>
        <w:t>lead</w:t>
      </w:r>
      <w:r w:rsidR="00D23ECC">
        <w:t xml:space="preserve"> </w:t>
      </w:r>
      <w:r>
        <w:t>generators</w:t>
      </w:r>
      <w:r w:rsidR="00D23ECC">
        <w:t xml:space="preserve"> </w:t>
      </w:r>
      <w:r>
        <w:t>knocked</w:t>
      </w:r>
      <w:r w:rsidR="00D23ECC">
        <w:t xml:space="preserve"> </w:t>
      </w:r>
      <w:r>
        <w:t>on</w:t>
      </w:r>
      <w:r w:rsidR="00D23ECC">
        <w:t xml:space="preserve"> </w:t>
      </w:r>
      <w:r>
        <w:t>home-owners’</w:t>
      </w:r>
      <w:r w:rsidR="00D23ECC">
        <w:t xml:space="preserve"> </w:t>
      </w:r>
      <w:r>
        <w:t>doors,</w:t>
      </w:r>
      <w:r w:rsidR="00D23ECC">
        <w:t xml:space="preserve"> </w:t>
      </w:r>
      <w:r>
        <w:t>advertised</w:t>
      </w:r>
      <w:r w:rsidR="00D23ECC">
        <w:t xml:space="preserve"> </w:t>
      </w:r>
      <w:r>
        <w:t>a</w:t>
      </w:r>
      <w:r w:rsidR="00D23ECC">
        <w:t xml:space="preserve"> </w:t>
      </w:r>
      <w:r>
        <w:t>false</w:t>
      </w:r>
      <w:r w:rsidR="00D23ECC">
        <w:t xml:space="preserve"> </w:t>
      </w:r>
      <w:r>
        <w:t>‘community</w:t>
      </w:r>
      <w:r w:rsidR="00D23ECC">
        <w:t xml:space="preserve"> </w:t>
      </w:r>
      <w:r>
        <w:t>bulk-buy’</w:t>
      </w:r>
      <w:r w:rsidR="00D23ECC">
        <w:t xml:space="preserve"> </w:t>
      </w:r>
      <w:r>
        <w:t>of</w:t>
      </w:r>
      <w:r w:rsidR="00D23ECC">
        <w:t xml:space="preserve"> </w:t>
      </w:r>
      <w:r>
        <w:t>solar</w:t>
      </w:r>
      <w:r w:rsidR="00D23ECC">
        <w:t xml:space="preserve"> </w:t>
      </w:r>
      <w:r>
        <w:t>photovoltaic</w:t>
      </w:r>
      <w:r w:rsidR="00D23ECC">
        <w:t xml:space="preserve"> </w:t>
      </w:r>
      <w:r>
        <w:t>systems</w:t>
      </w:r>
      <w:r w:rsidR="00D23ECC">
        <w:t xml:space="preserve"> </w:t>
      </w:r>
      <w:r>
        <w:t>and</w:t>
      </w:r>
      <w:r w:rsidR="00D23ECC">
        <w:t xml:space="preserve"> </w:t>
      </w:r>
      <w:r>
        <w:t>used</w:t>
      </w:r>
      <w:r w:rsidR="00D23ECC">
        <w:t xml:space="preserve"> </w:t>
      </w:r>
      <w:r>
        <w:t>the</w:t>
      </w:r>
      <w:r w:rsidR="00D23ECC">
        <w:t xml:space="preserve"> </w:t>
      </w:r>
      <w:r>
        <w:t>details</w:t>
      </w:r>
      <w:r w:rsidR="00D23ECC">
        <w:t xml:space="preserve"> </w:t>
      </w:r>
      <w:r>
        <w:t>of</w:t>
      </w:r>
      <w:r w:rsidR="00D23ECC">
        <w:t xml:space="preserve"> </w:t>
      </w:r>
      <w:r>
        <w:t>those</w:t>
      </w:r>
      <w:r w:rsidR="00D23ECC">
        <w:t xml:space="preserve"> </w:t>
      </w:r>
      <w:r>
        <w:t>who</w:t>
      </w:r>
      <w:r w:rsidR="00D23ECC">
        <w:t xml:space="preserve"> </w:t>
      </w:r>
      <w:r>
        <w:t>registered</w:t>
      </w:r>
      <w:r w:rsidR="00D23ECC">
        <w:t xml:space="preserve"> </w:t>
      </w:r>
      <w:r>
        <w:t>interest</w:t>
      </w:r>
      <w:r w:rsidR="00D23ECC">
        <w:t xml:space="preserve"> </w:t>
      </w:r>
      <w:r>
        <w:t>to</w:t>
      </w:r>
      <w:r w:rsidR="00D23ECC">
        <w:t xml:space="preserve"> </w:t>
      </w:r>
      <w:r>
        <w:t>engage</w:t>
      </w:r>
      <w:r w:rsidR="00D23ECC">
        <w:t xml:space="preserve"> </w:t>
      </w:r>
      <w:r>
        <w:t>in</w:t>
      </w:r>
      <w:r w:rsidR="00D23ECC">
        <w:t xml:space="preserve"> </w:t>
      </w:r>
      <w:r>
        <w:t>door-to-door</w:t>
      </w:r>
      <w:r w:rsidR="00D23ECC">
        <w:t xml:space="preserve"> </w:t>
      </w:r>
      <w:r>
        <w:t>sales.</w:t>
      </w:r>
    </w:p>
    <w:p w14:paraId="79BC5222" w14:textId="3F319FFD" w:rsidR="00DE3B0D" w:rsidRDefault="00DE3B0D" w:rsidP="00D23ECC">
      <w:pPr>
        <w:pStyle w:val="BodyText"/>
      </w:pPr>
      <w:r>
        <w:lastRenderedPageBreak/>
        <w:t>As</w:t>
      </w:r>
      <w:r w:rsidR="00D23ECC">
        <w:t xml:space="preserve"> </w:t>
      </w:r>
      <w:r>
        <w:t>well</w:t>
      </w:r>
      <w:r w:rsidR="00D23ECC">
        <w:t xml:space="preserve"> </w:t>
      </w:r>
      <w:r>
        <w:t>as</w:t>
      </w:r>
      <w:r w:rsidR="00D23ECC">
        <w:t xml:space="preserve"> </w:t>
      </w:r>
      <w:r>
        <w:t>the</w:t>
      </w:r>
      <w:r w:rsidR="00D23ECC">
        <w:t xml:space="preserve"> </w:t>
      </w:r>
      <w:r>
        <w:t>financial</w:t>
      </w:r>
      <w:r w:rsidR="00D23ECC">
        <w:t xml:space="preserve"> </w:t>
      </w:r>
      <w:r>
        <w:t>penalty,</w:t>
      </w:r>
      <w:r w:rsidR="00D23ECC">
        <w:t xml:space="preserve"> </w:t>
      </w:r>
      <w:r>
        <w:t>Vic</w:t>
      </w:r>
      <w:r w:rsidR="00D23ECC">
        <w:t xml:space="preserve"> </w:t>
      </w:r>
      <w:r>
        <w:t>Solar’s</w:t>
      </w:r>
      <w:r w:rsidR="00D23ECC">
        <w:t xml:space="preserve"> </w:t>
      </w:r>
      <w:r>
        <w:t>Director,</w:t>
      </w:r>
      <w:r w:rsidR="00D23ECC">
        <w:t xml:space="preserve"> </w:t>
      </w:r>
      <w:r>
        <w:t>31-year-old</w:t>
      </w:r>
      <w:r w:rsidR="00D23ECC">
        <w:t xml:space="preserve"> </w:t>
      </w:r>
      <w:r>
        <w:t>Sunny</w:t>
      </w:r>
      <w:r w:rsidR="00D23ECC">
        <w:t xml:space="preserve"> </w:t>
      </w:r>
      <w:r>
        <w:t>Srinivasan</w:t>
      </w:r>
      <w:r w:rsidR="00D23ECC">
        <w:t xml:space="preserve"> </w:t>
      </w:r>
      <w:r>
        <w:t>of</w:t>
      </w:r>
      <w:r w:rsidR="00D23ECC">
        <w:t xml:space="preserve"> </w:t>
      </w:r>
      <w:r>
        <w:t>Southbank,</w:t>
      </w:r>
      <w:r w:rsidR="00D23ECC">
        <w:t xml:space="preserve"> </w:t>
      </w:r>
      <w:r>
        <w:t>was</w:t>
      </w:r>
      <w:r w:rsidR="00D23ECC">
        <w:t xml:space="preserve"> </w:t>
      </w:r>
      <w:r>
        <w:t>banned</w:t>
      </w:r>
      <w:r w:rsidR="00D23ECC">
        <w:t xml:space="preserve"> </w:t>
      </w:r>
      <w:r>
        <w:t>from</w:t>
      </w:r>
      <w:r w:rsidR="00D23ECC">
        <w:t xml:space="preserve"> </w:t>
      </w:r>
      <w:r>
        <w:t>being</w:t>
      </w:r>
      <w:r w:rsidR="00D23ECC">
        <w:t xml:space="preserve"> </w:t>
      </w:r>
      <w:r>
        <w:t>a</w:t>
      </w:r>
      <w:r w:rsidR="00D23ECC">
        <w:t xml:space="preserve"> </w:t>
      </w:r>
      <w:r>
        <w:t>company</w:t>
      </w:r>
      <w:r w:rsidR="00D23ECC">
        <w:t xml:space="preserve"> </w:t>
      </w:r>
      <w:r>
        <w:t>director</w:t>
      </w:r>
      <w:r w:rsidR="00D23ECC">
        <w:t xml:space="preserve"> </w:t>
      </w:r>
      <w:r>
        <w:t>for</w:t>
      </w:r>
      <w:r w:rsidR="00D23ECC">
        <w:t xml:space="preserve"> </w:t>
      </w:r>
      <w:r>
        <w:t>five</w:t>
      </w:r>
      <w:r w:rsidR="00D23ECC">
        <w:t xml:space="preserve"> </w:t>
      </w:r>
      <w:r>
        <w:t>years.</w:t>
      </w:r>
    </w:p>
    <w:p w14:paraId="48A7CC86" w14:textId="77777777" w:rsidR="00DE3B0D" w:rsidRDefault="00DE3B0D" w:rsidP="00AE374E">
      <w:pPr>
        <w:pStyle w:val="Heading5"/>
      </w:pPr>
      <w:bookmarkStart w:id="22" w:name="_Underquoting"/>
      <w:bookmarkStart w:id="23" w:name="_Ref85883517"/>
      <w:bookmarkEnd w:id="22"/>
      <w:r>
        <w:rPr>
          <w:color w:val="000000"/>
        </w:rPr>
        <w:t>Underquoting</w:t>
      </w:r>
      <w:bookmarkEnd w:id="23"/>
    </w:p>
    <w:p w14:paraId="685E195A" w14:textId="2DDF1F2C" w:rsidR="00DE3B0D" w:rsidRDefault="00DE3B0D" w:rsidP="00D23ECC">
      <w:pPr>
        <w:pStyle w:val="BodyText"/>
      </w:pPr>
      <w:r>
        <w:t>This</w:t>
      </w:r>
      <w:r w:rsidR="00D23ECC">
        <w:t xml:space="preserve"> </w:t>
      </w:r>
      <w:r>
        <w:t>year,</w:t>
      </w:r>
      <w:r w:rsidR="00D23ECC">
        <w:t xml:space="preserve"> </w:t>
      </w:r>
      <w:r>
        <w:t>the</w:t>
      </w:r>
      <w:r w:rsidR="00D23ECC">
        <w:t xml:space="preserve"> </w:t>
      </w:r>
      <w:r>
        <w:t>COVID-19</w:t>
      </w:r>
      <w:r w:rsidR="00D23ECC">
        <w:t xml:space="preserve"> </w:t>
      </w:r>
      <w:r>
        <w:t>pandemic</w:t>
      </w:r>
      <w:r w:rsidR="00D23ECC">
        <w:t xml:space="preserve"> </w:t>
      </w:r>
      <w:r>
        <w:t>resulted</w:t>
      </w:r>
      <w:r w:rsidR="00D23ECC">
        <w:t xml:space="preserve"> </w:t>
      </w:r>
      <w:r>
        <w:t>in</w:t>
      </w:r>
      <w:r w:rsidR="00D23ECC">
        <w:t xml:space="preserve"> </w:t>
      </w:r>
      <w:r>
        <w:t>unusual</w:t>
      </w:r>
      <w:r w:rsidR="00D23ECC">
        <w:t xml:space="preserve"> </w:t>
      </w:r>
      <w:r>
        <w:t>conditions</w:t>
      </w:r>
      <w:r w:rsidR="00D23ECC">
        <w:t xml:space="preserve"> </w:t>
      </w:r>
      <w:r>
        <w:t>in</w:t>
      </w:r>
      <w:r w:rsidR="00D23ECC">
        <w:t xml:space="preserve"> </w:t>
      </w:r>
      <w:r>
        <w:t>the</w:t>
      </w:r>
      <w:r w:rsidR="00D23ECC">
        <w:t xml:space="preserve"> </w:t>
      </w:r>
      <w:r>
        <w:t>Victorian</w:t>
      </w:r>
      <w:r w:rsidR="00D23ECC">
        <w:t xml:space="preserve"> </w:t>
      </w:r>
      <w:r>
        <w:t>property</w:t>
      </w:r>
      <w:r w:rsidR="00D23ECC">
        <w:t xml:space="preserve"> </w:t>
      </w:r>
      <w:r>
        <w:t>market</w:t>
      </w:r>
      <w:r w:rsidR="00D23ECC">
        <w:t xml:space="preserve"> </w:t>
      </w:r>
      <w:r>
        <w:t>which</w:t>
      </w:r>
      <w:r w:rsidR="00D23ECC">
        <w:t xml:space="preserve"> </w:t>
      </w:r>
      <w:r>
        <w:t>saw</w:t>
      </w:r>
      <w:r w:rsidR="00D23ECC">
        <w:t xml:space="preserve"> </w:t>
      </w:r>
      <w:r>
        <w:t>an</w:t>
      </w:r>
      <w:r w:rsidR="00D23ECC">
        <w:t xml:space="preserve"> </w:t>
      </w:r>
      <w:r>
        <w:t>increase</w:t>
      </w:r>
      <w:r w:rsidR="00D23ECC">
        <w:t xml:space="preserve"> </w:t>
      </w:r>
      <w:r>
        <w:t>in</w:t>
      </w:r>
      <w:r w:rsidR="00D23ECC">
        <w:t xml:space="preserve"> </w:t>
      </w:r>
      <w:r>
        <w:t>reports</w:t>
      </w:r>
      <w:r w:rsidR="00D23ECC">
        <w:t xml:space="preserve"> </w:t>
      </w:r>
      <w:r>
        <w:t>of</w:t>
      </w:r>
      <w:r w:rsidR="00D23ECC">
        <w:t xml:space="preserve"> </w:t>
      </w:r>
      <w:r>
        <w:t>underquoting.</w:t>
      </w:r>
      <w:r w:rsidR="00D23ECC">
        <w:t xml:space="preserve"> </w:t>
      </w:r>
      <w:r>
        <w:t>We</w:t>
      </w:r>
      <w:r w:rsidR="00D23ECC">
        <w:t xml:space="preserve"> </w:t>
      </w:r>
      <w:r>
        <w:t>responded</w:t>
      </w:r>
      <w:r w:rsidR="00D23ECC">
        <w:t xml:space="preserve"> </w:t>
      </w:r>
      <w:r>
        <w:t>by</w:t>
      </w:r>
      <w:r w:rsidR="00D23ECC">
        <w:t xml:space="preserve"> </w:t>
      </w:r>
      <w:r>
        <w:t>making</w:t>
      </w:r>
      <w:r w:rsidR="00D23ECC">
        <w:t xml:space="preserve"> </w:t>
      </w:r>
      <w:r>
        <w:t>unannounced</w:t>
      </w:r>
      <w:r w:rsidR="00D23ECC">
        <w:t xml:space="preserve"> </w:t>
      </w:r>
      <w:r>
        <w:t>visits</w:t>
      </w:r>
      <w:r w:rsidR="00D23ECC">
        <w:t xml:space="preserve"> </w:t>
      </w:r>
      <w:r>
        <w:t>to</w:t>
      </w:r>
      <w:r w:rsidR="00D23ECC">
        <w:t xml:space="preserve"> </w:t>
      </w:r>
      <w:r>
        <w:t>29</w:t>
      </w:r>
      <w:r w:rsidR="009A5322">
        <w:t> </w:t>
      </w:r>
      <w:r>
        <w:t>metropolitan</w:t>
      </w:r>
      <w:r w:rsidR="00D23ECC">
        <w:t xml:space="preserve"> </w:t>
      </w:r>
      <w:r>
        <w:t>and</w:t>
      </w:r>
      <w:r w:rsidR="00D23ECC">
        <w:t xml:space="preserve"> </w:t>
      </w:r>
      <w:r>
        <w:t>regional</w:t>
      </w:r>
      <w:r w:rsidR="00D23ECC">
        <w:t xml:space="preserve"> </w:t>
      </w:r>
      <w:r>
        <w:t>estate</w:t>
      </w:r>
      <w:r w:rsidR="00D23ECC">
        <w:t xml:space="preserve"> </w:t>
      </w:r>
      <w:r>
        <w:t>agent</w:t>
      </w:r>
      <w:r w:rsidR="00D23ECC">
        <w:t xml:space="preserve"> </w:t>
      </w:r>
      <w:r>
        <w:t>offices</w:t>
      </w:r>
      <w:r w:rsidR="00D23ECC">
        <w:t xml:space="preserve"> </w:t>
      </w:r>
      <w:r>
        <w:t>to</w:t>
      </w:r>
      <w:r w:rsidR="00D23ECC">
        <w:t xml:space="preserve"> </w:t>
      </w:r>
      <w:r>
        <w:t>monitor</w:t>
      </w:r>
      <w:r w:rsidR="00D23ECC">
        <w:t xml:space="preserve"> </w:t>
      </w:r>
      <w:r>
        <w:t>their</w:t>
      </w:r>
      <w:r w:rsidR="00D23ECC">
        <w:t xml:space="preserve"> </w:t>
      </w:r>
      <w:r>
        <w:t>compliance</w:t>
      </w:r>
      <w:r w:rsidR="00D23ECC">
        <w:t xml:space="preserve"> </w:t>
      </w:r>
      <w:r>
        <w:t>with</w:t>
      </w:r>
      <w:r w:rsidR="00D23ECC">
        <w:t xml:space="preserve"> </w:t>
      </w:r>
      <w:r>
        <w:t>underquoting</w:t>
      </w:r>
      <w:r w:rsidR="00D23ECC">
        <w:t xml:space="preserve"> </w:t>
      </w:r>
      <w:r>
        <w:t>laws.</w:t>
      </w:r>
      <w:r w:rsidR="00D23ECC">
        <w:t xml:space="preserve"> </w:t>
      </w:r>
      <w:r>
        <w:t>We</w:t>
      </w:r>
      <w:r w:rsidR="00D23ECC">
        <w:t xml:space="preserve"> </w:t>
      </w:r>
      <w:r>
        <w:t>are</w:t>
      </w:r>
      <w:r w:rsidR="00D23ECC">
        <w:t xml:space="preserve"> </w:t>
      </w:r>
      <w:r>
        <w:t>undertaking</w:t>
      </w:r>
      <w:r w:rsidR="00D23ECC">
        <w:t xml:space="preserve"> </w:t>
      </w:r>
      <w:r>
        <w:t>a</w:t>
      </w:r>
      <w:r w:rsidR="00D23ECC">
        <w:t xml:space="preserve"> </w:t>
      </w:r>
      <w:r>
        <w:t>detailed</w:t>
      </w:r>
      <w:r w:rsidR="00D23ECC">
        <w:t xml:space="preserve"> </w:t>
      </w:r>
      <w:r>
        <w:t>analysis</w:t>
      </w:r>
      <w:r w:rsidR="00D23ECC">
        <w:t xml:space="preserve"> </w:t>
      </w:r>
      <w:r>
        <w:t>of</w:t>
      </w:r>
      <w:r w:rsidR="00D23ECC">
        <w:t xml:space="preserve"> </w:t>
      </w:r>
      <w:r>
        <w:t>the</w:t>
      </w:r>
      <w:r w:rsidR="00D23ECC">
        <w:t xml:space="preserve"> </w:t>
      </w:r>
      <w:r>
        <w:t>sales</w:t>
      </w:r>
      <w:r w:rsidR="00D23ECC">
        <w:t xml:space="preserve"> </w:t>
      </w:r>
      <w:r>
        <w:t>files</w:t>
      </w:r>
      <w:r w:rsidR="00D23ECC">
        <w:t xml:space="preserve"> </w:t>
      </w:r>
      <w:r>
        <w:t>obtained</w:t>
      </w:r>
      <w:r w:rsidR="00D23ECC">
        <w:t xml:space="preserve"> </w:t>
      </w:r>
      <w:r>
        <w:t>from</w:t>
      </w:r>
      <w:r w:rsidR="00D23ECC">
        <w:t xml:space="preserve"> </w:t>
      </w:r>
      <w:r>
        <w:t>those</w:t>
      </w:r>
      <w:r w:rsidR="00D23ECC">
        <w:t xml:space="preserve"> </w:t>
      </w:r>
      <w:r>
        <w:t>visits</w:t>
      </w:r>
      <w:r w:rsidR="00D23ECC">
        <w:t xml:space="preserve"> </w:t>
      </w:r>
      <w:r>
        <w:t>and</w:t>
      </w:r>
      <w:r w:rsidR="00D23ECC">
        <w:t xml:space="preserve"> </w:t>
      </w:r>
      <w:r>
        <w:t>will</w:t>
      </w:r>
      <w:r w:rsidR="00D23ECC">
        <w:t xml:space="preserve"> </w:t>
      </w:r>
      <w:r>
        <w:t>take</w:t>
      </w:r>
      <w:r w:rsidR="00D23ECC">
        <w:t xml:space="preserve"> </w:t>
      </w:r>
      <w:r>
        <w:t>further</w:t>
      </w:r>
      <w:r w:rsidR="00D23ECC">
        <w:t xml:space="preserve"> </w:t>
      </w:r>
      <w:r>
        <w:t>action</w:t>
      </w:r>
      <w:r w:rsidR="00D23ECC">
        <w:t xml:space="preserve"> </w:t>
      </w:r>
      <w:r>
        <w:t>if</w:t>
      </w:r>
      <w:r w:rsidR="00D23ECC">
        <w:t xml:space="preserve"> </w:t>
      </w:r>
      <w:r>
        <w:t>any</w:t>
      </w:r>
      <w:r w:rsidR="00D23ECC">
        <w:t xml:space="preserve"> </w:t>
      </w:r>
      <w:r>
        <w:t>wrongdoing</w:t>
      </w:r>
      <w:r w:rsidR="00D23ECC">
        <w:t xml:space="preserve"> </w:t>
      </w:r>
      <w:r>
        <w:t>is</w:t>
      </w:r>
      <w:r w:rsidR="00D23ECC">
        <w:t xml:space="preserve"> </w:t>
      </w:r>
      <w:r>
        <w:t>identified.</w:t>
      </w:r>
      <w:r w:rsidR="00D23ECC">
        <w:t xml:space="preserve"> </w:t>
      </w:r>
      <w:r>
        <w:t>This</w:t>
      </w:r>
      <w:r w:rsidR="00D23ECC">
        <w:t xml:space="preserve"> </w:t>
      </w:r>
      <w:r>
        <w:t>may</w:t>
      </w:r>
      <w:r w:rsidR="00D23ECC">
        <w:t xml:space="preserve"> </w:t>
      </w:r>
      <w:r>
        <w:t>include</w:t>
      </w:r>
      <w:r w:rsidR="00D23ECC">
        <w:t xml:space="preserve"> </w:t>
      </w:r>
      <w:r>
        <w:t>fines</w:t>
      </w:r>
      <w:r w:rsidR="00D23ECC">
        <w:t xml:space="preserve"> </w:t>
      </w:r>
      <w:r>
        <w:t>or</w:t>
      </w:r>
      <w:r w:rsidR="00D23ECC">
        <w:t xml:space="preserve"> </w:t>
      </w:r>
      <w:r>
        <w:t>court</w:t>
      </w:r>
      <w:r w:rsidR="00D23ECC">
        <w:t xml:space="preserve"> </w:t>
      </w:r>
      <w:r>
        <w:t>action.</w:t>
      </w:r>
      <w:r w:rsidR="00D23ECC">
        <w:t xml:space="preserve"> </w:t>
      </w:r>
      <w:r>
        <w:t>We</w:t>
      </w:r>
      <w:r w:rsidR="00D23ECC">
        <w:t xml:space="preserve"> </w:t>
      </w:r>
      <w:r>
        <w:t>will</w:t>
      </w:r>
      <w:r w:rsidR="00D23ECC">
        <w:t xml:space="preserve"> </w:t>
      </w:r>
      <w:r>
        <w:t>also</w:t>
      </w:r>
      <w:r w:rsidR="00D23ECC">
        <w:t xml:space="preserve"> </w:t>
      </w:r>
      <w:r>
        <w:t>continue</w:t>
      </w:r>
      <w:r w:rsidR="00D23ECC">
        <w:t xml:space="preserve"> </w:t>
      </w:r>
      <w:r>
        <w:t>to</w:t>
      </w:r>
      <w:r w:rsidR="00D23ECC">
        <w:t xml:space="preserve"> </w:t>
      </w:r>
      <w:r>
        <w:t>monitor</w:t>
      </w:r>
      <w:r w:rsidR="00D23ECC">
        <w:t xml:space="preserve"> </w:t>
      </w:r>
      <w:r>
        <w:t>the</w:t>
      </w:r>
      <w:r w:rsidR="00D23ECC">
        <w:t xml:space="preserve"> </w:t>
      </w:r>
      <w:r>
        <w:t>property</w:t>
      </w:r>
      <w:r w:rsidR="00D23ECC">
        <w:t xml:space="preserve"> </w:t>
      </w:r>
      <w:r>
        <w:t>market</w:t>
      </w:r>
      <w:r w:rsidR="00D23ECC">
        <w:t xml:space="preserve"> </w:t>
      </w:r>
      <w:r>
        <w:t>to</w:t>
      </w:r>
      <w:r w:rsidR="00D23ECC">
        <w:t xml:space="preserve"> </w:t>
      </w:r>
      <w:r>
        <w:t>identify</w:t>
      </w:r>
      <w:r w:rsidR="00D23ECC">
        <w:t xml:space="preserve"> </w:t>
      </w:r>
      <w:r>
        <w:t>cases</w:t>
      </w:r>
      <w:r w:rsidR="00D23ECC">
        <w:t xml:space="preserve"> </w:t>
      </w:r>
      <w:r>
        <w:t>or</w:t>
      </w:r>
      <w:r w:rsidR="00D23ECC">
        <w:t xml:space="preserve"> </w:t>
      </w:r>
      <w:r>
        <w:t>agents</w:t>
      </w:r>
      <w:r w:rsidR="00D23ECC">
        <w:t xml:space="preserve"> </w:t>
      </w:r>
      <w:r>
        <w:t>to</w:t>
      </w:r>
      <w:r w:rsidR="00D23ECC">
        <w:t xml:space="preserve"> </w:t>
      </w:r>
      <w:r>
        <w:t>visit</w:t>
      </w:r>
      <w:r w:rsidR="00D23ECC">
        <w:t xml:space="preserve"> </w:t>
      </w:r>
      <w:r>
        <w:t>or</w:t>
      </w:r>
      <w:r w:rsidR="00D23ECC">
        <w:t xml:space="preserve"> </w:t>
      </w:r>
      <w:r>
        <w:t>investigate</w:t>
      </w:r>
      <w:r w:rsidR="00D23ECC">
        <w:t xml:space="preserve"> </w:t>
      </w:r>
      <w:r>
        <w:t>and</w:t>
      </w:r>
      <w:r w:rsidR="00D23ECC">
        <w:t xml:space="preserve"> </w:t>
      </w:r>
      <w:r>
        <w:t>will</w:t>
      </w:r>
      <w:r w:rsidR="00D23ECC">
        <w:t xml:space="preserve"> </w:t>
      </w:r>
      <w:r>
        <w:t>report</w:t>
      </w:r>
      <w:r w:rsidR="00D23ECC">
        <w:t xml:space="preserve"> </w:t>
      </w:r>
      <w:r>
        <w:t>on</w:t>
      </w:r>
      <w:r w:rsidR="00D23ECC">
        <w:t xml:space="preserve"> </w:t>
      </w:r>
      <w:r>
        <w:t>our</w:t>
      </w:r>
      <w:r w:rsidR="00D23ECC">
        <w:t xml:space="preserve"> </w:t>
      </w:r>
      <w:r>
        <w:t>outcomes</w:t>
      </w:r>
      <w:r w:rsidR="00D23ECC">
        <w:t xml:space="preserve"> </w:t>
      </w:r>
      <w:r>
        <w:t>in</w:t>
      </w:r>
      <w:r w:rsidR="00D23ECC">
        <w:t xml:space="preserve"> </w:t>
      </w:r>
      <w:r>
        <w:t>future</w:t>
      </w:r>
      <w:r w:rsidR="00D23ECC">
        <w:t xml:space="preserve"> </w:t>
      </w:r>
      <w:r>
        <w:t>publications.</w:t>
      </w:r>
    </w:p>
    <w:p w14:paraId="7CFF8861" w14:textId="42A234D8" w:rsidR="00DE3B0D" w:rsidRDefault="00DE3B0D" w:rsidP="00D23ECC">
      <w:pPr>
        <w:pStyle w:val="BodyText"/>
      </w:pPr>
      <w:r>
        <w:t>We</w:t>
      </w:r>
      <w:r w:rsidR="00D23ECC">
        <w:t xml:space="preserve"> </w:t>
      </w:r>
      <w:r>
        <w:t>also</w:t>
      </w:r>
      <w:r w:rsidR="00D23ECC">
        <w:t xml:space="preserve"> </w:t>
      </w:r>
      <w:r>
        <w:t>published</w:t>
      </w:r>
      <w:r w:rsidR="00D23ECC">
        <w:t xml:space="preserve"> </w:t>
      </w:r>
      <w:r>
        <w:t>information</w:t>
      </w:r>
      <w:r w:rsidR="00D23ECC">
        <w:t xml:space="preserve"> </w:t>
      </w:r>
      <w:r>
        <w:t>on</w:t>
      </w:r>
      <w:r w:rsidR="00D23ECC">
        <w:t xml:space="preserve"> </w:t>
      </w:r>
      <w:r>
        <w:t>the</w:t>
      </w:r>
      <w:r w:rsidR="00D23ECC">
        <w:t xml:space="preserve"> </w:t>
      </w:r>
      <w:r>
        <w:t>CAV</w:t>
      </w:r>
      <w:r w:rsidR="00D23ECC">
        <w:t xml:space="preserve"> </w:t>
      </w:r>
      <w:r>
        <w:t>website</w:t>
      </w:r>
      <w:r w:rsidR="00D23ECC">
        <w:t xml:space="preserve"> </w:t>
      </w:r>
      <w:r>
        <w:t>to</w:t>
      </w:r>
      <w:r w:rsidR="00D23ECC">
        <w:t xml:space="preserve"> </w:t>
      </w:r>
      <w:r>
        <w:t>help</w:t>
      </w:r>
      <w:r w:rsidR="00D23ECC">
        <w:t xml:space="preserve"> </w:t>
      </w:r>
      <w:r>
        <w:t>agents</w:t>
      </w:r>
      <w:r w:rsidR="00D23ECC">
        <w:t xml:space="preserve"> </w:t>
      </w:r>
      <w:r>
        <w:t>understand</w:t>
      </w:r>
      <w:r w:rsidR="00D23ECC">
        <w:t xml:space="preserve"> </w:t>
      </w:r>
      <w:r>
        <w:t>how</w:t>
      </w:r>
      <w:r w:rsidR="00D23ECC">
        <w:t xml:space="preserve"> </w:t>
      </w:r>
      <w:r>
        <w:t>underquoting</w:t>
      </w:r>
      <w:r w:rsidR="00D23ECC">
        <w:t xml:space="preserve"> </w:t>
      </w:r>
      <w:r>
        <w:t>laws</w:t>
      </w:r>
      <w:r w:rsidR="00D23ECC">
        <w:t xml:space="preserve"> </w:t>
      </w:r>
      <w:r>
        <w:t>apply</w:t>
      </w:r>
      <w:r w:rsidR="00D23ECC">
        <w:t xml:space="preserve"> </w:t>
      </w:r>
      <w:r>
        <w:t>and</w:t>
      </w:r>
      <w:r w:rsidR="00D23ECC">
        <w:t xml:space="preserve"> </w:t>
      </w:r>
      <w:r>
        <w:t>assist</w:t>
      </w:r>
      <w:r w:rsidR="00D23ECC">
        <w:t xml:space="preserve"> </w:t>
      </w:r>
      <w:r>
        <w:t>the</w:t>
      </w:r>
      <w:r w:rsidR="00D23ECC">
        <w:t xml:space="preserve"> </w:t>
      </w:r>
      <w:r>
        <w:t>public</w:t>
      </w:r>
      <w:r w:rsidR="00D23ECC">
        <w:t xml:space="preserve"> </w:t>
      </w:r>
      <w:r>
        <w:t>identify</w:t>
      </w:r>
      <w:r w:rsidR="00D23ECC">
        <w:t xml:space="preserve"> </w:t>
      </w:r>
      <w:r>
        <w:t>and</w:t>
      </w:r>
      <w:r w:rsidR="00D23ECC">
        <w:t xml:space="preserve"> </w:t>
      </w:r>
      <w:r>
        <w:t>report</w:t>
      </w:r>
      <w:r w:rsidR="00D23ECC">
        <w:t xml:space="preserve"> </w:t>
      </w:r>
      <w:r>
        <w:t>suspected</w:t>
      </w:r>
      <w:r w:rsidR="00D23ECC">
        <w:t xml:space="preserve"> </w:t>
      </w:r>
      <w:r>
        <w:t>underquoting.</w:t>
      </w:r>
      <w:r w:rsidR="00D23ECC">
        <w:t xml:space="preserve"> </w:t>
      </w:r>
      <w:r>
        <w:t>Our</w:t>
      </w:r>
      <w:r w:rsidR="00D23ECC">
        <w:t xml:space="preserve"> </w:t>
      </w:r>
      <w:r>
        <w:t>communications</w:t>
      </w:r>
      <w:r w:rsidR="00D23ECC">
        <w:t xml:space="preserve"> </w:t>
      </w:r>
      <w:r>
        <w:t>were</w:t>
      </w:r>
      <w:r w:rsidR="00D23ECC">
        <w:t xml:space="preserve"> </w:t>
      </w:r>
      <w:r>
        <w:t>developed</w:t>
      </w:r>
      <w:r w:rsidR="00D23ECC">
        <w:t xml:space="preserve"> </w:t>
      </w:r>
      <w:r>
        <w:t>in</w:t>
      </w:r>
      <w:r w:rsidR="00D23ECC">
        <w:t xml:space="preserve"> </w:t>
      </w:r>
      <w:r>
        <w:t>collaboration</w:t>
      </w:r>
      <w:r w:rsidR="00D23ECC">
        <w:t xml:space="preserve"> </w:t>
      </w:r>
      <w:r>
        <w:t>with</w:t>
      </w:r>
      <w:r w:rsidR="00D23ECC">
        <w:t xml:space="preserve"> </w:t>
      </w:r>
      <w:r>
        <w:t>the</w:t>
      </w:r>
      <w:r w:rsidR="00D23ECC">
        <w:t xml:space="preserve"> </w:t>
      </w:r>
      <w:r>
        <w:t>Real</w:t>
      </w:r>
      <w:r w:rsidR="00D23ECC">
        <w:t xml:space="preserve"> </w:t>
      </w:r>
      <w:r>
        <w:t>Estate</w:t>
      </w:r>
      <w:r w:rsidR="00D23ECC">
        <w:t xml:space="preserve"> </w:t>
      </w:r>
      <w:r>
        <w:t>Institute</w:t>
      </w:r>
      <w:r w:rsidR="00D23ECC">
        <w:t xml:space="preserve"> </w:t>
      </w:r>
      <w:r>
        <w:t>of</w:t>
      </w:r>
      <w:r w:rsidR="00D23ECC">
        <w:t xml:space="preserve"> </w:t>
      </w:r>
      <w:r>
        <w:t>Victoria</w:t>
      </w:r>
      <w:r w:rsidR="00D23ECC">
        <w:t xml:space="preserve"> </w:t>
      </w:r>
      <w:r>
        <w:t>and</w:t>
      </w:r>
      <w:r w:rsidR="00D23ECC">
        <w:t xml:space="preserve"> </w:t>
      </w:r>
      <w:r>
        <w:t>were</w:t>
      </w:r>
      <w:r w:rsidR="00D23ECC">
        <w:t xml:space="preserve"> </w:t>
      </w:r>
      <w:r>
        <w:t>sent</w:t>
      </w:r>
      <w:r w:rsidR="00D23ECC">
        <w:t xml:space="preserve"> </w:t>
      </w:r>
      <w:r>
        <w:t>to</w:t>
      </w:r>
      <w:r w:rsidR="00D23ECC">
        <w:t xml:space="preserve"> </w:t>
      </w:r>
      <w:r>
        <w:t>more</w:t>
      </w:r>
      <w:r w:rsidR="00D23ECC">
        <w:t xml:space="preserve"> </w:t>
      </w:r>
      <w:r>
        <w:t>than</w:t>
      </w:r>
      <w:r w:rsidR="00D23ECC">
        <w:t xml:space="preserve"> </w:t>
      </w:r>
      <w:r>
        <w:t>11,000</w:t>
      </w:r>
      <w:r w:rsidR="00D23ECC">
        <w:t xml:space="preserve"> </w:t>
      </w:r>
      <w:r>
        <w:t>estate</w:t>
      </w:r>
      <w:r w:rsidR="00D23ECC">
        <w:t xml:space="preserve"> </w:t>
      </w:r>
      <w:r>
        <w:t>agents.</w:t>
      </w:r>
      <w:r w:rsidR="00D23ECC">
        <w:t xml:space="preserve"> </w:t>
      </w:r>
      <w:r>
        <w:t>As</w:t>
      </w:r>
      <w:r w:rsidR="00D23ECC">
        <w:t xml:space="preserve"> </w:t>
      </w:r>
      <w:r>
        <w:t>part</w:t>
      </w:r>
      <w:r w:rsidR="00D23ECC">
        <w:t xml:space="preserve"> </w:t>
      </w:r>
      <w:r>
        <w:t>of</w:t>
      </w:r>
      <w:r w:rsidR="00D23ECC">
        <w:t xml:space="preserve"> </w:t>
      </w:r>
      <w:r>
        <w:t>the</w:t>
      </w:r>
      <w:r w:rsidR="00D23ECC">
        <w:t xml:space="preserve"> </w:t>
      </w:r>
      <w:r>
        <w:t>campaign,</w:t>
      </w:r>
      <w:r w:rsidR="00D23ECC">
        <w:t xml:space="preserve"> </w:t>
      </w:r>
      <w:r>
        <w:t>we</w:t>
      </w:r>
      <w:r w:rsidR="00D23ECC">
        <w:t xml:space="preserve"> </w:t>
      </w:r>
      <w:r>
        <w:t>also</w:t>
      </w:r>
      <w:r w:rsidR="00D23ECC">
        <w:t xml:space="preserve"> </w:t>
      </w:r>
      <w:r>
        <w:t>published</w:t>
      </w:r>
      <w:r w:rsidR="00D23ECC">
        <w:t xml:space="preserve"> </w:t>
      </w:r>
      <w:r>
        <w:t>social</w:t>
      </w:r>
      <w:r w:rsidR="00D23ECC">
        <w:t xml:space="preserve"> </w:t>
      </w:r>
      <w:r>
        <w:t>media</w:t>
      </w:r>
      <w:r w:rsidR="00D23ECC">
        <w:t xml:space="preserve"> </w:t>
      </w:r>
      <w:r>
        <w:t>posts</w:t>
      </w:r>
      <w:r w:rsidR="00D23ECC">
        <w:t xml:space="preserve"> </w:t>
      </w:r>
      <w:r>
        <w:t>and</w:t>
      </w:r>
      <w:r w:rsidR="00D23ECC">
        <w:t xml:space="preserve"> </w:t>
      </w:r>
      <w:r>
        <w:t>produced</w:t>
      </w:r>
      <w:r w:rsidR="00D23ECC">
        <w:t xml:space="preserve"> </w:t>
      </w:r>
      <w:r>
        <w:t>consumer</w:t>
      </w:r>
      <w:r w:rsidR="00D23ECC">
        <w:t xml:space="preserve"> </w:t>
      </w:r>
      <w:r>
        <w:t>focused</w:t>
      </w:r>
      <w:r w:rsidR="00D23ECC">
        <w:t xml:space="preserve"> </w:t>
      </w:r>
      <w:r>
        <w:t>‘postcards’</w:t>
      </w:r>
      <w:r w:rsidR="00D23ECC">
        <w:t xml:space="preserve"> </w:t>
      </w:r>
      <w:r>
        <w:t>about</w:t>
      </w:r>
      <w:r w:rsidR="00D23ECC">
        <w:t xml:space="preserve"> </w:t>
      </w:r>
      <w:r>
        <w:t>underquoting</w:t>
      </w:r>
      <w:r w:rsidR="00D23ECC">
        <w:t xml:space="preserve"> </w:t>
      </w:r>
      <w:r>
        <w:t>which</w:t>
      </w:r>
      <w:r w:rsidR="00D23ECC">
        <w:t xml:space="preserve"> </w:t>
      </w:r>
      <w:r>
        <w:t>were</w:t>
      </w:r>
      <w:r w:rsidR="00D23ECC">
        <w:t xml:space="preserve"> </w:t>
      </w:r>
      <w:r>
        <w:t>distributed</w:t>
      </w:r>
      <w:r w:rsidR="00D23ECC">
        <w:t xml:space="preserve"> </w:t>
      </w:r>
      <w:r>
        <w:t>during</w:t>
      </w:r>
      <w:r w:rsidR="00D23ECC">
        <w:t xml:space="preserve"> </w:t>
      </w:r>
      <w:r>
        <w:t>Law</w:t>
      </w:r>
      <w:r w:rsidR="00D23ECC">
        <w:t xml:space="preserve"> </w:t>
      </w:r>
      <w:r>
        <w:t>Week</w:t>
      </w:r>
      <w:r w:rsidR="00D23ECC">
        <w:t xml:space="preserve"> </w:t>
      </w:r>
      <w:r>
        <w:t>in</w:t>
      </w:r>
      <w:r w:rsidR="00D23ECC">
        <w:t xml:space="preserve"> </w:t>
      </w:r>
      <w:r>
        <w:t>May</w:t>
      </w:r>
      <w:r w:rsidR="00D23ECC">
        <w:t xml:space="preserve"> </w:t>
      </w:r>
      <w:r>
        <w:t>2021.</w:t>
      </w:r>
    </w:p>
    <w:p w14:paraId="721FE6A6" w14:textId="2315FE79" w:rsidR="00DE3B0D" w:rsidRDefault="00DE3B0D" w:rsidP="002F22DF">
      <w:pPr>
        <w:pStyle w:val="BodyText"/>
        <w:spacing w:before="360"/>
      </w:pPr>
      <w:r>
        <w:t>Actions</w:t>
      </w:r>
      <w:r w:rsidR="00D23ECC">
        <w:t xml:space="preserve"> </w:t>
      </w:r>
      <w:r>
        <w:t>completed</w:t>
      </w:r>
      <w:r w:rsidR="00D23ECC">
        <w:t xml:space="preserve"> </w:t>
      </w:r>
      <w:r>
        <w:t>or</w:t>
      </w:r>
      <w:r w:rsidR="00D23ECC">
        <w:t xml:space="preserve"> </w:t>
      </w:r>
      <w:r>
        <w:t>in</w:t>
      </w:r>
      <w:r w:rsidR="00D23ECC">
        <w:t xml:space="preserve"> </w:t>
      </w:r>
      <w:r>
        <w:t>progress</w:t>
      </w:r>
      <w:r w:rsidR="00D23ECC">
        <w:t xml:space="preserve"> </w:t>
      </w:r>
      <w:r>
        <w:t>as</w:t>
      </w:r>
      <w:r w:rsidR="00D23ECC">
        <w:t xml:space="preserve"> </w:t>
      </w:r>
      <w:r>
        <w:t>at</w:t>
      </w:r>
      <w:r w:rsidR="00D23ECC">
        <w:t xml:space="preserve"> </w:t>
      </w:r>
      <w:r>
        <w:t>30</w:t>
      </w:r>
      <w:r w:rsidR="00D23ECC">
        <w:t xml:space="preserve"> </w:t>
      </w:r>
      <w:r>
        <w:t>June</w:t>
      </w:r>
      <w:r w:rsidR="00D23ECC">
        <w:t xml:space="preserve"> </w:t>
      </w:r>
      <w:r>
        <w:t>2021</w:t>
      </w:r>
      <w:r w:rsidR="00D23ECC">
        <w:t xml:space="preserve"> </w:t>
      </w:r>
      <w:r>
        <w:t>are</w:t>
      </w:r>
      <w:r w:rsidR="00D23ECC">
        <w:t xml:space="preserve"> </w:t>
      </w:r>
      <w:r>
        <w:t>outlined</w:t>
      </w:r>
      <w:r w:rsidR="00D23ECC">
        <w:t xml:space="preserve"> </w:t>
      </w:r>
      <w:r>
        <w:t>in</w:t>
      </w:r>
      <w:r w:rsidR="00D23ECC">
        <w:t xml:space="preserve"> </w:t>
      </w:r>
      <w:r>
        <w:t>the</w:t>
      </w:r>
      <w:r w:rsidR="00D23ECC">
        <w:t xml:space="preserve"> </w:t>
      </w:r>
      <w:r>
        <w:t>tables</w:t>
      </w:r>
      <w:r w:rsidR="00D23ECC">
        <w:t xml:space="preserve"> </w:t>
      </w:r>
      <w:r>
        <w:t>below.</w:t>
      </w:r>
    </w:p>
    <w:p w14:paraId="4CE0606C" w14:textId="590EBF21" w:rsidR="00DE3B0D" w:rsidRDefault="00DE3B0D" w:rsidP="00AE374E">
      <w:pPr>
        <w:pStyle w:val="Heading4"/>
      </w:pPr>
      <w:r>
        <w:rPr>
          <w:color w:val="000000"/>
        </w:rPr>
        <w:t>Public</w:t>
      </w:r>
      <w:r w:rsidR="00D23ECC">
        <w:rPr>
          <w:color w:val="000000"/>
        </w:rPr>
        <w:t xml:space="preserve"> </w:t>
      </w:r>
      <w:r>
        <w:rPr>
          <w:color w:val="000000"/>
        </w:rPr>
        <w:t>warnings</w:t>
      </w:r>
      <w:r w:rsidR="00D23ECC">
        <w:rPr>
          <w:color w:val="000000"/>
        </w:rPr>
        <w:t xml:space="preserve"> </w:t>
      </w:r>
      <w:r>
        <w:rPr>
          <w:color w:val="000000"/>
        </w:rPr>
        <w:t>issued</w:t>
      </w:r>
      <w:r w:rsidR="00D23ECC">
        <w:rPr>
          <w:color w:val="000000"/>
        </w:rPr>
        <w:t xml:space="preserve"> </w:t>
      </w:r>
      <w:r>
        <w:rPr>
          <w:color w:val="000000"/>
        </w:rPr>
        <w:t>in</w:t>
      </w:r>
      <w:r w:rsidR="00D23ECC">
        <w:rPr>
          <w:color w:val="000000"/>
        </w:rPr>
        <w:t xml:space="preserve"> </w:t>
      </w:r>
      <w:r>
        <w:rPr>
          <w:color w:val="000000"/>
        </w:rPr>
        <w:t>2020–21</w:t>
      </w:r>
    </w:p>
    <w:tbl>
      <w:tblPr>
        <w:tblStyle w:val="TableGrid"/>
        <w:tblW w:w="9072" w:type="dxa"/>
        <w:tblLayout w:type="fixed"/>
        <w:tblLook w:val="00A0" w:firstRow="1" w:lastRow="0" w:firstColumn="1" w:lastColumn="0" w:noHBand="0" w:noVBand="0"/>
      </w:tblPr>
      <w:tblGrid>
        <w:gridCol w:w="3476"/>
        <w:gridCol w:w="5596"/>
      </w:tblGrid>
      <w:tr w:rsidR="00DE3B0D" w14:paraId="5C4677E9"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56DFDB49" w14:textId="77777777" w:rsidR="00DE3B0D" w:rsidRDefault="00DE3B0D" w:rsidP="00A95E63">
            <w:pPr>
              <w:pStyle w:val="TableColHead"/>
            </w:pPr>
            <w:r>
              <w:t>Legislation</w:t>
            </w:r>
          </w:p>
        </w:tc>
        <w:tc>
          <w:tcPr>
            <w:tcW w:w="5943" w:type="dxa"/>
          </w:tcPr>
          <w:p w14:paraId="64EC675E" w14:textId="77777777" w:rsidR="00DE3B0D" w:rsidRDefault="00DE3B0D" w:rsidP="00A95E63">
            <w:pPr>
              <w:pStyle w:val="TableColHead"/>
            </w:pPr>
            <w:r>
              <w:t>Parties</w:t>
            </w:r>
          </w:p>
        </w:tc>
      </w:tr>
      <w:tr w:rsidR="00DE3B0D" w14:paraId="6E3A98CF" w14:textId="77777777" w:rsidTr="009A5322">
        <w:trPr>
          <w:trHeight w:val="60"/>
        </w:trPr>
        <w:tc>
          <w:tcPr>
            <w:tcW w:w="3685" w:type="dxa"/>
          </w:tcPr>
          <w:p w14:paraId="1672FBAA" w14:textId="0CEEDFC5" w:rsidR="00DE3B0D" w:rsidRDefault="00DE3B0D" w:rsidP="00A95E63">
            <w:pPr>
              <w:pStyle w:val="TableText"/>
            </w:pP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Fair</w:t>
            </w:r>
            <w:r w:rsidR="00D23ECC" w:rsidRPr="00ED78BD">
              <w:rPr>
                <w:rStyle w:val="Emphasis"/>
              </w:rPr>
              <w:t xml:space="preserve"> </w:t>
            </w:r>
            <w:r w:rsidRPr="00ED78BD">
              <w:rPr>
                <w:rStyle w:val="Emphasis"/>
              </w:rPr>
              <w:t>Trading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p>
        </w:tc>
        <w:tc>
          <w:tcPr>
            <w:tcW w:w="5943" w:type="dxa"/>
          </w:tcPr>
          <w:p w14:paraId="542D7050" w14:textId="2030CD80" w:rsidR="00DE3B0D" w:rsidRDefault="00DE3B0D" w:rsidP="00A95E63">
            <w:pPr>
              <w:pStyle w:val="TableText"/>
            </w:pPr>
            <w:r>
              <w:t>My</w:t>
            </w:r>
            <w:r w:rsidR="00D23ECC">
              <w:t xml:space="preserve"> </w:t>
            </w:r>
            <w:r>
              <w:t>Moovers</w:t>
            </w:r>
          </w:p>
        </w:tc>
      </w:tr>
      <w:tr w:rsidR="00DE3B0D" w14:paraId="4F5D1671" w14:textId="77777777" w:rsidTr="009A5322">
        <w:trPr>
          <w:trHeight w:val="60"/>
        </w:trPr>
        <w:tc>
          <w:tcPr>
            <w:tcW w:w="3685" w:type="dxa"/>
          </w:tcPr>
          <w:p w14:paraId="59051EAE" w14:textId="63A5A05B" w:rsidR="00DE3B0D" w:rsidRDefault="00DE3B0D" w:rsidP="00A95E63">
            <w:pPr>
              <w:pStyle w:val="TableText"/>
            </w:pP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Fair</w:t>
            </w:r>
            <w:r w:rsidR="00D23ECC" w:rsidRPr="00ED78BD">
              <w:rPr>
                <w:rStyle w:val="Emphasis"/>
              </w:rPr>
              <w:t xml:space="preserve"> </w:t>
            </w:r>
            <w:r w:rsidRPr="00ED78BD">
              <w:rPr>
                <w:rStyle w:val="Emphasis"/>
              </w:rPr>
              <w:t>Trading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p>
        </w:tc>
        <w:tc>
          <w:tcPr>
            <w:tcW w:w="5943" w:type="dxa"/>
          </w:tcPr>
          <w:p w14:paraId="3476DF30" w14:textId="4B9C78F6" w:rsidR="00DE3B0D" w:rsidRDefault="00DE3B0D" w:rsidP="00A95E63">
            <w:pPr>
              <w:pStyle w:val="TableText"/>
            </w:pPr>
            <w:r>
              <w:t>Michael</w:t>
            </w:r>
            <w:r w:rsidR="00D23ECC">
              <w:t xml:space="preserve"> </w:t>
            </w:r>
            <w:r>
              <w:t>Johnson</w:t>
            </w:r>
          </w:p>
        </w:tc>
      </w:tr>
    </w:tbl>
    <w:p w14:paraId="576343B3" w14:textId="48827597" w:rsidR="00DE3B0D" w:rsidRDefault="00DE3B0D" w:rsidP="00AE374E">
      <w:pPr>
        <w:pStyle w:val="Heading4"/>
      </w:pPr>
      <w:r>
        <w:rPr>
          <w:color w:val="000000"/>
        </w:rPr>
        <w:t>Court</w:t>
      </w:r>
      <w:r w:rsidR="00D23ECC">
        <w:rPr>
          <w:color w:val="000000"/>
        </w:rPr>
        <w:t xml:space="preserve"> </w:t>
      </w:r>
      <w:r>
        <w:rPr>
          <w:color w:val="000000"/>
        </w:rPr>
        <w:t>and</w:t>
      </w:r>
      <w:r w:rsidR="00D23ECC">
        <w:rPr>
          <w:color w:val="000000"/>
        </w:rPr>
        <w:t xml:space="preserve"> </w:t>
      </w:r>
      <w:r>
        <w:rPr>
          <w:color w:val="000000"/>
        </w:rPr>
        <w:t>tribunal</w:t>
      </w:r>
      <w:r w:rsidR="00D23ECC">
        <w:rPr>
          <w:color w:val="000000"/>
        </w:rPr>
        <w:t xml:space="preserve"> </w:t>
      </w:r>
      <w:r>
        <w:rPr>
          <w:color w:val="000000"/>
        </w:rPr>
        <w:t>matters</w:t>
      </w:r>
      <w:r w:rsidR="00D23ECC">
        <w:rPr>
          <w:color w:val="000000"/>
        </w:rPr>
        <w:t xml:space="preserve"> </w:t>
      </w:r>
      <w:r>
        <w:rPr>
          <w:color w:val="000000"/>
        </w:rPr>
        <w:t>finalised</w:t>
      </w:r>
      <w:r w:rsidR="00D23ECC">
        <w:rPr>
          <w:color w:val="000000"/>
        </w:rPr>
        <w:t xml:space="preserve"> </w:t>
      </w:r>
      <w:r>
        <w:rPr>
          <w:color w:val="000000"/>
        </w:rPr>
        <w:t>in</w:t>
      </w:r>
      <w:r w:rsidR="00D23ECC">
        <w:rPr>
          <w:color w:val="000000"/>
        </w:rPr>
        <w:t xml:space="preserve"> </w:t>
      </w:r>
      <w:r>
        <w:rPr>
          <w:color w:val="000000"/>
        </w:rPr>
        <w:t>2020–21</w:t>
      </w:r>
    </w:p>
    <w:p w14:paraId="16292117" w14:textId="3BC8A43C" w:rsidR="00DE3B0D" w:rsidRDefault="00DE3B0D" w:rsidP="00AE374E">
      <w:pPr>
        <w:pStyle w:val="Heading5"/>
      </w:pPr>
      <w:r>
        <w:rPr>
          <w:color w:val="000000"/>
        </w:rPr>
        <w:t>Criminal</w:t>
      </w:r>
      <w:r w:rsidR="00D23ECC">
        <w:rPr>
          <w:color w:val="000000"/>
        </w:rPr>
        <w:t xml:space="preserve"> </w:t>
      </w:r>
      <w:r>
        <w:rPr>
          <w:color w:val="000000"/>
        </w:rPr>
        <w:t>prosecutions</w:t>
      </w:r>
      <w:r w:rsidR="00D23ECC">
        <w:rPr>
          <w:color w:val="000000"/>
        </w:rPr>
        <w:t xml:space="preserve"> </w:t>
      </w:r>
      <w:r>
        <w:rPr>
          <w:color w:val="000000"/>
        </w:rPr>
        <w:t>finalised</w:t>
      </w:r>
    </w:p>
    <w:tbl>
      <w:tblPr>
        <w:tblStyle w:val="TableGrid"/>
        <w:tblW w:w="9072" w:type="dxa"/>
        <w:tblLayout w:type="fixed"/>
        <w:tblLook w:val="00A0" w:firstRow="1" w:lastRow="0" w:firstColumn="1" w:lastColumn="0" w:noHBand="0" w:noVBand="0"/>
      </w:tblPr>
      <w:tblGrid>
        <w:gridCol w:w="3476"/>
        <w:gridCol w:w="5596"/>
      </w:tblGrid>
      <w:tr w:rsidR="00DE3B0D" w14:paraId="6E3BEE03"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42E73AE2" w14:textId="77777777" w:rsidR="00DE3B0D" w:rsidRDefault="00DE3B0D" w:rsidP="00A95E63">
            <w:pPr>
              <w:pStyle w:val="TableColHead"/>
            </w:pPr>
            <w:r>
              <w:t>Legislation</w:t>
            </w:r>
          </w:p>
        </w:tc>
        <w:tc>
          <w:tcPr>
            <w:tcW w:w="5943" w:type="dxa"/>
          </w:tcPr>
          <w:p w14:paraId="3BCACD8A" w14:textId="77777777" w:rsidR="00DE3B0D" w:rsidRDefault="00DE3B0D" w:rsidP="00A95E63">
            <w:pPr>
              <w:pStyle w:val="TableColHead"/>
            </w:pPr>
            <w:r>
              <w:t>Parties</w:t>
            </w:r>
          </w:p>
        </w:tc>
      </w:tr>
      <w:tr w:rsidR="00DE3B0D" w14:paraId="14EE650A" w14:textId="77777777" w:rsidTr="009A5322">
        <w:trPr>
          <w:trHeight w:val="60"/>
        </w:trPr>
        <w:tc>
          <w:tcPr>
            <w:tcW w:w="3685" w:type="dxa"/>
          </w:tcPr>
          <w:p w14:paraId="0C26E2DA" w14:textId="2373A0D5" w:rsidR="00DE3B0D" w:rsidRDefault="00DE3B0D" w:rsidP="00A95E63">
            <w:pPr>
              <w:pStyle w:val="TableText"/>
            </w:pP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1997</w:t>
            </w:r>
          </w:p>
        </w:tc>
        <w:tc>
          <w:tcPr>
            <w:tcW w:w="5943" w:type="dxa"/>
          </w:tcPr>
          <w:p w14:paraId="4AD97F1D" w14:textId="2D8BC00D" w:rsidR="00DE3B0D" w:rsidRDefault="00DE3B0D" w:rsidP="00A95E63">
            <w:pPr>
              <w:pStyle w:val="TableText"/>
            </w:pPr>
            <w:r>
              <w:t>Omry</w:t>
            </w:r>
            <w:r w:rsidR="00D23ECC">
              <w:t xml:space="preserve"> </w:t>
            </w:r>
            <w:r>
              <w:t>Shani</w:t>
            </w:r>
          </w:p>
        </w:tc>
      </w:tr>
      <w:tr w:rsidR="00DE3B0D" w14:paraId="60917631" w14:textId="77777777" w:rsidTr="009A5322">
        <w:trPr>
          <w:trHeight w:val="60"/>
        </w:trPr>
        <w:tc>
          <w:tcPr>
            <w:tcW w:w="3685" w:type="dxa"/>
          </w:tcPr>
          <w:p w14:paraId="18A6DA85" w14:textId="262F5FEA"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5419E866" w14:textId="7BCD5E87" w:rsidR="00DE3B0D" w:rsidRDefault="00DE3B0D" w:rsidP="00A95E63">
            <w:pPr>
              <w:pStyle w:val="TableText"/>
            </w:pPr>
            <w:r>
              <w:t>Ranelagh</w:t>
            </w:r>
            <w:r w:rsidR="00D23ECC">
              <w:t xml:space="preserve"> </w:t>
            </w:r>
            <w:r>
              <w:t>Realty</w:t>
            </w:r>
            <w:r w:rsidR="00D23ECC">
              <w:t xml:space="preserve"> </w:t>
            </w:r>
            <w:r>
              <w:t>Property</w:t>
            </w:r>
          </w:p>
          <w:p w14:paraId="00F560DC" w14:textId="5AC031EC" w:rsidR="00DE3B0D" w:rsidRDefault="00DE3B0D" w:rsidP="00A95E63">
            <w:pPr>
              <w:pStyle w:val="TableText"/>
            </w:pPr>
            <w:r>
              <w:t>Helen</w:t>
            </w:r>
            <w:r w:rsidR="00D23ECC">
              <w:t xml:space="preserve"> </w:t>
            </w:r>
            <w:r>
              <w:t>Sly</w:t>
            </w:r>
          </w:p>
        </w:tc>
      </w:tr>
    </w:tbl>
    <w:p w14:paraId="33484A5E" w14:textId="482D98BC" w:rsidR="00DE3B0D" w:rsidRDefault="00DE3B0D" w:rsidP="00AE374E">
      <w:pPr>
        <w:pStyle w:val="Heading5"/>
      </w:pPr>
      <w:r>
        <w:rPr>
          <w:color w:val="000000"/>
        </w:rPr>
        <w:t>Civil</w:t>
      </w:r>
      <w:r w:rsidR="00D23ECC">
        <w:rPr>
          <w:color w:val="000000"/>
        </w:rPr>
        <w:t xml:space="preserve"> </w:t>
      </w:r>
      <w:r>
        <w:rPr>
          <w:color w:val="000000"/>
        </w:rPr>
        <w:t>proceedings</w:t>
      </w:r>
      <w:r w:rsidR="00D23ECC">
        <w:rPr>
          <w:color w:val="000000"/>
        </w:rPr>
        <w:t xml:space="preserve"> </w:t>
      </w:r>
      <w:r>
        <w:rPr>
          <w:color w:val="000000"/>
        </w:rPr>
        <w:t>finalised</w:t>
      </w:r>
      <w:r w:rsidR="00D23ECC">
        <w:rPr>
          <w:color w:val="000000"/>
        </w:rPr>
        <w:t xml:space="preserve"> </w:t>
      </w:r>
      <w:r>
        <w:rPr>
          <w:color w:val="000000"/>
        </w:rPr>
        <w:t>(including</w:t>
      </w:r>
      <w:r w:rsidR="00D23ECC">
        <w:rPr>
          <w:color w:val="000000"/>
        </w:rPr>
        <w:t xml:space="preserve"> </w:t>
      </w:r>
      <w:r>
        <w:rPr>
          <w:color w:val="000000"/>
        </w:rPr>
        <w:t>disciplinary</w:t>
      </w:r>
      <w:r w:rsidR="00D23ECC">
        <w:rPr>
          <w:color w:val="000000"/>
        </w:rPr>
        <w:t xml:space="preserve"> </w:t>
      </w:r>
      <w:r>
        <w:rPr>
          <w:color w:val="000000"/>
        </w:rPr>
        <w:t>inquiry</w:t>
      </w:r>
      <w:r w:rsidR="00D23ECC">
        <w:rPr>
          <w:color w:val="000000"/>
        </w:rPr>
        <w:t xml:space="preserve"> </w:t>
      </w:r>
      <w:r>
        <w:rPr>
          <w:color w:val="000000"/>
        </w:rPr>
        <w:t>and</w:t>
      </w:r>
      <w:r w:rsidR="00D23ECC">
        <w:rPr>
          <w:color w:val="000000"/>
        </w:rPr>
        <w:t xml:space="preserve"> </w:t>
      </w:r>
      <w:r>
        <w:rPr>
          <w:color w:val="000000"/>
        </w:rPr>
        <w:t>appeals)</w:t>
      </w:r>
    </w:p>
    <w:tbl>
      <w:tblPr>
        <w:tblStyle w:val="TableGrid"/>
        <w:tblW w:w="9072" w:type="dxa"/>
        <w:tblLayout w:type="fixed"/>
        <w:tblLook w:val="00A0" w:firstRow="1" w:lastRow="0" w:firstColumn="1" w:lastColumn="0" w:noHBand="0" w:noVBand="0"/>
      </w:tblPr>
      <w:tblGrid>
        <w:gridCol w:w="3476"/>
        <w:gridCol w:w="5596"/>
      </w:tblGrid>
      <w:tr w:rsidR="00DE3B0D" w14:paraId="3B5CE303"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759C76B" w14:textId="77777777" w:rsidR="00DE3B0D" w:rsidRDefault="00DE3B0D" w:rsidP="00A95E63">
            <w:pPr>
              <w:pStyle w:val="TableColHead"/>
            </w:pPr>
            <w:r>
              <w:t>Legislation</w:t>
            </w:r>
          </w:p>
        </w:tc>
        <w:tc>
          <w:tcPr>
            <w:tcW w:w="5943" w:type="dxa"/>
          </w:tcPr>
          <w:p w14:paraId="4A445AD1" w14:textId="77777777" w:rsidR="00DE3B0D" w:rsidRDefault="00DE3B0D" w:rsidP="00A95E63">
            <w:pPr>
              <w:pStyle w:val="TableColHead"/>
            </w:pPr>
            <w:r>
              <w:t>Parties</w:t>
            </w:r>
          </w:p>
        </w:tc>
      </w:tr>
      <w:tr w:rsidR="00DE3B0D" w14:paraId="6BA89EB2" w14:textId="77777777" w:rsidTr="009A5322">
        <w:trPr>
          <w:trHeight w:val="60"/>
        </w:trPr>
        <w:tc>
          <w:tcPr>
            <w:tcW w:w="3685" w:type="dxa"/>
          </w:tcPr>
          <w:p w14:paraId="757DB0D2" w14:textId="625F9260" w:rsidR="00DE3B0D" w:rsidRDefault="00DE3B0D" w:rsidP="00A95E63">
            <w:pPr>
              <w:pStyle w:val="TableText"/>
            </w:pPr>
            <w:r w:rsidRPr="00ED78BD">
              <w:rPr>
                <w:rStyle w:val="Emphasis"/>
              </w:rPr>
              <w:t>Fundraising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1998</w:t>
            </w:r>
          </w:p>
        </w:tc>
        <w:tc>
          <w:tcPr>
            <w:tcW w:w="5943" w:type="dxa"/>
          </w:tcPr>
          <w:p w14:paraId="71F5541C" w14:textId="210E2D19" w:rsidR="00DE3B0D" w:rsidRDefault="00DE3B0D" w:rsidP="00A95E63">
            <w:pPr>
              <w:pStyle w:val="TableText"/>
            </w:pPr>
            <w:r>
              <w:t>Pets</w:t>
            </w:r>
            <w:r w:rsidR="00D23ECC">
              <w:t xml:space="preserve"> </w:t>
            </w:r>
            <w:r>
              <w:t>Haven</w:t>
            </w:r>
            <w:r w:rsidR="00D23ECC">
              <w:t xml:space="preserve"> </w:t>
            </w:r>
            <w:r>
              <w:t>Foundation</w:t>
            </w:r>
            <w:r w:rsidR="00D23ECC">
              <w:t xml:space="preserve"> </w:t>
            </w:r>
            <w:r>
              <w:t>Limited</w:t>
            </w:r>
          </w:p>
        </w:tc>
      </w:tr>
      <w:tr w:rsidR="00DE3B0D" w14:paraId="6C2A1529" w14:textId="77777777" w:rsidTr="009A5322">
        <w:trPr>
          <w:trHeight w:val="60"/>
        </w:trPr>
        <w:tc>
          <w:tcPr>
            <w:tcW w:w="3685" w:type="dxa"/>
          </w:tcPr>
          <w:p w14:paraId="3EDCFB7D" w14:textId="1484FC61" w:rsidR="00DE3B0D" w:rsidRDefault="00DE3B0D" w:rsidP="00A95E63">
            <w:pPr>
              <w:pStyle w:val="TableText"/>
            </w:pPr>
            <w:r w:rsidRPr="00ED78BD">
              <w:rPr>
                <w:rStyle w:val="Emphasis"/>
              </w:rPr>
              <w:t>Second-Hand</w:t>
            </w:r>
            <w:r w:rsidR="00D23ECC" w:rsidRPr="00ED78BD">
              <w:rPr>
                <w:rStyle w:val="Emphasis"/>
              </w:rPr>
              <w:t xml:space="preserve"> </w:t>
            </w:r>
            <w:r w:rsidRPr="00ED78BD">
              <w:rPr>
                <w:rStyle w:val="Emphasis"/>
              </w:rPr>
              <w:t>Dealers</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Pawnbrokers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1989</w:t>
            </w:r>
          </w:p>
        </w:tc>
        <w:tc>
          <w:tcPr>
            <w:tcW w:w="5943" w:type="dxa"/>
          </w:tcPr>
          <w:p w14:paraId="3EA8C8BF" w14:textId="4C8D901C" w:rsidR="00DE3B0D" w:rsidRDefault="00DE3B0D" w:rsidP="00A95E63">
            <w:pPr>
              <w:pStyle w:val="TableText"/>
            </w:pPr>
            <w:r>
              <w:t>Aaron</w:t>
            </w:r>
            <w:r w:rsidR="00D23ECC">
              <w:t xml:space="preserve"> </w:t>
            </w:r>
            <w:r>
              <w:t>Ladner</w:t>
            </w:r>
          </w:p>
        </w:tc>
      </w:tr>
    </w:tbl>
    <w:p w14:paraId="3EF701CE" w14:textId="77777777" w:rsidR="009A5322" w:rsidRPr="009A5322" w:rsidRDefault="009A5322" w:rsidP="009A5322">
      <w:pPr>
        <w:pStyle w:val="BodyText"/>
      </w:pPr>
      <w:r w:rsidRPr="009A5322">
        <w:br w:type="page"/>
      </w:r>
    </w:p>
    <w:p w14:paraId="6F6DDD17" w14:textId="2D62B643" w:rsidR="00DE3B0D" w:rsidRDefault="00DE3B0D" w:rsidP="00AE374E">
      <w:pPr>
        <w:pStyle w:val="Heading5"/>
      </w:pPr>
      <w:r>
        <w:rPr>
          <w:color w:val="000000"/>
        </w:rPr>
        <w:lastRenderedPageBreak/>
        <w:t>Administrative/judicial</w:t>
      </w:r>
      <w:r w:rsidR="00D23ECC">
        <w:rPr>
          <w:color w:val="000000"/>
        </w:rPr>
        <w:t xml:space="preserve"> </w:t>
      </w:r>
      <w:r>
        <w:rPr>
          <w:color w:val="000000"/>
        </w:rPr>
        <w:t>review</w:t>
      </w:r>
      <w:r w:rsidR="00D23ECC">
        <w:rPr>
          <w:color w:val="000000"/>
        </w:rPr>
        <w:t xml:space="preserve"> </w:t>
      </w:r>
      <w:r>
        <w:rPr>
          <w:color w:val="000000"/>
        </w:rPr>
        <w:t>completed</w:t>
      </w:r>
      <w:r w:rsidR="00D23ECC">
        <w:rPr>
          <w:color w:val="000000"/>
        </w:rPr>
        <w:t xml:space="preserve"> </w:t>
      </w:r>
      <w:r>
        <w:rPr>
          <w:color w:val="000000"/>
        </w:rPr>
        <w:t>on</w:t>
      </w:r>
      <w:r w:rsidR="00D23ECC">
        <w:rPr>
          <w:color w:val="000000"/>
        </w:rPr>
        <w:t xml:space="preserve"> </w:t>
      </w:r>
      <w:r>
        <w:rPr>
          <w:color w:val="000000"/>
        </w:rPr>
        <w:t>behalf</w:t>
      </w:r>
      <w:r w:rsidR="00D23ECC">
        <w:rPr>
          <w:color w:val="000000"/>
        </w:rPr>
        <w:t xml:space="preserve"> </w:t>
      </w:r>
      <w:r>
        <w:rPr>
          <w:color w:val="000000"/>
        </w:rPr>
        <w:br/>
        <w:t>of</w:t>
      </w:r>
      <w:r w:rsidR="00D23ECC">
        <w:rPr>
          <w:color w:val="000000"/>
        </w:rPr>
        <w:t xml:space="preserve"> </w:t>
      </w:r>
      <w:r>
        <w:rPr>
          <w:color w:val="000000"/>
        </w:rPr>
        <w:t>the</w:t>
      </w:r>
      <w:r w:rsidR="00D23ECC">
        <w:rPr>
          <w:color w:val="000000"/>
        </w:rPr>
        <w:t xml:space="preserve"> </w:t>
      </w:r>
      <w:r>
        <w:rPr>
          <w:color w:val="000000"/>
        </w:rPr>
        <w:t>Business</w:t>
      </w:r>
      <w:r w:rsidR="00D23ECC">
        <w:rPr>
          <w:color w:val="000000"/>
        </w:rPr>
        <w:t xml:space="preserve"> </w:t>
      </w:r>
      <w:r>
        <w:rPr>
          <w:color w:val="000000"/>
        </w:rPr>
        <w:t>Licensing</w:t>
      </w:r>
      <w:r w:rsidR="00D23ECC">
        <w:rPr>
          <w:color w:val="000000"/>
        </w:rPr>
        <w:t xml:space="preserve"> </w:t>
      </w:r>
      <w:r>
        <w:rPr>
          <w:color w:val="000000"/>
        </w:rPr>
        <w:t>Authority</w:t>
      </w:r>
      <w:r w:rsidR="00D23ECC">
        <w:rPr>
          <w:color w:val="000000"/>
        </w:rPr>
        <w:t xml:space="preserve"> </w:t>
      </w:r>
      <w:r>
        <w:rPr>
          <w:color w:val="000000"/>
        </w:rPr>
        <w:t>(BLA)</w:t>
      </w:r>
      <w:r w:rsidR="00D23ECC">
        <w:rPr>
          <w:color w:val="000000"/>
        </w:rPr>
        <w:t xml:space="preserve"> </w:t>
      </w:r>
      <w:r>
        <w:rPr>
          <w:color w:val="000000"/>
        </w:rPr>
        <w:t>and</w:t>
      </w:r>
      <w:r w:rsidR="00D23ECC">
        <w:rPr>
          <w:color w:val="000000"/>
        </w:rPr>
        <w:t xml:space="preserve"> </w:t>
      </w:r>
      <w:r>
        <w:rPr>
          <w:color w:val="000000"/>
        </w:rPr>
        <w:t>others</w:t>
      </w:r>
    </w:p>
    <w:tbl>
      <w:tblPr>
        <w:tblStyle w:val="TableGrid"/>
        <w:tblW w:w="9072" w:type="dxa"/>
        <w:tblLayout w:type="fixed"/>
        <w:tblLook w:val="00A0" w:firstRow="1" w:lastRow="0" w:firstColumn="1" w:lastColumn="0" w:noHBand="0" w:noVBand="0"/>
      </w:tblPr>
      <w:tblGrid>
        <w:gridCol w:w="3476"/>
        <w:gridCol w:w="5596"/>
      </w:tblGrid>
      <w:tr w:rsidR="00DE3B0D" w14:paraId="3B2B8BF7"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64C7A0F5" w14:textId="77777777" w:rsidR="00DE3B0D" w:rsidRDefault="00DE3B0D" w:rsidP="00A95E63">
            <w:pPr>
              <w:pStyle w:val="TableColHead"/>
            </w:pPr>
            <w:r>
              <w:t>Legislation</w:t>
            </w:r>
          </w:p>
        </w:tc>
        <w:tc>
          <w:tcPr>
            <w:tcW w:w="5943" w:type="dxa"/>
          </w:tcPr>
          <w:p w14:paraId="5976BC88" w14:textId="77777777" w:rsidR="00DE3B0D" w:rsidRDefault="00DE3B0D" w:rsidP="00A95E63">
            <w:pPr>
              <w:pStyle w:val="TableColHead"/>
            </w:pPr>
            <w:r>
              <w:t>Parties</w:t>
            </w:r>
          </w:p>
        </w:tc>
      </w:tr>
      <w:tr w:rsidR="00DE3B0D" w14:paraId="3C64D49B" w14:textId="77777777" w:rsidTr="009A5322">
        <w:trPr>
          <w:trHeight w:val="60"/>
        </w:trPr>
        <w:tc>
          <w:tcPr>
            <w:tcW w:w="3685" w:type="dxa"/>
          </w:tcPr>
          <w:p w14:paraId="10A5656A" w14:textId="5DDC254B"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34304F74" w14:textId="5C642EA5" w:rsidR="00DE3B0D" w:rsidRDefault="00DE3B0D" w:rsidP="00A95E63">
            <w:pPr>
              <w:pStyle w:val="TableText"/>
            </w:pPr>
            <w:r>
              <w:t>Christopher</w:t>
            </w:r>
            <w:r w:rsidR="00D23ECC">
              <w:t xml:space="preserve"> </w:t>
            </w:r>
            <w:r>
              <w:t>Kourlis</w:t>
            </w:r>
          </w:p>
        </w:tc>
      </w:tr>
      <w:tr w:rsidR="00DE3B0D" w14:paraId="529A5BBB" w14:textId="77777777" w:rsidTr="009A5322">
        <w:trPr>
          <w:trHeight w:val="60"/>
        </w:trPr>
        <w:tc>
          <w:tcPr>
            <w:tcW w:w="3685" w:type="dxa"/>
          </w:tcPr>
          <w:p w14:paraId="033D1262" w14:textId="679B5D86"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58F6E56F" w14:textId="4BB97C56" w:rsidR="00DE3B0D" w:rsidRDefault="00DE3B0D" w:rsidP="00A95E63">
            <w:pPr>
              <w:pStyle w:val="TableText"/>
            </w:pPr>
            <w:r>
              <w:t>Robert</w:t>
            </w:r>
            <w:r w:rsidR="00D23ECC">
              <w:t xml:space="preserve"> </w:t>
            </w:r>
            <w:r>
              <w:t>Mullins-Smith</w:t>
            </w:r>
          </w:p>
          <w:p w14:paraId="12CCB722" w14:textId="31B0F941" w:rsidR="00DE3B0D" w:rsidRDefault="00DE3B0D" w:rsidP="00A95E63">
            <w:pPr>
              <w:pStyle w:val="TableText"/>
            </w:pPr>
            <w:r>
              <w:t>Merelynn</w:t>
            </w:r>
            <w:r w:rsidR="00D23ECC">
              <w:t xml:space="preserve"> </w:t>
            </w:r>
            <w:r>
              <w:t>Mullins-Smith</w:t>
            </w:r>
          </w:p>
        </w:tc>
      </w:tr>
      <w:tr w:rsidR="00DE3B0D" w14:paraId="636DA650" w14:textId="77777777" w:rsidTr="009A5322">
        <w:trPr>
          <w:trHeight w:val="60"/>
        </w:trPr>
        <w:tc>
          <w:tcPr>
            <w:tcW w:w="3685" w:type="dxa"/>
          </w:tcPr>
          <w:p w14:paraId="06BE009C" w14:textId="4C76B3AC"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422A14D2" w14:textId="4A307F55" w:rsidR="00DE3B0D" w:rsidRDefault="00DE3B0D" w:rsidP="00A95E63">
            <w:pPr>
              <w:pStyle w:val="TableText"/>
            </w:pPr>
            <w:r>
              <w:t>Western</w:t>
            </w:r>
            <w:r w:rsidR="00D23ECC">
              <w:t xml:space="preserve"> </w:t>
            </w:r>
            <w:r>
              <w:t>Auto</w:t>
            </w:r>
            <w:r w:rsidR="00D23ECC">
              <w:t xml:space="preserve"> </w:t>
            </w:r>
            <w:r>
              <w:t>Exchange</w:t>
            </w:r>
            <w:r w:rsidR="00D23ECC">
              <w:t xml:space="preserve"> </w:t>
            </w:r>
            <w:r>
              <w:t>Pty</w:t>
            </w:r>
            <w:r w:rsidR="00D23ECC">
              <w:t xml:space="preserve"> </w:t>
            </w:r>
            <w:r>
              <w:t>Ltd</w:t>
            </w:r>
          </w:p>
        </w:tc>
      </w:tr>
      <w:tr w:rsidR="00DE3B0D" w14:paraId="76319E0A" w14:textId="77777777" w:rsidTr="009A5322">
        <w:trPr>
          <w:trHeight w:val="60"/>
        </w:trPr>
        <w:tc>
          <w:tcPr>
            <w:tcW w:w="3685" w:type="dxa"/>
          </w:tcPr>
          <w:p w14:paraId="009225BB" w14:textId="7682F70A"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01BE222C" w14:textId="1D06CF14" w:rsidR="00DE3B0D" w:rsidRDefault="00DE3B0D" w:rsidP="00A95E63">
            <w:pPr>
              <w:pStyle w:val="TableText"/>
            </w:pPr>
            <w:r>
              <w:t>Simon</w:t>
            </w:r>
            <w:r w:rsidR="00D23ECC">
              <w:t xml:space="preserve"> </w:t>
            </w:r>
            <w:r>
              <w:t>Ogle</w:t>
            </w:r>
          </w:p>
        </w:tc>
      </w:tr>
      <w:tr w:rsidR="00DE3B0D" w14:paraId="2BF018B0" w14:textId="77777777" w:rsidTr="009A5322">
        <w:trPr>
          <w:trHeight w:val="60"/>
        </w:trPr>
        <w:tc>
          <w:tcPr>
            <w:tcW w:w="3685" w:type="dxa"/>
          </w:tcPr>
          <w:p w14:paraId="6888E9D7" w14:textId="5297163F" w:rsidR="00DE3B0D" w:rsidRDefault="00DE3B0D" w:rsidP="00A95E63">
            <w:pPr>
              <w:pStyle w:val="TableText"/>
            </w:pPr>
            <w:r w:rsidRPr="00ED78BD">
              <w:rPr>
                <w:rStyle w:val="Emphasis"/>
              </w:rPr>
              <w:t>Mutual</w:t>
            </w:r>
            <w:r w:rsidR="00D23ECC" w:rsidRPr="00ED78BD">
              <w:rPr>
                <w:rStyle w:val="Emphasis"/>
              </w:rPr>
              <w:t xml:space="preserve"> </w:t>
            </w:r>
            <w:r w:rsidRPr="00ED78BD">
              <w:rPr>
                <w:rStyle w:val="Emphasis"/>
              </w:rPr>
              <w:t>Recognition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1992</w:t>
            </w:r>
            <w:r w:rsidR="00D23ECC" w:rsidRPr="00ED78BD">
              <w:rPr>
                <w:rStyle w:val="Emphasis"/>
              </w:rPr>
              <w:t xml:space="preserve"> </w:t>
            </w:r>
            <w:r w:rsidRPr="00ED78BD">
              <w:rPr>
                <w:rStyle w:val="Emphasis"/>
              </w:rPr>
              <w:t>(Cth)</w:t>
            </w:r>
          </w:p>
        </w:tc>
        <w:tc>
          <w:tcPr>
            <w:tcW w:w="5943" w:type="dxa"/>
          </w:tcPr>
          <w:p w14:paraId="677FC687" w14:textId="1018CDDD" w:rsidR="00DE3B0D" w:rsidRDefault="00DE3B0D" w:rsidP="00A95E63">
            <w:pPr>
              <w:pStyle w:val="TableText"/>
            </w:pPr>
            <w:r>
              <w:t>Ronald</w:t>
            </w:r>
            <w:r w:rsidR="00D23ECC">
              <w:t xml:space="preserve"> </w:t>
            </w:r>
            <w:r>
              <w:t>Cross</w:t>
            </w:r>
          </w:p>
        </w:tc>
      </w:tr>
      <w:tr w:rsidR="00DE3B0D" w14:paraId="6C230504" w14:textId="77777777" w:rsidTr="009A5322">
        <w:trPr>
          <w:trHeight w:val="398"/>
        </w:trPr>
        <w:tc>
          <w:tcPr>
            <w:tcW w:w="3685" w:type="dxa"/>
          </w:tcPr>
          <w:p w14:paraId="34EFE424" w14:textId="79D1BBB6"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72100880" w14:textId="1D489967" w:rsidR="00DE3B0D" w:rsidRDefault="00DE3B0D" w:rsidP="00A95E63">
            <w:pPr>
              <w:pStyle w:val="TableText"/>
            </w:pPr>
            <w:r>
              <w:t>Balmain</w:t>
            </w:r>
            <w:r w:rsidR="00D23ECC">
              <w:t xml:space="preserve"> </w:t>
            </w:r>
            <w:r>
              <w:t>Real</w:t>
            </w:r>
            <w:r w:rsidR="00D23ECC">
              <w:t xml:space="preserve"> </w:t>
            </w:r>
            <w:r>
              <w:t>Estate</w:t>
            </w:r>
            <w:r w:rsidR="00D23ECC">
              <w:t xml:space="preserve"> </w:t>
            </w:r>
            <w:r>
              <w:t>Pty</w:t>
            </w:r>
            <w:r w:rsidR="00D23ECC">
              <w:t xml:space="preserve"> </w:t>
            </w:r>
            <w:r>
              <w:t>Ltd</w:t>
            </w:r>
          </w:p>
        </w:tc>
      </w:tr>
      <w:tr w:rsidR="00DE3B0D" w14:paraId="66E4A706" w14:textId="77777777" w:rsidTr="009A5322">
        <w:trPr>
          <w:trHeight w:val="60"/>
        </w:trPr>
        <w:tc>
          <w:tcPr>
            <w:tcW w:w="3685" w:type="dxa"/>
          </w:tcPr>
          <w:p w14:paraId="168467A9" w14:textId="6E4DE20A"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708985F3" w14:textId="4B8883BD" w:rsidR="00DE3B0D" w:rsidRDefault="00DE3B0D" w:rsidP="00A95E63">
            <w:pPr>
              <w:pStyle w:val="TableText"/>
            </w:pPr>
            <w:r>
              <w:t>Miten</w:t>
            </w:r>
            <w:r w:rsidR="00D23ECC">
              <w:t xml:space="preserve"> </w:t>
            </w:r>
            <w:r>
              <w:t>Shah</w:t>
            </w:r>
          </w:p>
        </w:tc>
      </w:tr>
    </w:tbl>
    <w:p w14:paraId="2C89630A" w14:textId="35CF9099" w:rsidR="00DE3B0D" w:rsidRDefault="00DE3B0D" w:rsidP="00AE374E">
      <w:pPr>
        <w:pStyle w:val="Heading4"/>
      </w:pPr>
      <w:r>
        <w:rPr>
          <w:color w:val="000000"/>
        </w:rPr>
        <w:t>Ongoing</w:t>
      </w:r>
      <w:r w:rsidR="00D23ECC">
        <w:rPr>
          <w:color w:val="000000"/>
        </w:rPr>
        <w:t xml:space="preserve"> </w:t>
      </w:r>
      <w:r>
        <w:rPr>
          <w:color w:val="000000"/>
        </w:rPr>
        <w:t>court</w:t>
      </w:r>
      <w:r w:rsidR="00D23ECC">
        <w:rPr>
          <w:color w:val="000000"/>
        </w:rPr>
        <w:t xml:space="preserve"> </w:t>
      </w:r>
      <w:r>
        <w:rPr>
          <w:color w:val="000000"/>
        </w:rPr>
        <w:t>matters</w:t>
      </w:r>
      <w:r w:rsidR="00D23ECC">
        <w:rPr>
          <w:color w:val="000000"/>
        </w:rPr>
        <w:t xml:space="preserve"> </w:t>
      </w:r>
      <w:r>
        <w:rPr>
          <w:color w:val="000000"/>
        </w:rPr>
        <w:t>as</w:t>
      </w:r>
      <w:r w:rsidR="00D23ECC">
        <w:rPr>
          <w:color w:val="000000"/>
        </w:rPr>
        <w:t xml:space="preserve"> </w:t>
      </w:r>
      <w:r>
        <w:rPr>
          <w:color w:val="000000"/>
        </w:rPr>
        <w:t>at</w:t>
      </w:r>
      <w:r w:rsidR="00D23ECC">
        <w:rPr>
          <w:color w:val="000000"/>
        </w:rPr>
        <w:t xml:space="preserve"> </w:t>
      </w:r>
      <w:r>
        <w:rPr>
          <w:color w:val="000000"/>
        </w:rPr>
        <w:t>30</w:t>
      </w:r>
      <w:r w:rsidR="00D23ECC">
        <w:rPr>
          <w:color w:val="000000"/>
        </w:rPr>
        <w:t xml:space="preserve"> </w:t>
      </w:r>
      <w:r>
        <w:rPr>
          <w:color w:val="000000"/>
        </w:rPr>
        <w:t>June</w:t>
      </w:r>
      <w:r w:rsidR="00D23ECC">
        <w:rPr>
          <w:color w:val="000000"/>
        </w:rPr>
        <w:t xml:space="preserve"> </w:t>
      </w:r>
      <w:r>
        <w:rPr>
          <w:color w:val="000000"/>
        </w:rPr>
        <w:t>2021</w:t>
      </w:r>
    </w:p>
    <w:p w14:paraId="2DA94994" w14:textId="3552CBDF" w:rsidR="00DE3B0D" w:rsidRDefault="00DE3B0D" w:rsidP="00AE374E">
      <w:pPr>
        <w:pStyle w:val="Heading5"/>
      </w:pPr>
      <w:r>
        <w:rPr>
          <w:color w:val="000000"/>
        </w:rPr>
        <w:t>Criminal</w:t>
      </w:r>
      <w:r w:rsidR="00D23ECC">
        <w:rPr>
          <w:color w:val="000000"/>
        </w:rPr>
        <w:t xml:space="preserve"> </w:t>
      </w:r>
      <w:r>
        <w:rPr>
          <w:color w:val="000000"/>
        </w:rPr>
        <w:t>prosecution</w:t>
      </w:r>
    </w:p>
    <w:tbl>
      <w:tblPr>
        <w:tblStyle w:val="TableGrid"/>
        <w:tblW w:w="9072" w:type="dxa"/>
        <w:tblLayout w:type="fixed"/>
        <w:tblLook w:val="00A0" w:firstRow="1" w:lastRow="0" w:firstColumn="1" w:lastColumn="0" w:noHBand="0" w:noVBand="0"/>
      </w:tblPr>
      <w:tblGrid>
        <w:gridCol w:w="3476"/>
        <w:gridCol w:w="5596"/>
      </w:tblGrid>
      <w:tr w:rsidR="00DE3B0D" w14:paraId="51A8834F"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52788F87" w14:textId="77777777" w:rsidR="00DE3B0D" w:rsidRDefault="00DE3B0D" w:rsidP="00A95E63">
            <w:pPr>
              <w:pStyle w:val="TableColHead"/>
            </w:pPr>
            <w:r>
              <w:t>Legislation</w:t>
            </w:r>
          </w:p>
        </w:tc>
        <w:tc>
          <w:tcPr>
            <w:tcW w:w="5943" w:type="dxa"/>
          </w:tcPr>
          <w:p w14:paraId="762702EF" w14:textId="77777777" w:rsidR="00DE3B0D" w:rsidRDefault="00DE3B0D" w:rsidP="00A95E63">
            <w:pPr>
              <w:pStyle w:val="TableColHead"/>
            </w:pPr>
            <w:r>
              <w:t>Parties</w:t>
            </w:r>
          </w:p>
        </w:tc>
      </w:tr>
      <w:tr w:rsidR="00DE3B0D" w14:paraId="322625DA" w14:textId="77777777" w:rsidTr="009A5322">
        <w:trPr>
          <w:trHeight w:val="60"/>
        </w:trPr>
        <w:tc>
          <w:tcPr>
            <w:tcW w:w="3685" w:type="dxa"/>
          </w:tcPr>
          <w:p w14:paraId="48C24A89" w14:textId="09BCFCCC" w:rsidR="00DE3B0D" w:rsidRDefault="00DE3B0D" w:rsidP="00A95E63">
            <w:pPr>
              <w:pStyle w:val="TableText"/>
            </w:pPr>
            <w:r w:rsidRPr="00ED78BD">
              <w:rPr>
                <w:rStyle w:val="Emphasis"/>
              </w:rPr>
              <w:t>Conveyancers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2006</w:t>
            </w:r>
          </w:p>
        </w:tc>
        <w:tc>
          <w:tcPr>
            <w:tcW w:w="5943" w:type="dxa"/>
          </w:tcPr>
          <w:p w14:paraId="60B245A1" w14:textId="680B4935" w:rsidR="00DE3B0D" w:rsidRDefault="00DE3B0D" w:rsidP="00A95E63">
            <w:pPr>
              <w:pStyle w:val="TableText"/>
            </w:pPr>
            <w:r>
              <w:t>Eric</w:t>
            </w:r>
            <w:r w:rsidR="00D23ECC">
              <w:t xml:space="preserve"> </w:t>
            </w:r>
            <w:r>
              <w:t>Hans</w:t>
            </w:r>
            <w:r w:rsidR="00D23ECC">
              <w:t xml:space="preserve"> </w:t>
            </w:r>
            <w:r>
              <w:t>Richmond</w:t>
            </w:r>
          </w:p>
        </w:tc>
      </w:tr>
      <w:tr w:rsidR="00DE3B0D" w14:paraId="5F87FC18" w14:textId="77777777" w:rsidTr="009A5322">
        <w:trPr>
          <w:trHeight w:val="60"/>
        </w:trPr>
        <w:tc>
          <w:tcPr>
            <w:tcW w:w="3685" w:type="dxa"/>
          </w:tcPr>
          <w:p w14:paraId="7C86F967" w14:textId="2544183B" w:rsidR="00DE3B0D" w:rsidRDefault="00DE3B0D" w:rsidP="00A95E63">
            <w:pPr>
              <w:pStyle w:val="TableText"/>
            </w:pP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1997</w:t>
            </w:r>
          </w:p>
        </w:tc>
        <w:tc>
          <w:tcPr>
            <w:tcW w:w="5943" w:type="dxa"/>
          </w:tcPr>
          <w:p w14:paraId="611AE31F" w14:textId="42223A8D" w:rsidR="00DE3B0D" w:rsidRDefault="00DE3B0D" w:rsidP="00A95E63">
            <w:pPr>
              <w:pStyle w:val="TableText"/>
            </w:pPr>
            <w:r>
              <w:t>Waterdale</w:t>
            </w:r>
            <w:r w:rsidR="00D23ECC">
              <w:t xml:space="preserve"> </w:t>
            </w:r>
            <w:r>
              <w:t>Property</w:t>
            </w:r>
            <w:r w:rsidR="00D23ECC">
              <w:t xml:space="preserve"> </w:t>
            </w:r>
            <w:r>
              <w:t>Agent</w:t>
            </w:r>
            <w:r w:rsidR="00D23ECC">
              <w:t xml:space="preserve"> </w:t>
            </w:r>
            <w:r>
              <w:t>Pty</w:t>
            </w:r>
            <w:r w:rsidR="00D23ECC">
              <w:t xml:space="preserve"> </w:t>
            </w:r>
            <w:r>
              <w:t>Ltd</w:t>
            </w:r>
          </w:p>
        </w:tc>
      </w:tr>
      <w:tr w:rsidR="00DE3B0D" w14:paraId="03606A69" w14:textId="77777777" w:rsidTr="009A5322">
        <w:trPr>
          <w:trHeight w:val="60"/>
        </w:trPr>
        <w:tc>
          <w:tcPr>
            <w:tcW w:w="3685" w:type="dxa"/>
          </w:tcPr>
          <w:p w14:paraId="7EDF0AC4" w14:textId="2CF4519E" w:rsidR="00DE3B0D" w:rsidRDefault="00DE3B0D" w:rsidP="00A95E63">
            <w:pPr>
              <w:pStyle w:val="TableText"/>
            </w:pP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Fair</w:t>
            </w:r>
            <w:r w:rsidR="00D23ECC" w:rsidRPr="00ED78BD">
              <w:rPr>
                <w:rStyle w:val="Emphasis"/>
              </w:rPr>
              <w:t xml:space="preserve"> </w:t>
            </w:r>
            <w:r w:rsidRPr="00ED78BD">
              <w:rPr>
                <w:rStyle w:val="Emphasis"/>
              </w:rPr>
              <w:t>Trading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p>
        </w:tc>
        <w:tc>
          <w:tcPr>
            <w:tcW w:w="5943" w:type="dxa"/>
          </w:tcPr>
          <w:p w14:paraId="4DAD108A" w14:textId="7BC3D3D3" w:rsidR="00DE3B0D" w:rsidRDefault="00DE3B0D" w:rsidP="00A95E63">
            <w:pPr>
              <w:pStyle w:val="TableText"/>
            </w:pPr>
            <w:r>
              <w:t>Andreas</w:t>
            </w:r>
            <w:r w:rsidR="00D23ECC">
              <w:t xml:space="preserve"> </w:t>
            </w:r>
            <w:r>
              <w:t>Triantafyllos</w:t>
            </w:r>
          </w:p>
        </w:tc>
      </w:tr>
      <w:tr w:rsidR="00DE3B0D" w14:paraId="05598D59" w14:textId="77777777" w:rsidTr="009A5322">
        <w:trPr>
          <w:trHeight w:val="60"/>
        </w:trPr>
        <w:tc>
          <w:tcPr>
            <w:tcW w:w="3685" w:type="dxa"/>
          </w:tcPr>
          <w:p w14:paraId="24DEDD51" w14:textId="3B2442E7"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14DD357C" w14:textId="05C55D23" w:rsidR="00DE3B0D" w:rsidRDefault="00DE3B0D" w:rsidP="00A95E63">
            <w:pPr>
              <w:pStyle w:val="TableText"/>
            </w:pPr>
            <w:r>
              <w:t>Drives</w:t>
            </w:r>
            <w:r w:rsidR="00D23ECC">
              <w:t xml:space="preserve"> </w:t>
            </w:r>
            <w:r>
              <w:t>(Aust.)</w:t>
            </w:r>
            <w:r w:rsidR="00D23ECC">
              <w:t xml:space="preserve"> </w:t>
            </w:r>
            <w:r>
              <w:t>Pty</w:t>
            </w:r>
            <w:r w:rsidR="00D23ECC">
              <w:t xml:space="preserve"> </w:t>
            </w:r>
            <w:r>
              <w:t>Ltd</w:t>
            </w:r>
          </w:p>
        </w:tc>
      </w:tr>
      <w:tr w:rsidR="00DE3B0D" w14:paraId="2E03958F" w14:textId="77777777" w:rsidTr="009A5322">
        <w:trPr>
          <w:trHeight w:val="60"/>
        </w:trPr>
        <w:tc>
          <w:tcPr>
            <w:tcW w:w="3685" w:type="dxa"/>
          </w:tcPr>
          <w:p w14:paraId="579044C1" w14:textId="55C6B89D"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54AA8D82" w14:textId="358F0F05" w:rsidR="00DE3B0D" w:rsidRDefault="00DE3B0D" w:rsidP="00A95E63">
            <w:pPr>
              <w:pStyle w:val="TableText"/>
            </w:pPr>
            <w:r>
              <w:t>Zehar</w:t>
            </w:r>
            <w:r w:rsidR="00D23ECC">
              <w:t xml:space="preserve"> </w:t>
            </w:r>
            <w:r>
              <w:t>Saoud</w:t>
            </w:r>
          </w:p>
        </w:tc>
      </w:tr>
      <w:tr w:rsidR="00DE3B0D" w14:paraId="310E9E36" w14:textId="77777777" w:rsidTr="009A5322">
        <w:trPr>
          <w:trHeight w:val="60"/>
        </w:trPr>
        <w:tc>
          <w:tcPr>
            <w:tcW w:w="3685" w:type="dxa"/>
          </w:tcPr>
          <w:p w14:paraId="5A8D66EA" w14:textId="77BCC9A0"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7DB20249" w14:textId="50096243" w:rsidR="00DE3B0D" w:rsidRDefault="00DE3B0D" w:rsidP="00A95E63">
            <w:pPr>
              <w:pStyle w:val="TableText"/>
            </w:pPr>
            <w:r>
              <w:t>Amit</w:t>
            </w:r>
            <w:r w:rsidR="00D23ECC">
              <w:t xml:space="preserve"> </w:t>
            </w:r>
            <w:r>
              <w:t>Miglani</w:t>
            </w:r>
          </w:p>
        </w:tc>
      </w:tr>
      <w:tr w:rsidR="00DE3B0D" w14:paraId="7C89C759" w14:textId="77777777" w:rsidTr="009A5322">
        <w:trPr>
          <w:trHeight w:val="60"/>
        </w:trPr>
        <w:tc>
          <w:tcPr>
            <w:tcW w:w="3685" w:type="dxa"/>
          </w:tcPr>
          <w:p w14:paraId="18D8427B" w14:textId="4EC4A6FD"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3B7B1963" w14:textId="69E1FD7E" w:rsidR="00DE3B0D" w:rsidRDefault="00DE3B0D" w:rsidP="00A95E63">
            <w:pPr>
              <w:pStyle w:val="TableText"/>
            </w:pPr>
            <w:r>
              <w:t>Kylie</w:t>
            </w:r>
            <w:r w:rsidR="00D23ECC">
              <w:t xml:space="preserve"> </w:t>
            </w:r>
            <w:r>
              <w:t>Campbell</w:t>
            </w:r>
          </w:p>
        </w:tc>
      </w:tr>
      <w:tr w:rsidR="00DE3B0D" w14:paraId="6D19776C" w14:textId="77777777" w:rsidTr="009A5322">
        <w:trPr>
          <w:trHeight w:val="60"/>
        </w:trPr>
        <w:tc>
          <w:tcPr>
            <w:tcW w:w="3685" w:type="dxa"/>
          </w:tcPr>
          <w:p w14:paraId="4CB1A01C" w14:textId="4CAD3429"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555838E6" w14:textId="213B2F57" w:rsidR="00DE3B0D" w:rsidRDefault="00DE3B0D" w:rsidP="00A95E63">
            <w:pPr>
              <w:pStyle w:val="TableText"/>
            </w:pPr>
            <w:r>
              <w:t>Boston</w:t>
            </w:r>
            <w:r w:rsidR="00D23ECC">
              <w:t xml:space="preserve"> </w:t>
            </w:r>
            <w:r>
              <w:t>&amp;</w:t>
            </w:r>
            <w:r w:rsidR="00D23ECC">
              <w:t xml:space="preserve"> </w:t>
            </w:r>
            <w:r>
              <w:t>Brighton</w:t>
            </w:r>
          </w:p>
          <w:p w14:paraId="348BAA85" w14:textId="20631EA3" w:rsidR="00DE3B0D" w:rsidRDefault="00DE3B0D" w:rsidP="00A95E63">
            <w:pPr>
              <w:pStyle w:val="TableText"/>
            </w:pPr>
            <w:r>
              <w:t>Simon</w:t>
            </w:r>
            <w:r w:rsidR="00D23ECC">
              <w:t xml:space="preserve"> </w:t>
            </w:r>
            <w:r>
              <w:t>Michaelis</w:t>
            </w:r>
          </w:p>
        </w:tc>
      </w:tr>
      <w:tr w:rsidR="00DE3B0D" w14:paraId="18B1DF1C" w14:textId="77777777" w:rsidTr="009A5322">
        <w:trPr>
          <w:trHeight w:val="60"/>
        </w:trPr>
        <w:tc>
          <w:tcPr>
            <w:tcW w:w="3685" w:type="dxa"/>
          </w:tcPr>
          <w:p w14:paraId="0507528A" w14:textId="748DA8C5"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04F6259E" w14:textId="10235DDC" w:rsidR="00DE3B0D" w:rsidRDefault="00DE3B0D" w:rsidP="00A95E63">
            <w:pPr>
              <w:pStyle w:val="TableText"/>
            </w:pPr>
            <w:r>
              <w:t>Ausco</w:t>
            </w:r>
            <w:r w:rsidR="00D23ECC">
              <w:t xml:space="preserve"> </w:t>
            </w:r>
            <w:r>
              <w:t>Real</w:t>
            </w:r>
            <w:r w:rsidR="00D23ECC">
              <w:t xml:space="preserve"> </w:t>
            </w:r>
            <w:r>
              <w:t>Estate</w:t>
            </w:r>
            <w:r w:rsidR="00D23ECC">
              <w:t xml:space="preserve"> </w:t>
            </w:r>
            <w:r>
              <w:t>Pty</w:t>
            </w:r>
            <w:r w:rsidR="00D23ECC">
              <w:t xml:space="preserve"> </w:t>
            </w:r>
            <w:r>
              <w:t>Ltd</w:t>
            </w:r>
          </w:p>
          <w:p w14:paraId="720DDBB0" w14:textId="701A1557" w:rsidR="00DE3B0D" w:rsidRDefault="00DE3B0D" w:rsidP="00A95E63">
            <w:pPr>
              <w:pStyle w:val="TableText"/>
            </w:pPr>
            <w:r>
              <w:t>Bruce</w:t>
            </w:r>
            <w:r w:rsidR="00D23ECC">
              <w:t xml:space="preserve"> </w:t>
            </w:r>
            <w:r>
              <w:t>Yang</w:t>
            </w:r>
          </w:p>
        </w:tc>
      </w:tr>
      <w:tr w:rsidR="00DE3B0D" w14:paraId="4BA265CD" w14:textId="77777777" w:rsidTr="009A5322">
        <w:trPr>
          <w:trHeight w:val="60"/>
        </w:trPr>
        <w:tc>
          <w:tcPr>
            <w:tcW w:w="3685" w:type="dxa"/>
          </w:tcPr>
          <w:p w14:paraId="7AC8E57F" w14:textId="61823289"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08193F69" w14:textId="1EEBE475" w:rsidR="00DE3B0D" w:rsidRDefault="00DE3B0D" w:rsidP="00A95E63">
            <w:pPr>
              <w:pStyle w:val="TableText"/>
            </w:pPr>
            <w:r>
              <w:t>Thomas</w:t>
            </w:r>
            <w:r w:rsidR="00D23ECC">
              <w:t xml:space="preserve"> </w:t>
            </w:r>
            <w:r>
              <w:t>Henry</w:t>
            </w:r>
            <w:r w:rsidR="00D23ECC">
              <w:t xml:space="preserve"> </w:t>
            </w:r>
            <w:r>
              <w:t>Albert</w:t>
            </w:r>
            <w:r w:rsidR="00D23ECC">
              <w:t xml:space="preserve"> </w:t>
            </w:r>
            <w:r>
              <w:t>Aloysius</w:t>
            </w:r>
          </w:p>
        </w:tc>
      </w:tr>
    </w:tbl>
    <w:p w14:paraId="1551B2BA" w14:textId="28B85B66" w:rsidR="00DE3B0D" w:rsidRDefault="00DE3B0D" w:rsidP="00AE374E">
      <w:pPr>
        <w:pStyle w:val="Heading5"/>
      </w:pPr>
      <w:r>
        <w:rPr>
          <w:color w:val="000000"/>
        </w:rPr>
        <w:t>Civil</w:t>
      </w:r>
      <w:r w:rsidR="00D23ECC">
        <w:rPr>
          <w:color w:val="000000"/>
        </w:rPr>
        <w:t xml:space="preserve"> </w:t>
      </w:r>
      <w:r>
        <w:rPr>
          <w:color w:val="000000"/>
        </w:rPr>
        <w:t>proceedings</w:t>
      </w:r>
      <w:r w:rsidR="00D23ECC">
        <w:rPr>
          <w:color w:val="000000"/>
        </w:rPr>
        <w:t xml:space="preserve"> </w:t>
      </w:r>
      <w:r>
        <w:rPr>
          <w:color w:val="000000"/>
        </w:rPr>
        <w:t>(including</w:t>
      </w:r>
      <w:r w:rsidR="00D23ECC">
        <w:rPr>
          <w:color w:val="000000"/>
        </w:rPr>
        <w:t xml:space="preserve"> </w:t>
      </w:r>
      <w:r>
        <w:rPr>
          <w:color w:val="000000"/>
        </w:rPr>
        <w:t>disciplinary</w:t>
      </w:r>
      <w:r w:rsidR="00D23ECC">
        <w:rPr>
          <w:color w:val="000000"/>
        </w:rPr>
        <w:t xml:space="preserve"> </w:t>
      </w:r>
      <w:r>
        <w:rPr>
          <w:color w:val="000000"/>
        </w:rPr>
        <w:t>inquiry)</w:t>
      </w:r>
    </w:p>
    <w:tbl>
      <w:tblPr>
        <w:tblStyle w:val="TableGrid"/>
        <w:tblW w:w="9072" w:type="dxa"/>
        <w:tblLayout w:type="fixed"/>
        <w:tblLook w:val="00A0" w:firstRow="1" w:lastRow="0" w:firstColumn="1" w:lastColumn="0" w:noHBand="0" w:noVBand="0"/>
      </w:tblPr>
      <w:tblGrid>
        <w:gridCol w:w="3476"/>
        <w:gridCol w:w="5596"/>
      </w:tblGrid>
      <w:tr w:rsidR="00DE3B0D" w14:paraId="04A41E55"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A42449C" w14:textId="77777777" w:rsidR="00DE3B0D" w:rsidRDefault="00DE3B0D" w:rsidP="00A95E63">
            <w:pPr>
              <w:pStyle w:val="TableColHead"/>
            </w:pPr>
            <w:r>
              <w:t>Legislation</w:t>
            </w:r>
          </w:p>
        </w:tc>
        <w:tc>
          <w:tcPr>
            <w:tcW w:w="5943" w:type="dxa"/>
          </w:tcPr>
          <w:p w14:paraId="5B4F19F8" w14:textId="77777777" w:rsidR="00DE3B0D" w:rsidRDefault="00DE3B0D" w:rsidP="00A95E63">
            <w:pPr>
              <w:pStyle w:val="TableColHead"/>
            </w:pPr>
            <w:r>
              <w:t>Parties</w:t>
            </w:r>
          </w:p>
        </w:tc>
      </w:tr>
      <w:tr w:rsidR="00DE3B0D" w14:paraId="4F4FFEDE" w14:textId="77777777" w:rsidTr="009A5322">
        <w:trPr>
          <w:trHeight w:val="60"/>
        </w:trPr>
        <w:tc>
          <w:tcPr>
            <w:tcW w:w="3685" w:type="dxa"/>
          </w:tcPr>
          <w:p w14:paraId="272C5130" w14:textId="62EA5E2D"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6A335BA7" w14:textId="711C1F17" w:rsidR="00DE3B0D" w:rsidRDefault="00DE3B0D" w:rsidP="00A95E63">
            <w:pPr>
              <w:pStyle w:val="TableText"/>
            </w:pPr>
            <w:r>
              <w:t>Tsun</w:t>
            </w:r>
            <w:r w:rsidR="00D23ECC">
              <w:t xml:space="preserve"> </w:t>
            </w:r>
            <w:r>
              <w:t>Ngai</w:t>
            </w:r>
            <w:r w:rsidR="00D23ECC">
              <w:t xml:space="preserve"> </w:t>
            </w:r>
            <w:r>
              <w:t>Lee</w:t>
            </w:r>
          </w:p>
        </w:tc>
      </w:tr>
      <w:tr w:rsidR="00DE3B0D" w14:paraId="7A1CB2B4" w14:textId="77777777" w:rsidTr="009A5322">
        <w:trPr>
          <w:trHeight w:val="60"/>
        </w:trPr>
        <w:tc>
          <w:tcPr>
            <w:tcW w:w="3685" w:type="dxa"/>
          </w:tcPr>
          <w:p w14:paraId="4AF16563" w14:textId="6C1FCCC4"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29CB5F88" w14:textId="395D4E7A" w:rsidR="00DE3B0D" w:rsidRDefault="00DE3B0D" w:rsidP="00A95E63">
            <w:pPr>
              <w:pStyle w:val="TableText"/>
            </w:pPr>
            <w:r>
              <w:t>Colliers</w:t>
            </w:r>
            <w:r w:rsidR="00D23ECC">
              <w:t xml:space="preserve"> </w:t>
            </w:r>
            <w:r>
              <w:t>International</w:t>
            </w:r>
            <w:r w:rsidR="00D23ECC">
              <w:t xml:space="preserve"> </w:t>
            </w:r>
            <w:r>
              <w:t>(Victoria)</w:t>
            </w:r>
            <w:r w:rsidR="00D23ECC">
              <w:t xml:space="preserve"> </w:t>
            </w:r>
            <w:r>
              <w:t>Pty</w:t>
            </w:r>
            <w:r w:rsidR="00D23ECC">
              <w:t xml:space="preserve"> </w:t>
            </w:r>
            <w:r>
              <w:t>Ltd</w:t>
            </w:r>
          </w:p>
        </w:tc>
      </w:tr>
      <w:tr w:rsidR="00DE3B0D" w14:paraId="34F56A4F" w14:textId="77777777" w:rsidTr="009A5322">
        <w:trPr>
          <w:trHeight w:val="60"/>
        </w:trPr>
        <w:tc>
          <w:tcPr>
            <w:tcW w:w="3685" w:type="dxa"/>
          </w:tcPr>
          <w:p w14:paraId="3A009C7A" w14:textId="6FC36D65" w:rsidR="00DE3B0D" w:rsidRDefault="00DE3B0D" w:rsidP="00A95E63">
            <w:pPr>
              <w:pStyle w:val="TableText"/>
            </w:pP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p>
        </w:tc>
        <w:tc>
          <w:tcPr>
            <w:tcW w:w="5943" w:type="dxa"/>
          </w:tcPr>
          <w:p w14:paraId="447FBC2D" w14:textId="2D0A250C" w:rsidR="00DE3B0D" w:rsidRDefault="00DE3B0D" w:rsidP="00A95E63">
            <w:pPr>
              <w:pStyle w:val="TableText"/>
            </w:pPr>
            <w:r>
              <w:t>Vic</w:t>
            </w:r>
            <w:r w:rsidR="00D23ECC">
              <w:t xml:space="preserve"> </w:t>
            </w:r>
            <w:r>
              <w:t>Solar</w:t>
            </w:r>
            <w:r w:rsidR="00D23ECC">
              <w:t xml:space="preserve"> </w:t>
            </w:r>
            <w:r>
              <w:t>Technologies</w:t>
            </w:r>
            <w:r w:rsidR="00D23ECC">
              <w:t xml:space="preserve"> </w:t>
            </w:r>
            <w:r>
              <w:t>Pty</w:t>
            </w:r>
            <w:r w:rsidR="00D23ECC">
              <w:t xml:space="preserve"> </w:t>
            </w:r>
            <w:r>
              <w:t>Ltd</w:t>
            </w:r>
          </w:p>
          <w:p w14:paraId="7362EB9A" w14:textId="10C037CC" w:rsidR="00DE3B0D" w:rsidRDefault="00DE3B0D" w:rsidP="00A95E63">
            <w:pPr>
              <w:pStyle w:val="TableText"/>
            </w:pPr>
            <w:r>
              <w:t>Sunny</w:t>
            </w:r>
            <w:r w:rsidR="00D23ECC">
              <w:t xml:space="preserve"> </w:t>
            </w:r>
            <w:r>
              <w:t>Srinivasan</w:t>
            </w:r>
          </w:p>
        </w:tc>
      </w:tr>
      <w:tr w:rsidR="00DE3B0D" w14:paraId="1AF4A576" w14:textId="77777777" w:rsidTr="009A5322">
        <w:trPr>
          <w:trHeight w:val="60"/>
        </w:trPr>
        <w:tc>
          <w:tcPr>
            <w:tcW w:w="3685" w:type="dxa"/>
          </w:tcPr>
          <w:p w14:paraId="45FC19D0" w14:textId="7186DD90"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7377147B" w14:textId="2F34F87E" w:rsidR="00DE3B0D" w:rsidRDefault="00DE3B0D" w:rsidP="00A95E63">
            <w:pPr>
              <w:pStyle w:val="TableText"/>
            </w:pPr>
            <w:r>
              <w:t>Surinder</w:t>
            </w:r>
            <w:r w:rsidR="00D23ECC">
              <w:t xml:space="preserve"> </w:t>
            </w:r>
            <w:r>
              <w:t>Sarain</w:t>
            </w:r>
          </w:p>
          <w:p w14:paraId="3A599D4F" w14:textId="1749A664" w:rsidR="00DE3B0D" w:rsidRDefault="00DE3B0D" w:rsidP="00A95E63">
            <w:pPr>
              <w:pStyle w:val="TableText"/>
            </w:pPr>
            <w:r>
              <w:t>The</w:t>
            </w:r>
            <w:r w:rsidR="00D23ECC">
              <w:t xml:space="preserve"> </w:t>
            </w:r>
            <w:r>
              <w:t>Sarain</w:t>
            </w:r>
            <w:r w:rsidR="00D23ECC">
              <w:t xml:space="preserve"> </w:t>
            </w:r>
            <w:r>
              <w:t>Pty</w:t>
            </w:r>
            <w:r w:rsidR="00D23ECC">
              <w:t xml:space="preserve"> </w:t>
            </w:r>
            <w:r>
              <w:t>Ltd</w:t>
            </w:r>
          </w:p>
        </w:tc>
      </w:tr>
    </w:tbl>
    <w:p w14:paraId="08C4FDAF" w14:textId="77777777" w:rsidR="009A5322" w:rsidRPr="009A5322" w:rsidRDefault="009A5322" w:rsidP="009A5322">
      <w:pPr>
        <w:pStyle w:val="BodyText"/>
      </w:pPr>
      <w:r w:rsidRPr="009A5322">
        <w:br w:type="page"/>
      </w:r>
    </w:p>
    <w:p w14:paraId="5B344187" w14:textId="19846FE2" w:rsidR="00DE3B0D" w:rsidRDefault="00DE3B0D" w:rsidP="00AE374E">
      <w:pPr>
        <w:pStyle w:val="Heading5"/>
      </w:pPr>
      <w:r>
        <w:rPr>
          <w:color w:val="000000"/>
        </w:rPr>
        <w:lastRenderedPageBreak/>
        <w:t>Administrative/judicial</w:t>
      </w:r>
      <w:r w:rsidR="00D23ECC">
        <w:rPr>
          <w:color w:val="000000"/>
        </w:rPr>
        <w:t xml:space="preserve"> </w:t>
      </w:r>
      <w:r>
        <w:rPr>
          <w:color w:val="000000"/>
        </w:rPr>
        <w:t>review</w:t>
      </w:r>
      <w:r w:rsidR="00D23ECC">
        <w:rPr>
          <w:color w:val="000000"/>
        </w:rPr>
        <w:t xml:space="preserve"> </w:t>
      </w:r>
      <w:r>
        <w:rPr>
          <w:color w:val="000000"/>
        </w:rPr>
        <w:t>on</w:t>
      </w:r>
      <w:r w:rsidR="00D23ECC">
        <w:rPr>
          <w:color w:val="000000"/>
        </w:rPr>
        <w:t xml:space="preserve"> </w:t>
      </w:r>
      <w:r>
        <w:rPr>
          <w:color w:val="000000"/>
        </w:rPr>
        <w:t>behalf</w:t>
      </w:r>
      <w:r w:rsidR="00D23ECC">
        <w:rPr>
          <w:color w:val="000000"/>
        </w:rPr>
        <w:t xml:space="preserve"> </w:t>
      </w:r>
      <w:r>
        <w:rPr>
          <w:color w:val="000000"/>
        </w:rPr>
        <w:t>of</w:t>
      </w:r>
      <w:r w:rsidR="00D23ECC">
        <w:rPr>
          <w:color w:val="000000"/>
        </w:rPr>
        <w:t xml:space="preserve"> </w:t>
      </w:r>
      <w:r>
        <w:rPr>
          <w:color w:val="000000"/>
        </w:rPr>
        <w:t>the</w:t>
      </w:r>
      <w:r w:rsidR="00D23ECC">
        <w:rPr>
          <w:color w:val="000000"/>
        </w:rPr>
        <w:t xml:space="preserve"> </w:t>
      </w:r>
      <w:r>
        <w:rPr>
          <w:color w:val="000000"/>
        </w:rPr>
        <w:t>BLA</w:t>
      </w:r>
      <w:r w:rsidR="00D23ECC">
        <w:rPr>
          <w:color w:val="000000"/>
        </w:rPr>
        <w:t xml:space="preserve"> </w:t>
      </w:r>
      <w:r>
        <w:rPr>
          <w:color w:val="000000"/>
        </w:rPr>
        <w:t>and</w:t>
      </w:r>
      <w:r w:rsidR="00D23ECC">
        <w:rPr>
          <w:color w:val="000000"/>
        </w:rPr>
        <w:t xml:space="preserve"> </w:t>
      </w:r>
      <w:r>
        <w:rPr>
          <w:color w:val="000000"/>
        </w:rPr>
        <w:t>others</w:t>
      </w:r>
    </w:p>
    <w:tbl>
      <w:tblPr>
        <w:tblStyle w:val="TableGrid"/>
        <w:tblW w:w="9072" w:type="dxa"/>
        <w:tblLayout w:type="fixed"/>
        <w:tblLook w:val="00A0" w:firstRow="1" w:lastRow="0" w:firstColumn="1" w:lastColumn="0" w:noHBand="0" w:noVBand="0"/>
      </w:tblPr>
      <w:tblGrid>
        <w:gridCol w:w="3476"/>
        <w:gridCol w:w="5596"/>
      </w:tblGrid>
      <w:tr w:rsidR="00DE3B0D" w14:paraId="64EB06E9"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7EC2B4F3" w14:textId="77777777" w:rsidR="00DE3B0D" w:rsidRDefault="00DE3B0D" w:rsidP="00A95E63">
            <w:pPr>
              <w:pStyle w:val="TableColHead"/>
            </w:pPr>
            <w:r>
              <w:t>Legislation</w:t>
            </w:r>
          </w:p>
        </w:tc>
        <w:tc>
          <w:tcPr>
            <w:tcW w:w="5943" w:type="dxa"/>
          </w:tcPr>
          <w:p w14:paraId="0EA4D779" w14:textId="77777777" w:rsidR="00DE3B0D" w:rsidRDefault="00DE3B0D" w:rsidP="00A95E63">
            <w:pPr>
              <w:pStyle w:val="TableColHead"/>
            </w:pPr>
            <w:r>
              <w:t>Parties</w:t>
            </w:r>
          </w:p>
        </w:tc>
      </w:tr>
      <w:tr w:rsidR="00DE3B0D" w14:paraId="1785A29A" w14:textId="77777777" w:rsidTr="009A5322">
        <w:trPr>
          <w:trHeight w:val="60"/>
        </w:trPr>
        <w:tc>
          <w:tcPr>
            <w:tcW w:w="3685" w:type="dxa"/>
          </w:tcPr>
          <w:p w14:paraId="2774FD33" w14:textId="0FAA80BC"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4E225E39" w14:textId="5C35F235" w:rsidR="00DE3B0D" w:rsidRDefault="00DE3B0D" w:rsidP="00A95E63">
            <w:pPr>
              <w:pStyle w:val="TableText"/>
            </w:pPr>
            <w:r>
              <w:t>CMG</w:t>
            </w:r>
            <w:r w:rsidR="00D23ECC">
              <w:t xml:space="preserve"> </w:t>
            </w:r>
            <w:r>
              <w:t>Automotive</w:t>
            </w:r>
            <w:r w:rsidR="00D23ECC">
              <w:t xml:space="preserve"> </w:t>
            </w:r>
            <w:r>
              <w:t>Pty</w:t>
            </w:r>
            <w:r w:rsidR="00D23ECC">
              <w:t xml:space="preserve"> </w:t>
            </w:r>
            <w:r>
              <w:t>Ltd</w:t>
            </w:r>
          </w:p>
        </w:tc>
      </w:tr>
      <w:tr w:rsidR="00DE3B0D" w14:paraId="041AE194" w14:textId="77777777" w:rsidTr="009A5322">
        <w:trPr>
          <w:trHeight w:val="60"/>
        </w:trPr>
        <w:tc>
          <w:tcPr>
            <w:tcW w:w="3685" w:type="dxa"/>
          </w:tcPr>
          <w:p w14:paraId="7CBBA504" w14:textId="02BA609C" w:rsidR="00DE3B0D" w:rsidRDefault="00DE3B0D" w:rsidP="00A95E63">
            <w:pPr>
              <w:pStyle w:val="TableText"/>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tc>
        <w:tc>
          <w:tcPr>
            <w:tcW w:w="5943" w:type="dxa"/>
          </w:tcPr>
          <w:p w14:paraId="45B677B3" w14:textId="30D69669" w:rsidR="00DE3B0D" w:rsidRDefault="00DE3B0D" w:rsidP="00A95E63">
            <w:pPr>
              <w:pStyle w:val="TableText"/>
            </w:pPr>
            <w:r>
              <w:t>Rajinder</w:t>
            </w:r>
            <w:r w:rsidR="00D23ECC">
              <w:t xml:space="preserve"> </w:t>
            </w:r>
            <w:r>
              <w:t>Kumar</w:t>
            </w:r>
          </w:p>
        </w:tc>
      </w:tr>
      <w:tr w:rsidR="00DE3B0D" w14:paraId="5EC8E1E7" w14:textId="77777777" w:rsidTr="009A5322">
        <w:trPr>
          <w:trHeight w:val="60"/>
        </w:trPr>
        <w:tc>
          <w:tcPr>
            <w:tcW w:w="3685" w:type="dxa"/>
          </w:tcPr>
          <w:p w14:paraId="164C8C30" w14:textId="2FD49216" w:rsidR="00DE3B0D" w:rsidRDefault="00DE3B0D" w:rsidP="00A95E63">
            <w:pPr>
              <w:pStyle w:val="TableText"/>
            </w:pPr>
            <w:r w:rsidRPr="00ED78BD">
              <w:rPr>
                <w:rStyle w:val="Emphasis"/>
              </w:rPr>
              <w:t>Conveyancers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2006</w:t>
            </w:r>
          </w:p>
        </w:tc>
        <w:tc>
          <w:tcPr>
            <w:tcW w:w="5943" w:type="dxa"/>
          </w:tcPr>
          <w:p w14:paraId="11AAC15E" w14:textId="3E0B54A7" w:rsidR="00DE3B0D" w:rsidRDefault="00DE3B0D" w:rsidP="00A95E63">
            <w:pPr>
              <w:pStyle w:val="TableText"/>
            </w:pPr>
            <w:r>
              <w:t>Jesse</w:t>
            </w:r>
            <w:r w:rsidR="00D23ECC">
              <w:t xml:space="preserve"> </w:t>
            </w:r>
            <w:r>
              <w:t>Roberts</w:t>
            </w:r>
          </w:p>
        </w:tc>
      </w:tr>
      <w:tr w:rsidR="00DE3B0D" w14:paraId="6A5EFFF3" w14:textId="77777777" w:rsidTr="009A5322">
        <w:trPr>
          <w:trHeight w:val="60"/>
        </w:trPr>
        <w:tc>
          <w:tcPr>
            <w:tcW w:w="3685" w:type="dxa"/>
          </w:tcPr>
          <w:p w14:paraId="5B8F41F1" w14:textId="4CFBABA4"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21E1B164" w14:textId="59291D23" w:rsidR="00DE3B0D" w:rsidRDefault="00DE3B0D" w:rsidP="00A95E63">
            <w:pPr>
              <w:pStyle w:val="TableText"/>
            </w:pPr>
            <w:r>
              <w:t>Mitchell</w:t>
            </w:r>
            <w:r w:rsidR="00D23ECC">
              <w:t xml:space="preserve"> </w:t>
            </w:r>
            <w:r>
              <w:t>Burdett</w:t>
            </w:r>
          </w:p>
        </w:tc>
      </w:tr>
      <w:tr w:rsidR="00DE3B0D" w14:paraId="2FD84424" w14:textId="77777777" w:rsidTr="009A5322">
        <w:trPr>
          <w:trHeight w:val="60"/>
        </w:trPr>
        <w:tc>
          <w:tcPr>
            <w:tcW w:w="3685" w:type="dxa"/>
          </w:tcPr>
          <w:p w14:paraId="598DF713" w14:textId="031B8717"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364C8006" w14:textId="524BC77E" w:rsidR="00DE3B0D" w:rsidRDefault="00DE3B0D" w:rsidP="00A95E63">
            <w:pPr>
              <w:pStyle w:val="TableText"/>
            </w:pPr>
            <w:r>
              <w:t>Irena</w:t>
            </w:r>
            <w:r w:rsidR="00D23ECC">
              <w:t xml:space="preserve"> </w:t>
            </w:r>
            <w:r>
              <w:t>Tsan</w:t>
            </w:r>
          </w:p>
        </w:tc>
      </w:tr>
      <w:tr w:rsidR="00DE3B0D" w14:paraId="6CEE9ED9" w14:textId="77777777" w:rsidTr="009A5322">
        <w:trPr>
          <w:trHeight w:val="60"/>
        </w:trPr>
        <w:tc>
          <w:tcPr>
            <w:tcW w:w="3685" w:type="dxa"/>
          </w:tcPr>
          <w:p w14:paraId="16BAEA61" w14:textId="20EC31ED"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1BBE41CA" w14:textId="6FCBC667" w:rsidR="00DE3B0D" w:rsidRDefault="00DE3B0D" w:rsidP="00A95E63">
            <w:pPr>
              <w:pStyle w:val="TableText"/>
            </w:pPr>
            <w:r>
              <w:t>Erdal</w:t>
            </w:r>
            <w:r w:rsidR="00D23ECC">
              <w:t xml:space="preserve"> </w:t>
            </w:r>
            <w:r>
              <w:t>Karaagac</w:t>
            </w:r>
          </w:p>
        </w:tc>
      </w:tr>
      <w:tr w:rsidR="00DE3B0D" w14:paraId="3C0960F9" w14:textId="77777777" w:rsidTr="009A5322">
        <w:trPr>
          <w:trHeight w:val="60"/>
        </w:trPr>
        <w:tc>
          <w:tcPr>
            <w:tcW w:w="3685" w:type="dxa"/>
          </w:tcPr>
          <w:p w14:paraId="1950DB14" w14:textId="000932AE" w:rsidR="00DE3B0D" w:rsidRDefault="00DE3B0D" w:rsidP="00A95E63">
            <w:pPr>
              <w:pStyle w:val="TableText"/>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tc>
        <w:tc>
          <w:tcPr>
            <w:tcW w:w="5943" w:type="dxa"/>
          </w:tcPr>
          <w:p w14:paraId="4DF145A3" w14:textId="57BAED82" w:rsidR="00DE3B0D" w:rsidRDefault="00DE3B0D" w:rsidP="00A95E63">
            <w:pPr>
              <w:pStyle w:val="TableText"/>
            </w:pPr>
            <w:r>
              <w:t>Joanne</w:t>
            </w:r>
            <w:r w:rsidR="00D23ECC">
              <w:t xml:space="preserve"> </w:t>
            </w:r>
            <w:r>
              <w:t>Borg</w:t>
            </w:r>
          </w:p>
        </w:tc>
      </w:tr>
    </w:tbl>
    <w:p w14:paraId="1A5A3EDC" w14:textId="1F3F2040" w:rsidR="00DE3B0D" w:rsidRDefault="00DE3B0D" w:rsidP="00AE374E">
      <w:pPr>
        <w:pStyle w:val="Heading4"/>
      </w:pPr>
      <w:r>
        <w:rPr>
          <w:color w:val="000000"/>
        </w:rPr>
        <w:t>Application</w:t>
      </w:r>
      <w:r w:rsidR="00D23ECC">
        <w:rPr>
          <w:color w:val="000000"/>
        </w:rPr>
        <w:t xml:space="preserve"> </w:t>
      </w:r>
      <w:r>
        <w:rPr>
          <w:color w:val="000000"/>
        </w:rPr>
        <w:t>for</w:t>
      </w:r>
      <w:r w:rsidR="00D23ECC">
        <w:rPr>
          <w:color w:val="000000"/>
        </w:rPr>
        <w:t xml:space="preserve"> </w:t>
      </w:r>
      <w:r>
        <w:rPr>
          <w:color w:val="000000"/>
        </w:rPr>
        <w:t>warrant</w:t>
      </w:r>
      <w:r w:rsidR="00D23ECC">
        <w:rPr>
          <w:color w:val="000000"/>
        </w:rPr>
        <w:t xml:space="preserve"> </w:t>
      </w:r>
      <w:r>
        <w:rPr>
          <w:color w:val="000000"/>
        </w:rPr>
        <w:t>for</w:t>
      </w:r>
      <w:r w:rsidR="00D23ECC">
        <w:rPr>
          <w:color w:val="000000"/>
        </w:rPr>
        <w:t xml:space="preserve"> </w:t>
      </w:r>
      <w:r>
        <w:rPr>
          <w:color w:val="000000"/>
        </w:rPr>
        <w:t>sale</w:t>
      </w:r>
      <w:r w:rsidR="00D23ECC">
        <w:rPr>
          <w:color w:val="000000"/>
        </w:rPr>
        <w:t xml:space="preserve"> </w:t>
      </w:r>
      <w:r>
        <w:rPr>
          <w:color w:val="000000"/>
        </w:rPr>
        <w:t>and</w:t>
      </w:r>
      <w:r w:rsidR="00D23ECC">
        <w:rPr>
          <w:color w:val="000000"/>
        </w:rPr>
        <w:t xml:space="preserve"> </w:t>
      </w:r>
      <w:r>
        <w:rPr>
          <w:color w:val="000000"/>
        </w:rPr>
        <w:t>seizure</w:t>
      </w:r>
    </w:p>
    <w:tbl>
      <w:tblPr>
        <w:tblStyle w:val="TableGrid"/>
        <w:tblW w:w="9072" w:type="dxa"/>
        <w:tblLayout w:type="fixed"/>
        <w:tblLook w:val="00A0" w:firstRow="1" w:lastRow="0" w:firstColumn="1" w:lastColumn="0" w:noHBand="0" w:noVBand="0"/>
      </w:tblPr>
      <w:tblGrid>
        <w:gridCol w:w="3476"/>
        <w:gridCol w:w="5596"/>
      </w:tblGrid>
      <w:tr w:rsidR="00DE3B0D" w14:paraId="5DB9DBD5" w14:textId="77777777" w:rsidTr="009A5322">
        <w:trPr>
          <w:cnfStyle w:val="100000000000" w:firstRow="1" w:lastRow="0" w:firstColumn="0" w:lastColumn="0" w:oddVBand="0" w:evenVBand="0" w:oddHBand="0" w:evenHBand="0" w:firstRowFirstColumn="0" w:firstRowLastColumn="0" w:lastRowFirstColumn="0" w:lastRowLastColumn="0"/>
          <w:trHeight w:val="60"/>
          <w:tblHeader/>
        </w:trPr>
        <w:tc>
          <w:tcPr>
            <w:tcW w:w="3685" w:type="dxa"/>
          </w:tcPr>
          <w:p w14:paraId="132A2C01" w14:textId="77777777" w:rsidR="00DE3B0D" w:rsidRDefault="00DE3B0D" w:rsidP="00A95E63">
            <w:pPr>
              <w:pStyle w:val="TableColHead"/>
            </w:pPr>
            <w:r>
              <w:t>Legislation</w:t>
            </w:r>
          </w:p>
        </w:tc>
        <w:tc>
          <w:tcPr>
            <w:tcW w:w="5943" w:type="dxa"/>
          </w:tcPr>
          <w:p w14:paraId="53E6F109" w14:textId="77777777" w:rsidR="00DE3B0D" w:rsidRDefault="00DE3B0D" w:rsidP="00A95E63">
            <w:pPr>
              <w:pStyle w:val="TableColHead"/>
            </w:pPr>
            <w:r>
              <w:t>Parties</w:t>
            </w:r>
          </w:p>
        </w:tc>
      </w:tr>
      <w:tr w:rsidR="00DE3B0D" w14:paraId="3443C72C" w14:textId="77777777" w:rsidTr="009A5322">
        <w:trPr>
          <w:trHeight w:val="60"/>
        </w:trPr>
        <w:tc>
          <w:tcPr>
            <w:tcW w:w="3685" w:type="dxa"/>
          </w:tcPr>
          <w:p w14:paraId="3E3353FE" w14:textId="3B3C2843" w:rsidR="00DE3B0D" w:rsidRDefault="00DE3B0D" w:rsidP="00A95E63">
            <w:pPr>
              <w:pStyle w:val="TableText"/>
            </w:pPr>
            <w:r w:rsidRPr="00ED78BD">
              <w:rPr>
                <w:rStyle w:val="Emphasis"/>
              </w:rPr>
              <w:t>Competition</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2010</w:t>
            </w:r>
            <w:r w:rsidR="00D23ECC" w:rsidRPr="00ED78BD">
              <w:rPr>
                <w:rStyle w:val="Emphasis"/>
              </w:rPr>
              <w:t xml:space="preserve"> </w:t>
            </w:r>
            <w:r w:rsidRPr="00ED78BD">
              <w:rPr>
                <w:rStyle w:val="Emphasis"/>
              </w:rPr>
              <w:t>(Cth)</w:t>
            </w:r>
            <w:r w:rsidR="00D23ECC" w:rsidRPr="00ED78BD">
              <w:rPr>
                <w:rStyle w:val="Emphasis"/>
              </w:rPr>
              <w:t xml:space="preserve"> </w:t>
            </w:r>
            <w:r w:rsidRPr="00ED78BD">
              <w:rPr>
                <w:rStyle w:val="Emphasis"/>
              </w:rPr>
              <w:t>–</w:t>
            </w:r>
            <w:r w:rsidR="00D23ECC" w:rsidRPr="00ED78BD">
              <w:rPr>
                <w:rStyle w:val="Emphasis"/>
              </w:rPr>
              <w:t xml:space="preserve"> </w:t>
            </w:r>
            <w:r w:rsidRPr="00ED78BD">
              <w:rPr>
                <w:rStyle w:val="Emphasis"/>
              </w:rPr>
              <w:t>ACL</w:t>
            </w:r>
          </w:p>
        </w:tc>
        <w:tc>
          <w:tcPr>
            <w:tcW w:w="5943" w:type="dxa"/>
          </w:tcPr>
          <w:p w14:paraId="522A1A67" w14:textId="1A5F2523" w:rsidR="00DE3B0D" w:rsidRDefault="00DE3B0D" w:rsidP="00A95E63">
            <w:pPr>
              <w:pStyle w:val="TableText"/>
            </w:pPr>
            <w:r>
              <w:t>Belle</w:t>
            </w:r>
            <w:r w:rsidR="00D23ECC">
              <w:t xml:space="preserve"> </w:t>
            </w:r>
            <w:r>
              <w:t>Gibson</w:t>
            </w:r>
          </w:p>
        </w:tc>
      </w:tr>
      <w:tr w:rsidR="00DE3B0D" w14:paraId="41974421" w14:textId="77777777" w:rsidTr="009A5322">
        <w:trPr>
          <w:trHeight w:val="60"/>
        </w:trPr>
        <w:tc>
          <w:tcPr>
            <w:tcW w:w="3685" w:type="dxa"/>
          </w:tcPr>
          <w:p w14:paraId="273CB016" w14:textId="740D4FC4" w:rsidR="00DE3B0D" w:rsidRDefault="00DE3B0D" w:rsidP="00A95E63">
            <w:pPr>
              <w:pStyle w:val="TableText"/>
            </w:pPr>
            <w:r w:rsidRPr="00ED78BD">
              <w:rPr>
                <w:rStyle w:val="Emphasis"/>
              </w:rPr>
              <w:t>Competition</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2010</w:t>
            </w:r>
            <w:r w:rsidR="00D23ECC" w:rsidRPr="00ED78BD">
              <w:rPr>
                <w:rStyle w:val="Emphasis"/>
              </w:rPr>
              <w:t xml:space="preserve"> </w:t>
            </w:r>
            <w:r w:rsidRPr="00ED78BD">
              <w:rPr>
                <w:rStyle w:val="Emphasis"/>
              </w:rPr>
              <w:t>(Cth)</w:t>
            </w:r>
            <w:r w:rsidR="00D23ECC" w:rsidRPr="00ED78BD">
              <w:rPr>
                <w:rStyle w:val="Emphasis"/>
              </w:rPr>
              <w:t xml:space="preserve"> </w:t>
            </w:r>
            <w:r w:rsidRPr="00ED78BD">
              <w:rPr>
                <w:rStyle w:val="Emphasis"/>
              </w:rPr>
              <w:t>–</w:t>
            </w:r>
            <w:r w:rsidR="00D23ECC" w:rsidRPr="00ED78BD">
              <w:rPr>
                <w:rStyle w:val="Emphasis"/>
              </w:rPr>
              <w:t xml:space="preserve"> </w:t>
            </w:r>
            <w:r w:rsidRPr="00ED78BD">
              <w:rPr>
                <w:rStyle w:val="Emphasis"/>
              </w:rPr>
              <w:t>ACL</w:t>
            </w:r>
          </w:p>
        </w:tc>
        <w:tc>
          <w:tcPr>
            <w:tcW w:w="5943" w:type="dxa"/>
          </w:tcPr>
          <w:p w14:paraId="5E3C124F" w14:textId="771FF0AE" w:rsidR="00DE3B0D" w:rsidRDefault="00DE3B0D" w:rsidP="00A95E63">
            <w:pPr>
              <w:pStyle w:val="TableText"/>
            </w:pPr>
            <w:r>
              <w:t>Wen</w:t>
            </w:r>
            <w:r w:rsidR="00D23ECC">
              <w:t xml:space="preserve"> </w:t>
            </w:r>
            <w:r>
              <w:t>Hui</w:t>
            </w:r>
            <w:r w:rsidR="00D23ECC">
              <w:t xml:space="preserve"> </w:t>
            </w:r>
            <w:r>
              <w:t>Xu</w:t>
            </w:r>
          </w:p>
        </w:tc>
      </w:tr>
    </w:tbl>
    <w:p w14:paraId="7DF4573A" w14:textId="3C49B9ED" w:rsidR="00DE3B0D" w:rsidRDefault="00DE3B0D" w:rsidP="00AE374E">
      <w:pPr>
        <w:pStyle w:val="Heading4"/>
      </w:pPr>
      <w:r>
        <w:rPr>
          <w:color w:val="000000"/>
        </w:rPr>
        <w:t>Registers</w:t>
      </w:r>
      <w:r w:rsidR="00D23ECC">
        <w:rPr>
          <w:color w:val="000000"/>
        </w:rPr>
        <w:t xml:space="preserve"> </w:t>
      </w:r>
      <w:r>
        <w:rPr>
          <w:color w:val="000000"/>
        </w:rPr>
        <w:t>we</w:t>
      </w:r>
      <w:r w:rsidR="00D23ECC">
        <w:rPr>
          <w:color w:val="000000"/>
        </w:rPr>
        <w:t xml:space="preserve"> </w:t>
      </w:r>
      <w:r>
        <w:rPr>
          <w:color w:val="000000"/>
        </w:rPr>
        <w:t>administer</w:t>
      </w:r>
    </w:p>
    <w:p w14:paraId="21C34A40" w14:textId="161F2DFA" w:rsidR="00DE3B0D" w:rsidRDefault="00DE3B0D" w:rsidP="00D23ECC">
      <w:pPr>
        <w:pStyle w:val="BodyText"/>
      </w:pPr>
      <w:r>
        <w:t>These</w:t>
      </w:r>
      <w:r w:rsidR="00D23ECC">
        <w:t xml:space="preserve"> </w:t>
      </w:r>
      <w:r>
        <w:t>are</w:t>
      </w:r>
      <w:r w:rsidR="00D23ECC">
        <w:t xml:space="preserve"> </w:t>
      </w:r>
      <w:r>
        <w:t>outlined</w:t>
      </w:r>
      <w:r w:rsidR="00D23ECC">
        <w:t xml:space="preserve"> </w:t>
      </w:r>
      <w:r>
        <w:t>in</w:t>
      </w:r>
      <w:r w:rsidR="00D23ECC">
        <w:t xml:space="preserve"> </w:t>
      </w:r>
      <w:r>
        <w:t>Table</w:t>
      </w:r>
      <w:r w:rsidR="00D23ECC">
        <w:t xml:space="preserve"> </w:t>
      </w:r>
      <w:r>
        <w:t>3.</w:t>
      </w:r>
    </w:p>
    <w:p w14:paraId="5C044E98" w14:textId="31ACE200" w:rsidR="00DE3B0D" w:rsidRDefault="00DE3B0D" w:rsidP="00A95E63">
      <w:pPr>
        <w:pStyle w:val="Caption"/>
      </w:pPr>
      <w:r>
        <w:rPr>
          <w:color w:val="000000"/>
        </w:rPr>
        <w:t>Table</w:t>
      </w:r>
      <w:r w:rsidR="00D23ECC">
        <w:rPr>
          <w:color w:val="000000"/>
        </w:rPr>
        <w:t xml:space="preserve"> </w:t>
      </w:r>
      <w:r>
        <w:rPr>
          <w:color w:val="000000"/>
        </w:rPr>
        <w:t>3:</w:t>
      </w:r>
      <w:r w:rsidR="00D23ECC">
        <w:rPr>
          <w:color w:val="000000"/>
        </w:rPr>
        <w:t xml:space="preserve"> </w:t>
      </w:r>
      <w:r>
        <w:rPr>
          <w:color w:val="000000"/>
        </w:rPr>
        <w:t>Registers</w:t>
      </w:r>
      <w:r w:rsidR="00D23ECC">
        <w:rPr>
          <w:color w:val="000000"/>
        </w:rPr>
        <w:t xml:space="preserve"> </w:t>
      </w:r>
      <w:r>
        <w:rPr>
          <w:color w:val="000000"/>
        </w:rPr>
        <w:t>administered</w:t>
      </w:r>
      <w:r w:rsidR="00D23ECC">
        <w:rPr>
          <w:color w:val="000000"/>
        </w:rPr>
        <w:t xml:space="preserve"> </w:t>
      </w:r>
      <w:r>
        <w:rPr>
          <w:color w:val="000000"/>
        </w:rPr>
        <w:t>by</w:t>
      </w:r>
      <w:r w:rsidR="00D23ECC">
        <w:rPr>
          <w:color w:val="000000"/>
        </w:rPr>
        <w:t xml:space="preserve"> </w:t>
      </w:r>
      <w:r>
        <w:rPr>
          <w:color w:val="000000"/>
        </w:rPr>
        <w:t>Consumer</w:t>
      </w:r>
      <w:r w:rsidR="00D23ECC">
        <w:rPr>
          <w:color w:val="000000"/>
        </w:rPr>
        <w:t xml:space="preserve"> </w:t>
      </w:r>
      <w:r>
        <w:rPr>
          <w:color w:val="000000"/>
        </w:rPr>
        <w:t>Affairs</w:t>
      </w:r>
      <w:r w:rsidR="00D23ECC">
        <w:rPr>
          <w:color w:val="000000"/>
        </w:rPr>
        <w:t xml:space="preserve"> </w:t>
      </w:r>
      <w:r>
        <w:rPr>
          <w:color w:val="000000"/>
        </w:rPr>
        <w:t>Victoria</w:t>
      </w:r>
    </w:p>
    <w:tbl>
      <w:tblPr>
        <w:tblStyle w:val="TableGrid"/>
        <w:tblW w:w="9072" w:type="dxa"/>
        <w:tblLayout w:type="fixed"/>
        <w:tblLook w:val="00A0" w:firstRow="1" w:lastRow="0" w:firstColumn="1" w:lastColumn="0" w:noHBand="0" w:noVBand="0"/>
      </w:tblPr>
      <w:tblGrid>
        <w:gridCol w:w="2946"/>
        <w:gridCol w:w="1021"/>
        <w:gridCol w:w="1021"/>
        <w:gridCol w:w="1021"/>
        <w:gridCol w:w="1021"/>
        <w:gridCol w:w="1021"/>
        <w:gridCol w:w="1021"/>
      </w:tblGrid>
      <w:tr w:rsidR="00DE3B0D" w14:paraId="05F7EB57" w14:textId="77777777" w:rsidTr="00716A03">
        <w:trPr>
          <w:cnfStyle w:val="100000000000" w:firstRow="1" w:lastRow="0" w:firstColumn="0" w:lastColumn="0" w:oddVBand="0" w:evenVBand="0" w:oddHBand="0" w:evenHBand="0" w:firstRowFirstColumn="0" w:firstRowLastColumn="0" w:lastRowFirstColumn="0" w:lastRowLastColumn="0"/>
          <w:trHeight w:val="68"/>
          <w:tblHeader/>
        </w:trPr>
        <w:tc>
          <w:tcPr>
            <w:tcW w:w="2948" w:type="dxa"/>
            <w:vMerge w:val="restart"/>
          </w:tcPr>
          <w:p w14:paraId="2C47F2CA" w14:textId="77777777" w:rsidR="00DE3B0D" w:rsidRDefault="00DE3B0D">
            <w:pPr>
              <w:pStyle w:val="NoParagraphStyle"/>
              <w:spacing w:line="240" w:lineRule="auto"/>
              <w:textAlignment w:val="auto"/>
              <w:rPr>
                <w:rFonts w:ascii="VIC-SemiBold" w:hAnsi="VIC-SemiBold" w:cstheme="minorBidi"/>
                <w:color w:val="auto"/>
                <w:lang w:val="en-AU"/>
              </w:rPr>
            </w:pPr>
          </w:p>
        </w:tc>
        <w:tc>
          <w:tcPr>
            <w:tcW w:w="1021" w:type="dxa"/>
            <w:gridSpan w:val="3"/>
          </w:tcPr>
          <w:p w14:paraId="5F39F37E" w14:textId="4DF9FE0B" w:rsidR="00DE3B0D" w:rsidRDefault="00DE3B0D" w:rsidP="002F22DF">
            <w:pPr>
              <w:pStyle w:val="TableColHead"/>
              <w:jc w:val="right"/>
            </w:pPr>
            <w:r>
              <w:t>New</w:t>
            </w:r>
            <w:r w:rsidR="00D23ECC">
              <w:t xml:space="preserve"> </w:t>
            </w:r>
            <w:r>
              <w:t>applications</w:t>
            </w:r>
            <w:r w:rsidR="00D23ECC">
              <w:t xml:space="preserve"> </w:t>
            </w:r>
            <w:r>
              <w:t>lodged</w:t>
            </w:r>
          </w:p>
        </w:tc>
        <w:tc>
          <w:tcPr>
            <w:tcW w:w="1021" w:type="dxa"/>
            <w:gridSpan w:val="3"/>
          </w:tcPr>
          <w:p w14:paraId="4D3F06E2" w14:textId="22D2C180" w:rsidR="00DE3B0D" w:rsidRDefault="00DE3B0D" w:rsidP="002F22DF">
            <w:pPr>
              <w:pStyle w:val="TableColHead"/>
              <w:jc w:val="center"/>
            </w:pPr>
            <w:r>
              <w:t>Total</w:t>
            </w:r>
            <w:r w:rsidR="00D23ECC">
              <w:t xml:space="preserve"> </w:t>
            </w:r>
            <w:r>
              <w:t>on</w:t>
            </w:r>
            <w:r w:rsidR="00D23ECC">
              <w:t xml:space="preserve"> </w:t>
            </w:r>
            <w:r>
              <w:t>register</w:t>
            </w:r>
          </w:p>
        </w:tc>
      </w:tr>
      <w:tr w:rsidR="00DE3B0D" w14:paraId="52DF5A6F" w14:textId="77777777" w:rsidTr="00716A03">
        <w:trPr>
          <w:cnfStyle w:val="100000000000" w:firstRow="1" w:lastRow="0" w:firstColumn="0" w:lastColumn="0" w:oddVBand="0" w:evenVBand="0" w:oddHBand="0" w:evenHBand="0" w:firstRowFirstColumn="0" w:firstRowLastColumn="0" w:lastRowFirstColumn="0" w:lastRowLastColumn="0"/>
          <w:trHeight w:val="68"/>
          <w:tblHeader/>
        </w:trPr>
        <w:tc>
          <w:tcPr>
            <w:tcW w:w="2948" w:type="dxa"/>
            <w:vMerge/>
          </w:tcPr>
          <w:p w14:paraId="130C16EA" w14:textId="77777777" w:rsidR="00DE3B0D" w:rsidRDefault="00DE3B0D">
            <w:pPr>
              <w:pStyle w:val="NoParagraphStyle"/>
              <w:spacing w:line="240" w:lineRule="auto"/>
              <w:textAlignment w:val="auto"/>
              <w:rPr>
                <w:rFonts w:ascii="VIC-SemiBold" w:hAnsi="VIC-SemiBold" w:cstheme="minorBidi"/>
                <w:color w:val="auto"/>
                <w:lang w:val="en-AU"/>
              </w:rPr>
            </w:pPr>
          </w:p>
        </w:tc>
        <w:tc>
          <w:tcPr>
            <w:tcW w:w="1021" w:type="dxa"/>
          </w:tcPr>
          <w:p w14:paraId="51D7CC39" w14:textId="77777777" w:rsidR="00DE3B0D" w:rsidRDefault="00DE3B0D" w:rsidP="00A95E63">
            <w:pPr>
              <w:pStyle w:val="TableColHeadRight"/>
            </w:pPr>
            <w:r>
              <w:t>2018–19</w:t>
            </w:r>
          </w:p>
        </w:tc>
        <w:tc>
          <w:tcPr>
            <w:tcW w:w="1021" w:type="dxa"/>
          </w:tcPr>
          <w:p w14:paraId="5EC28FE8" w14:textId="77777777" w:rsidR="00DE3B0D" w:rsidRDefault="00DE3B0D" w:rsidP="00A95E63">
            <w:pPr>
              <w:pStyle w:val="TableColHeadRight"/>
            </w:pPr>
            <w:r>
              <w:t>2019–20</w:t>
            </w:r>
          </w:p>
        </w:tc>
        <w:tc>
          <w:tcPr>
            <w:tcW w:w="1021" w:type="dxa"/>
          </w:tcPr>
          <w:p w14:paraId="69179204" w14:textId="77777777" w:rsidR="00DE3B0D" w:rsidRDefault="00DE3B0D" w:rsidP="00A95E63">
            <w:pPr>
              <w:pStyle w:val="TableColHeadRight"/>
            </w:pPr>
            <w:r>
              <w:t>2020–21</w:t>
            </w:r>
          </w:p>
        </w:tc>
        <w:tc>
          <w:tcPr>
            <w:tcW w:w="1021" w:type="dxa"/>
          </w:tcPr>
          <w:p w14:paraId="4849A262" w14:textId="77777777" w:rsidR="00DE3B0D" w:rsidRDefault="00DE3B0D" w:rsidP="00A95E63">
            <w:pPr>
              <w:pStyle w:val="TableColHeadRight"/>
            </w:pPr>
            <w:r>
              <w:t>2018–19</w:t>
            </w:r>
          </w:p>
        </w:tc>
        <w:tc>
          <w:tcPr>
            <w:tcW w:w="1021" w:type="dxa"/>
          </w:tcPr>
          <w:p w14:paraId="4BE757E7" w14:textId="77777777" w:rsidR="00DE3B0D" w:rsidRDefault="00DE3B0D" w:rsidP="00A95E63">
            <w:pPr>
              <w:pStyle w:val="TableColHeadRight"/>
            </w:pPr>
            <w:r>
              <w:t>2019–20</w:t>
            </w:r>
          </w:p>
        </w:tc>
        <w:tc>
          <w:tcPr>
            <w:tcW w:w="1021" w:type="dxa"/>
          </w:tcPr>
          <w:p w14:paraId="05240BA5" w14:textId="77777777" w:rsidR="00DE3B0D" w:rsidRDefault="00DE3B0D" w:rsidP="00A95E63">
            <w:pPr>
              <w:pStyle w:val="TableColHeadRight"/>
            </w:pPr>
            <w:r>
              <w:t>2020–21</w:t>
            </w:r>
          </w:p>
        </w:tc>
      </w:tr>
      <w:tr w:rsidR="00DE3B0D" w14:paraId="731D6620" w14:textId="77777777" w:rsidTr="006F7BE3">
        <w:trPr>
          <w:trHeight w:val="68"/>
        </w:trPr>
        <w:tc>
          <w:tcPr>
            <w:tcW w:w="2948" w:type="dxa"/>
            <w:gridSpan w:val="7"/>
            <w:shd w:val="clear" w:color="auto" w:fill="B2D5F0"/>
          </w:tcPr>
          <w:p w14:paraId="5D9D3594" w14:textId="2E2B55ED" w:rsidR="00DE3B0D" w:rsidRDefault="00DE3B0D" w:rsidP="00A95E63">
            <w:pPr>
              <w:pStyle w:val="TableTextBold"/>
            </w:pPr>
            <w:r>
              <w:t>Business</w:t>
            </w:r>
            <w:r w:rsidR="00D23ECC">
              <w:t xml:space="preserve"> </w:t>
            </w:r>
            <w:r>
              <w:t>Licensing</w:t>
            </w:r>
            <w:r w:rsidR="00D23ECC">
              <w:t xml:space="preserve"> </w:t>
            </w:r>
            <w:r>
              <w:t>Authority</w:t>
            </w:r>
            <w:r w:rsidR="00D23ECC">
              <w:t xml:space="preserve"> </w:t>
            </w:r>
            <w:r>
              <w:t>administered</w:t>
            </w:r>
            <w:r w:rsidR="00D23ECC">
              <w:t xml:space="preserve"> </w:t>
            </w:r>
            <w:r>
              <w:t>schemes</w:t>
            </w:r>
          </w:p>
        </w:tc>
      </w:tr>
      <w:tr w:rsidR="00DE3B0D" w14:paraId="0A94E241" w14:textId="77777777" w:rsidTr="00716A03">
        <w:trPr>
          <w:trHeight w:val="68"/>
        </w:trPr>
        <w:tc>
          <w:tcPr>
            <w:tcW w:w="2948" w:type="dxa"/>
          </w:tcPr>
          <w:p w14:paraId="49E3C107" w14:textId="4E1E7F7C" w:rsidR="00DE3B0D" w:rsidRDefault="00DE3B0D" w:rsidP="00A95E63">
            <w:pPr>
              <w:pStyle w:val="TableText"/>
            </w:pPr>
            <w:r>
              <w:t>Estate</w:t>
            </w:r>
            <w:r w:rsidR="00D23ECC">
              <w:t xml:space="preserve"> </w:t>
            </w:r>
            <w:r>
              <w:t>agents</w:t>
            </w:r>
          </w:p>
        </w:tc>
        <w:tc>
          <w:tcPr>
            <w:tcW w:w="1021" w:type="dxa"/>
          </w:tcPr>
          <w:p w14:paraId="4170F67F" w14:textId="77777777" w:rsidR="00DE3B0D" w:rsidRDefault="00DE3B0D" w:rsidP="00A95E63">
            <w:pPr>
              <w:pStyle w:val="TableTextRight"/>
            </w:pPr>
            <w:r>
              <w:t>1,850</w:t>
            </w:r>
          </w:p>
        </w:tc>
        <w:tc>
          <w:tcPr>
            <w:tcW w:w="1021" w:type="dxa"/>
          </w:tcPr>
          <w:p w14:paraId="25AD2E85" w14:textId="77777777" w:rsidR="00DE3B0D" w:rsidRDefault="00DE3B0D" w:rsidP="00A95E63">
            <w:pPr>
              <w:pStyle w:val="TableTextRight"/>
            </w:pPr>
            <w:r>
              <w:t>1,733</w:t>
            </w:r>
          </w:p>
        </w:tc>
        <w:tc>
          <w:tcPr>
            <w:tcW w:w="1021" w:type="dxa"/>
          </w:tcPr>
          <w:p w14:paraId="7FDE699F" w14:textId="77777777" w:rsidR="00DE3B0D" w:rsidRDefault="00DE3B0D" w:rsidP="00A95E63">
            <w:pPr>
              <w:pStyle w:val="TableTextRight"/>
            </w:pPr>
            <w:r>
              <w:t>1840</w:t>
            </w:r>
          </w:p>
        </w:tc>
        <w:tc>
          <w:tcPr>
            <w:tcW w:w="1021" w:type="dxa"/>
          </w:tcPr>
          <w:p w14:paraId="1286F9A4" w14:textId="77777777" w:rsidR="00DE3B0D" w:rsidRDefault="00DE3B0D" w:rsidP="00A95E63">
            <w:pPr>
              <w:pStyle w:val="TableTextRight"/>
            </w:pPr>
            <w:r>
              <w:t>15,039</w:t>
            </w:r>
          </w:p>
        </w:tc>
        <w:tc>
          <w:tcPr>
            <w:tcW w:w="1021" w:type="dxa"/>
          </w:tcPr>
          <w:p w14:paraId="5F23CC3D" w14:textId="77777777" w:rsidR="00DE3B0D" w:rsidRDefault="00DE3B0D" w:rsidP="00A95E63">
            <w:pPr>
              <w:pStyle w:val="TableTextRight"/>
            </w:pPr>
            <w:r>
              <w:t>15,643</w:t>
            </w:r>
          </w:p>
        </w:tc>
        <w:tc>
          <w:tcPr>
            <w:tcW w:w="1021" w:type="dxa"/>
          </w:tcPr>
          <w:p w14:paraId="7B5F1AD2" w14:textId="77777777" w:rsidR="00DE3B0D" w:rsidRDefault="00DE3B0D" w:rsidP="00A95E63">
            <w:pPr>
              <w:pStyle w:val="TableTextRight"/>
            </w:pPr>
            <w:r>
              <w:t>16,416</w:t>
            </w:r>
          </w:p>
        </w:tc>
      </w:tr>
      <w:tr w:rsidR="00DE3B0D" w14:paraId="567F7CD4" w14:textId="77777777" w:rsidTr="00716A03">
        <w:trPr>
          <w:trHeight w:val="68"/>
        </w:trPr>
        <w:tc>
          <w:tcPr>
            <w:tcW w:w="2948" w:type="dxa"/>
          </w:tcPr>
          <w:p w14:paraId="0CB883C0" w14:textId="61584B5F" w:rsidR="00DE3B0D" w:rsidRDefault="00DE3B0D" w:rsidP="00A95E63">
            <w:pPr>
              <w:pStyle w:val="TableText"/>
            </w:pPr>
            <w:r>
              <w:t>Motor</w:t>
            </w:r>
            <w:r w:rsidR="00D23ECC">
              <w:t xml:space="preserve"> </w:t>
            </w:r>
            <w:r>
              <w:t>car</w:t>
            </w:r>
            <w:r w:rsidR="00D23ECC">
              <w:t xml:space="preserve"> </w:t>
            </w:r>
            <w:r>
              <w:t>traders</w:t>
            </w:r>
          </w:p>
        </w:tc>
        <w:tc>
          <w:tcPr>
            <w:tcW w:w="1021" w:type="dxa"/>
          </w:tcPr>
          <w:p w14:paraId="1DA30FB4" w14:textId="77777777" w:rsidR="00DE3B0D" w:rsidRDefault="00DE3B0D" w:rsidP="00A95E63">
            <w:pPr>
              <w:pStyle w:val="TableTextRight"/>
            </w:pPr>
            <w:r>
              <w:t>111</w:t>
            </w:r>
          </w:p>
        </w:tc>
        <w:tc>
          <w:tcPr>
            <w:tcW w:w="1021" w:type="dxa"/>
          </w:tcPr>
          <w:p w14:paraId="139E33A7" w14:textId="77777777" w:rsidR="00DE3B0D" w:rsidRDefault="00DE3B0D" w:rsidP="00A95E63">
            <w:pPr>
              <w:pStyle w:val="TableTextRight"/>
            </w:pPr>
            <w:r>
              <w:t>148</w:t>
            </w:r>
          </w:p>
        </w:tc>
        <w:tc>
          <w:tcPr>
            <w:tcW w:w="1021" w:type="dxa"/>
          </w:tcPr>
          <w:p w14:paraId="3730372E" w14:textId="77777777" w:rsidR="00DE3B0D" w:rsidRDefault="00DE3B0D" w:rsidP="00A95E63">
            <w:pPr>
              <w:pStyle w:val="TableTextRight"/>
            </w:pPr>
            <w:r>
              <w:t>159</w:t>
            </w:r>
          </w:p>
        </w:tc>
        <w:tc>
          <w:tcPr>
            <w:tcW w:w="1021" w:type="dxa"/>
          </w:tcPr>
          <w:p w14:paraId="4FC1AB50" w14:textId="77777777" w:rsidR="00DE3B0D" w:rsidRDefault="00DE3B0D" w:rsidP="00A95E63">
            <w:pPr>
              <w:pStyle w:val="TableTextRight"/>
            </w:pPr>
            <w:r>
              <w:t>1,983</w:t>
            </w:r>
          </w:p>
        </w:tc>
        <w:tc>
          <w:tcPr>
            <w:tcW w:w="1021" w:type="dxa"/>
          </w:tcPr>
          <w:p w14:paraId="53D60077" w14:textId="77777777" w:rsidR="00DE3B0D" w:rsidRDefault="00DE3B0D" w:rsidP="00A95E63">
            <w:pPr>
              <w:pStyle w:val="TableTextRight"/>
            </w:pPr>
            <w:r>
              <w:t>1,991</w:t>
            </w:r>
          </w:p>
        </w:tc>
        <w:tc>
          <w:tcPr>
            <w:tcW w:w="1021" w:type="dxa"/>
          </w:tcPr>
          <w:p w14:paraId="53DCBE5B" w14:textId="77777777" w:rsidR="00DE3B0D" w:rsidRDefault="00DE3B0D" w:rsidP="00A95E63">
            <w:pPr>
              <w:pStyle w:val="TableTextRight"/>
            </w:pPr>
            <w:r>
              <w:t>2,080</w:t>
            </w:r>
          </w:p>
        </w:tc>
      </w:tr>
      <w:tr w:rsidR="00DE3B0D" w14:paraId="113F7174" w14:textId="77777777" w:rsidTr="00716A03">
        <w:trPr>
          <w:trHeight w:val="68"/>
        </w:trPr>
        <w:tc>
          <w:tcPr>
            <w:tcW w:w="2948" w:type="dxa"/>
          </w:tcPr>
          <w:p w14:paraId="73E4ADB3" w14:textId="3AD1BC2A" w:rsidR="00DE3B0D" w:rsidRDefault="00DE3B0D" w:rsidP="00A95E63">
            <w:pPr>
              <w:pStyle w:val="TableText"/>
            </w:pPr>
            <w:r>
              <w:t>Second-hand</w:t>
            </w:r>
            <w:r w:rsidR="00D23ECC">
              <w:t xml:space="preserve"> </w:t>
            </w:r>
            <w:r>
              <w:t>dealers</w:t>
            </w:r>
            <w:r w:rsidR="00D23ECC">
              <w:t xml:space="preserve"> </w:t>
            </w:r>
            <w:r>
              <w:t>and</w:t>
            </w:r>
            <w:r w:rsidR="00D23ECC">
              <w:t xml:space="preserve"> </w:t>
            </w:r>
            <w:r>
              <w:t>pawnbrokers</w:t>
            </w:r>
          </w:p>
        </w:tc>
        <w:tc>
          <w:tcPr>
            <w:tcW w:w="1021" w:type="dxa"/>
          </w:tcPr>
          <w:p w14:paraId="26E8A051" w14:textId="77777777" w:rsidR="00DE3B0D" w:rsidRDefault="00DE3B0D" w:rsidP="00A95E63">
            <w:pPr>
              <w:pStyle w:val="TableTextRight"/>
            </w:pPr>
            <w:r>
              <w:t>379</w:t>
            </w:r>
          </w:p>
        </w:tc>
        <w:tc>
          <w:tcPr>
            <w:tcW w:w="1021" w:type="dxa"/>
          </w:tcPr>
          <w:p w14:paraId="455B19AB" w14:textId="77777777" w:rsidR="00DE3B0D" w:rsidRDefault="00DE3B0D" w:rsidP="00A95E63">
            <w:pPr>
              <w:pStyle w:val="TableTextRight"/>
            </w:pPr>
            <w:r>
              <w:t>246</w:t>
            </w:r>
          </w:p>
        </w:tc>
        <w:tc>
          <w:tcPr>
            <w:tcW w:w="1021" w:type="dxa"/>
          </w:tcPr>
          <w:p w14:paraId="52F49195" w14:textId="77777777" w:rsidR="00DE3B0D" w:rsidRDefault="00DE3B0D" w:rsidP="00A95E63">
            <w:pPr>
              <w:pStyle w:val="TableTextRight"/>
            </w:pPr>
            <w:r>
              <w:t>222</w:t>
            </w:r>
          </w:p>
        </w:tc>
        <w:tc>
          <w:tcPr>
            <w:tcW w:w="1021" w:type="dxa"/>
          </w:tcPr>
          <w:p w14:paraId="0B81E084" w14:textId="77777777" w:rsidR="00DE3B0D" w:rsidRDefault="00DE3B0D" w:rsidP="00A95E63">
            <w:pPr>
              <w:pStyle w:val="TableTextRight"/>
            </w:pPr>
            <w:r>
              <w:t>3,545</w:t>
            </w:r>
          </w:p>
        </w:tc>
        <w:tc>
          <w:tcPr>
            <w:tcW w:w="1021" w:type="dxa"/>
          </w:tcPr>
          <w:p w14:paraId="108EE433" w14:textId="77777777" w:rsidR="00DE3B0D" w:rsidRDefault="00DE3B0D" w:rsidP="00A95E63">
            <w:pPr>
              <w:pStyle w:val="TableTextRight"/>
            </w:pPr>
            <w:r>
              <w:t>3,373</w:t>
            </w:r>
          </w:p>
        </w:tc>
        <w:tc>
          <w:tcPr>
            <w:tcW w:w="1021" w:type="dxa"/>
          </w:tcPr>
          <w:p w14:paraId="54D52D80" w14:textId="77777777" w:rsidR="00DE3B0D" w:rsidRDefault="00DE3B0D" w:rsidP="00A95E63">
            <w:pPr>
              <w:pStyle w:val="TableTextRight"/>
            </w:pPr>
            <w:r>
              <w:t>3,471</w:t>
            </w:r>
          </w:p>
        </w:tc>
      </w:tr>
      <w:tr w:rsidR="00DE3B0D" w14:paraId="174C62AD" w14:textId="77777777" w:rsidTr="00716A03">
        <w:trPr>
          <w:trHeight w:val="68"/>
        </w:trPr>
        <w:tc>
          <w:tcPr>
            <w:tcW w:w="2948" w:type="dxa"/>
          </w:tcPr>
          <w:p w14:paraId="49F01C79" w14:textId="77777777" w:rsidR="00DE3B0D" w:rsidRDefault="00DE3B0D" w:rsidP="00A95E63">
            <w:pPr>
              <w:pStyle w:val="TableText"/>
            </w:pPr>
            <w:r>
              <w:t>Conveyancers</w:t>
            </w:r>
          </w:p>
        </w:tc>
        <w:tc>
          <w:tcPr>
            <w:tcW w:w="1021" w:type="dxa"/>
          </w:tcPr>
          <w:p w14:paraId="1B8123AD" w14:textId="77777777" w:rsidR="00DE3B0D" w:rsidRDefault="00DE3B0D" w:rsidP="00A95E63">
            <w:pPr>
              <w:pStyle w:val="TableTextRight"/>
            </w:pPr>
            <w:r>
              <w:t>189</w:t>
            </w:r>
          </w:p>
        </w:tc>
        <w:tc>
          <w:tcPr>
            <w:tcW w:w="1021" w:type="dxa"/>
          </w:tcPr>
          <w:p w14:paraId="444275E5" w14:textId="77777777" w:rsidR="00DE3B0D" w:rsidRDefault="00DE3B0D" w:rsidP="00A95E63">
            <w:pPr>
              <w:pStyle w:val="TableTextRight"/>
            </w:pPr>
            <w:r>
              <w:t>125</w:t>
            </w:r>
          </w:p>
        </w:tc>
        <w:tc>
          <w:tcPr>
            <w:tcW w:w="1021" w:type="dxa"/>
          </w:tcPr>
          <w:p w14:paraId="44B1A80F" w14:textId="77777777" w:rsidR="00DE3B0D" w:rsidRDefault="00DE3B0D" w:rsidP="00A95E63">
            <w:pPr>
              <w:pStyle w:val="TableTextRight"/>
            </w:pPr>
            <w:r>
              <w:t>102</w:t>
            </w:r>
          </w:p>
        </w:tc>
        <w:tc>
          <w:tcPr>
            <w:tcW w:w="1021" w:type="dxa"/>
          </w:tcPr>
          <w:p w14:paraId="6E89276E" w14:textId="77777777" w:rsidR="00DE3B0D" w:rsidRDefault="00DE3B0D" w:rsidP="00A95E63">
            <w:pPr>
              <w:pStyle w:val="TableTextRight"/>
            </w:pPr>
            <w:r>
              <w:t>1,093</w:t>
            </w:r>
          </w:p>
        </w:tc>
        <w:tc>
          <w:tcPr>
            <w:tcW w:w="1021" w:type="dxa"/>
          </w:tcPr>
          <w:p w14:paraId="1EBA9AF4" w14:textId="77777777" w:rsidR="00DE3B0D" w:rsidRDefault="00DE3B0D" w:rsidP="00A95E63">
            <w:pPr>
              <w:pStyle w:val="TableTextRight"/>
            </w:pPr>
            <w:r>
              <w:t>1,161</w:t>
            </w:r>
          </w:p>
        </w:tc>
        <w:tc>
          <w:tcPr>
            <w:tcW w:w="1021" w:type="dxa"/>
          </w:tcPr>
          <w:p w14:paraId="77D73D02" w14:textId="77777777" w:rsidR="00DE3B0D" w:rsidRDefault="00DE3B0D" w:rsidP="00A95E63">
            <w:pPr>
              <w:pStyle w:val="TableTextRight"/>
            </w:pPr>
            <w:r>
              <w:t>1,200</w:t>
            </w:r>
          </w:p>
        </w:tc>
      </w:tr>
      <w:tr w:rsidR="00DE3B0D" w14:paraId="030CE55E" w14:textId="77777777" w:rsidTr="00716A03">
        <w:trPr>
          <w:trHeight w:val="68"/>
        </w:trPr>
        <w:tc>
          <w:tcPr>
            <w:tcW w:w="2948" w:type="dxa"/>
          </w:tcPr>
          <w:p w14:paraId="68723E84" w14:textId="30D2DCB9" w:rsidR="00DE3B0D" w:rsidRDefault="00DE3B0D" w:rsidP="00A95E63">
            <w:pPr>
              <w:pStyle w:val="TableText"/>
            </w:pPr>
            <w:r>
              <w:t>Owners</w:t>
            </w:r>
            <w:r w:rsidR="00D23ECC">
              <w:t xml:space="preserve"> </w:t>
            </w:r>
            <w:r>
              <w:t>corporation</w:t>
            </w:r>
            <w:r w:rsidR="00D23ECC">
              <w:t xml:space="preserve"> </w:t>
            </w:r>
            <w:r>
              <w:t>managers</w:t>
            </w:r>
          </w:p>
        </w:tc>
        <w:tc>
          <w:tcPr>
            <w:tcW w:w="1021" w:type="dxa"/>
          </w:tcPr>
          <w:p w14:paraId="01D54C96" w14:textId="77777777" w:rsidR="00DE3B0D" w:rsidRDefault="00DE3B0D" w:rsidP="00A95E63">
            <w:pPr>
              <w:pStyle w:val="TableTextRight"/>
            </w:pPr>
            <w:r>
              <w:t>103</w:t>
            </w:r>
          </w:p>
        </w:tc>
        <w:tc>
          <w:tcPr>
            <w:tcW w:w="1021" w:type="dxa"/>
          </w:tcPr>
          <w:p w14:paraId="6EE7C8EB" w14:textId="77777777" w:rsidR="00DE3B0D" w:rsidRDefault="00DE3B0D" w:rsidP="00A95E63">
            <w:pPr>
              <w:pStyle w:val="TableTextRight"/>
            </w:pPr>
            <w:r>
              <w:t>110</w:t>
            </w:r>
          </w:p>
        </w:tc>
        <w:tc>
          <w:tcPr>
            <w:tcW w:w="1021" w:type="dxa"/>
          </w:tcPr>
          <w:p w14:paraId="4D13C294" w14:textId="77777777" w:rsidR="00DE3B0D" w:rsidRDefault="00DE3B0D" w:rsidP="00A95E63">
            <w:pPr>
              <w:pStyle w:val="TableTextRight"/>
            </w:pPr>
            <w:r>
              <w:t>71</w:t>
            </w:r>
          </w:p>
        </w:tc>
        <w:tc>
          <w:tcPr>
            <w:tcW w:w="1021" w:type="dxa"/>
          </w:tcPr>
          <w:p w14:paraId="0A1C8534" w14:textId="77777777" w:rsidR="00DE3B0D" w:rsidRDefault="00DE3B0D" w:rsidP="00A95E63">
            <w:pPr>
              <w:pStyle w:val="TableTextRight"/>
            </w:pPr>
            <w:r>
              <w:t>668</w:t>
            </w:r>
          </w:p>
        </w:tc>
        <w:tc>
          <w:tcPr>
            <w:tcW w:w="1021" w:type="dxa"/>
          </w:tcPr>
          <w:p w14:paraId="032EE2C7" w14:textId="77777777" w:rsidR="00DE3B0D" w:rsidRDefault="00DE3B0D" w:rsidP="00A95E63">
            <w:pPr>
              <w:pStyle w:val="TableTextRight"/>
            </w:pPr>
            <w:r>
              <w:t>674</w:t>
            </w:r>
          </w:p>
        </w:tc>
        <w:tc>
          <w:tcPr>
            <w:tcW w:w="1021" w:type="dxa"/>
          </w:tcPr>
          <w:p w14:paraId="38BE9953" w14:textId="77777777" w:rsidR="00DE3B0D" w:rsidRDefault="00DE3B0D" w:rsidP="00A95E63">
            <w:pPr>
              <w:pStyle w:val="TableTextRight"/>
            </w:pPr>
            <w:r>
              <w:t>678</w:t>
            </w:r>
          </w:p>
        </w:tc>
      </w:tr>
      <w:tr w:rsidR="00DE3B0D" w14:paraId="717C9ACC" w14:textId="77777777" w:rsidTr="00716A03">
        <w:trPr>
          <w:trHeight w:val="68"/>
        </w:trPr>
        <w:tc>
          <w:tcPr>
            <w:tcW w:w="2948" w:type="dxa"/>
          </w:tcPr>
          <w:p w14:paraId="20C7F3F5" w14:textId="475DAA64" w:rsidR="00DE3B0D" w:rsidRDefault="00DE3B0D" w:rsidP="00A95E63">
            <w:pPr>
              <w:pStyle w:val="TableText"/>
            </w:pPr>
            <w:r>
              <w:t>Sex</w:t>
            </w:r>
            <w:r w:rsidR="00D23ECC">
              <w:t xml:space="preserve"> </w:t>
            </w:r>
            <w:r>
              <w:t>work</w:t>
            </w:r>
            <w:r w:rsidR="00D23ECC">
              <w:t xml:space="preserve"> </w:t>
            </w:r>
            <w:r>
              <w:t>service</w:t>
            </w:r>
            <w:r w:rsidR="00D23ECC">
              <w:t xml:space="preserve"> </w:t>
            </w:r>
            <w:r>
              <w:t>providers</w:t>
            </w:r>
            <w:r w:rsidR="00D23ECC">
              <w:t xml:space="preserve"> </w:t>
            </w:r>
            <w:r>
              <w:t>(licensees)</w:t>
            </w:r>
          </w:p>
        </w:tc>
        <w:tc>
          <w:tcPr>
            <w:tcW w:w="1021" w:type="dxa"/>
          </w:tcPr>
          <w:p w14:paraId="31E6C94F" w14:textId="77777777" w:rsidR="00DE3B0D" w:rsidRDefault="00DE3B0D" w:rsidP="00A95E63">
            <w:pPr>
              <w:pStyle w:val="TableTextRight"/>
            </w:pPr>
            <w:r>
              <w:t>7</w:t>
            </w:r>
          </w:p>
        </w:tc>
        <w:tc>
          <w:tcPr>
            <w:tcW w:w="1021" w:type="dxa"/>
          </w:tcPr>
          <w:p w14:paraId="7DC5BB3B" w14:textId="77777777" w:rsidR="00DE3B0D" w:rsidRDefault="00DE3B0D" w:rsidP="00A95E63">
            <w:pPr>
              <w:pStyle w:val="TableTextRight"/>
            </w:pPr>
            <w:r>
              <w:t>5</w:t>
            </w:r>
          </w:p>
        </w:tc>
        <w:tc>
          <w:tcPr>
            <w:tcW w:w="1021" w:type="dxa"/>
          </w:tcPr>
          <w:p w14:paraId="25ACB6FA" w14:textId="77777777" w:rsidR="00DE3B0D" w:rsidRDefault="00DE3B0D" w:rsidP="00A95E63">
            <w:pPr>
              <w:pStyle w:val="TableTextRight"/>
            </w:pPr>
            <w:r>
              <w:t>1</w:t>
            </w:r>
          </w:p>
        </w:tc>
        <w:tc>
          <w:tcPr>
            <w:tcW w:w="1021" w:type="dxa"/>
          </w:tcPr>
          <w:p w14:paraId="6DF46810" w14:textId="77777777" w:rsidR="00DE3B0D" w:rsidRDefault="00DE3B0D" w:rsidP="00A95E63">
            <w:pPr>
              <w:pStyle w:val="TableTextRight"/>
            </w:pPr>
            <w:r>
              <w:t>115</w:t>
            </w:r>
          </w:p>
        </w:tc>
        <w:tc>
          <w:tcPr>
            <w:tcW w:w="1021" w:type="dxa"/>
          </w:tcPr>
          <w:p w14:paraId="54492672" w14:textId="77777777" w:rsidR="00DE3B0D" w:rsidRDefault="00DE3B0D" w:rsidP="00A95E63">
            <w:pPr>
              <w:pStyle w:val="TableTextRight"/>
            </w:pPr>
            <w:r>
              <w:t>112</w:t>
            </w:r>
          </w:p>
        </w:tc>
        <w:tc>
          <w:tcPr>
            <w:tcW w:w="1021" w:type="dxa"/>
          </w:tcPr>
          <w:p w14:paraId="1554CE57" w14:textId="77777777" w:rsidR="00DE3B0D" w:rsidRDefault="00DE3B0D" w:rsidP="00A95E63">
            <w:pPr>
              <w:pStyle w:val="TableTextRight"/>
            </w:pPr>
            <w:r>
              <w:t>113</w:t>
            </w:r>
          </w:p>
        </w:tc>
      </w:tr>
      <w:tr w:rsidR="00DE3B0D" w14:paraId="5F3F31F6" w14:textId="77777777" w:rsidTr="00716A03">
        <w:trPr>
          <w:trHeight w:val="68"/>
        </w:trPr>
        <w:tc>
          <w:tcPr>
            <w:tcW w:w="2948" w:type="dxa"/>
          </w:tcPr>
          <w:p w14:paraId="544B70FB" w14:textId="16B6E435" w:rsidR="00DE3B0D" w:rsidRDefault="00DE3B0D" w:rsidP="00A95E63">
            <w:pPr>
              <w:pStyle w:val="TableText"/>
            </w:pPr>
            <w:r>
              <w:t>Sex</w:t>
            </w:r>
            <w:r w:rsidR="00D23ECC">
              <w:t xml:space="preserve"> </w:t>
            </w:r>
            <w:r>
              <w:t>work</w:t>
            </w:r>
            <w:r w:rsidR="00D23ECC">
              <w:t xml:space="preserve"> </w:t>
            </w:r>
            <w:r>
              <w:t>brothel</w:t>
            </w:r>
            <w:r w:rsidR="00D23ECC">
              <w:t xml:space="preserve"> </w:t>
            </w:r>
            <w:r>
              <w:t>managers</w:t>
            </w:r>
          </w:p>
        </w:tc>
        <w:tc>
          <w:tcPr>
            <w:tcW w:w="1021" w:type="dxa"/>
          </w:tcPr>
          <w:p w14:paraId="6D3A242C" w14:textId="77777777" w:rsidR="00DE3B0D" w:rsidRDefault="00DE3B0D" w:rsidP="00A95E63">
            <w:pPr>
              <w:pStyle w:val="TableTextRight"/>
            </w:pPr>
            <w:r>
              <w:t>121</w:t>
            </w:r>
          </w:p>
        </w:tc>
        <w:tc>
          <w:tcPr>
            <w:tcW w:w="1021" w:type="dxa"/>
          </w:tcPr>
          <w:p w14:paraId="6A8AA7C3" w14:textId="77777777" w:rsidR="00DE3B0D" w:rsidRDefault="00DE3B0D" w:rsidP="00A95E63">
            <w:pPr>
              <w:pStyle w:val="TableTextRight"/>
            </w:pPr>
            <w:r>
              <w:t>81</w:t>
            </w:r>
          </w:p>
        </w:tc>
        <w:tc>
          <w:tcPr>
            <w:tcW w:w="1021" w:type="dxa"/>
          </w:tcPr>
          <w:p w14:paraId="6452E6BD" w14:textId="77777777" w:rsidR="00DE3B0D" w:rsidRDefault="00DE3B0D" w:rsidP="00A95E63">
            <w:pPr>
              <w:pStyle w:val="TableTextRight"/>
            </w:pPr>
            <w:r>
              <w:t>112</w:t>
            </w:r>
          </w:p>
        </w:tc>
        <w:tc>
          <w:tcPr>
            <w:tcW w:w="1021" w:type="dxa"/>
          </w:tcPr>
          <w:p w14:paraId="5B6AC703" w14:textId="77777777" w:rsidR="00DE3B0D" w:rsidRDefault="00DE3B0D" w:rsidP="00A95E63">
            <w:pPr>
              <w:pStyle w:val="TableTextRight"/>
            </w:pPr>
            <w:r>
              <w:t>616</w:t>
            </w:r>
          </w:p>
        </w:tc>
        <w:tc>
          <w:tcPr>
            <w:tcW w:w="1021" w:type="dxa"/>
          </w:tcPr>
          <w:p w14:paraId="2A619C93" w14:textId="77777777" w:rsidR="00DE3B0D" w:rsidRDefault="00DE3B0D" w:rsidP="00A95E63">
            <w:pPr>
              <w:pStyle w:val="TableTextRight"/>
            </w:pPr>
            <w:r>
              <w:t>558</w:t>
            </w:r>
          </w:p>
        </w:tc>
        <w:tc>
          <w:tcPr>
            <w:tcW w:w="1021" w:type="dxa"/>
          </w:tcPr>
          <w:p w14:paraId="7DC08F1C" w14:textId="77777777" w:rsidR="00DE3B0D" w:rsidRDefault="00DE3B0D" w:rsidP="00A95E63">
            <w:pPr>
              <w:pStyle w:val="TableTextRight"/>
            </w:pPr>
            <w:r>
              <w:t>631</w:t>
            </w:r>
          </w:p>
        </w:tc>
      </w:tr>
      <w:tr w:rsidR="00DE3B0D" w14:paraId="02B0C0C3" w14:textId="77777777" w:rsidTr="00716A03">
        <w:trPr>
          <w:trHeight w:val="68"/>
        </w:trPr>
        <w:tc>
          <w:tcPr>
            <w:tcW w:w="2948" w:type="dxa"/>
          </w:tcPr>
          <w:p w14:paraId="166C8FE6" w14:textId="6DEADE8D" w:rsidR="00DE3B0D" w:rsidRDefault="00DE3B0D" w:rsidP="00A95E63">
            <w:pPr>
              <w:pStyle w:val="TableText"/>
            </w:pPr>
            <w:r>
              <w:t>Rooming</w:t>
            </w:r>
            <w:r w:rsidR="00D23ECC">
              <w:t xml:space="preserve"> </w:t>
            </w:r>
            <w:r>
              <w:t>house</w:t>
            </w:r>
            <w:r w:rsidR="00D23ECC">
              <w:t xml:space="preserve"> </w:t>
            </w:r>
            <w:r>
              <w:t>operators</w:t>
            </w:r>
          </w:p>
        </w:tc>
        <w:tc>
          <w:tcPr>
            <w:tcW w:w="1021" w:type="dxa"/>
          </w:tcPr>
          <w:p w14:paraId="5DD922C0" w14:textId="77777777" w:rsidR="00DE3B0D" w:rsidRDefault="00DE3B0D" w:rsidP="00A95E63">
            <w:pPr>
              <w:pStyle w:val="TableTextRight"/>
            </w:pPr>
            <w:r>
              <w:t>151</w:t>
            </w:r>
          </w:p>
        </w:tc>
        <w:tc>
          <w:tcPr>
            <w:tcW w:w="1021" w:type="dxa"/>
          </w:tcPr>
          <w:p w14:paraId="6E17026E" w14:textId="77777777" w:rsidR="00DE3B0D" w:rsidRDefault="00DE3B0D" w:rsidP="00A95E63">
            <w:pPr>
              <w:pStyle w:val="TableTextRight"/>
            </w:pPr>
            <w:r>
              <w:t>143</w:t>
            </w:r>
          </w:p>
        </w:tc>
        <w:tc>
          <w:tcPr>
            <w:tcW w:w="1021" w:type="dxa"/>
          </w:tcPr>
          <w:p w14:paraId="03C51845" w14:textId="77777777" w:rsidR="00DE3B0D" w:rsidRDefault="00DE3B0D" w:rsidP="00A95E63">
            <w:pPr>
              <w:pStyle w:val="TableTextRight"/>
            </w:pPr>
            <w:r>
              <w:t>208</w:t>
            </w:r>
          </w:p>
        </w:tc>
        <w:tc>
          <w:tcPr>
            <w:tcW w:w="1021" w:type="dxa"/>
          </w:tcPr>
          <w:p w14:paraId="3B40CE88" w14:textId="77777777" w:rsidR="00DE3B0D" w:rsidRDefault="00DE3B0D" w:rsidP="00A95E63">
            <w:pPr>
              <w:pStyle w:val="TableTextRight"/>
            </w:pPr>
            <w:r>
              <w:t>1,002</w:t>
            </w:r>
          </w:p>
        </w:tc>
        <w:tc>
          <w:tcPr>
            <w:tcW w:w="1021" w:type="dxa"/>
          </w:tcPr>
          <w:p w14:paraId="40400B7A" w14:textId="77777777" w:rsidR="00DE3B0D" w:rsidRDefault="00DE3B0D" w:rsidP="00A95E63">
            <w:pPr>
              <w:pStyle w:val="TableTextRight"/>
            </w:pPr>
            <w:r>
              <w:t>1,099</w:t>
            </w:r>
          </w:p>
        </w:tc>
        <w:tc>
          <w:tcPr>
            <w:tcW w:w="1021" w:type="dxa"/>
          </w:tcPr>
          <w:p w14:paraId="74051984" w14:textId="77777777" w:rsidR="00DE3B0D" w:rsidRDefault="00DE3B0D" w:rsidP="00A95E63">
            <w:pPr>
              <w:pStyle w:val="TableTextRight"/>
            </w:pPr>
            <w:r>
              <w:t>1,024</w:t>
            </w:r>
          </w:p>
        </w:tc>
      </w:tr>
      <w:tr w:rsidR="00DE3B0D" w14:paraId="0C91F4B9" w14:textId="77777777" w:rsidTr="006F7BE3">
        <w:trPr>
          <w:trHeight w:val="68"/>
        </w:trPr>
        <w:tc>
          <w:tcPr>
            <w:tcW w:w="2948" w:type="dxa"/>
            <w:gridSpan w:val="7"/>
            <w:shd w:val="clear" w:color="auto" w:fill="B2D5F0"/>
          </w:tcPr>
          <w:p w14:paraId="51DFAA38" w14:textId="1D24EEF6" w:rsidR="00DE3B0D" w:rsidRDefault="00DE3B0D" w:rsidP="00A95E63">
            <w:pPr>
              <w:pStyle w:val="TableTextBold"/>
            </w:pPr>
            <w:r>
              <w:t>Consumer</w:t>
            </w:r>
            <w:r w:rsidR="00D23ECC">
              <w:t xml:space="preserve"> </w:t>
            </w:r>
            <w:r>
              <w:t>Affairs</w:t>
            </w:r>
            <w:r w:rsidR="00D23ECC">
              <w:t xml:space="preserve"> </w:t>
            </w:r>
            <w:r>
              <w:t>Victoria</w:t>
            </w:r>
            <w:r w:rsidR="00D23ECC">
              <w:t xml:space="preserve"> </w:t>
            </w:r>
            <w:r>
              <w:t>administered</w:t>
            </w:r>
            <w:r w:rsidR="00D23ECC">
              <w:t xml:space="preserve"> </w:t>
            </w:r>
            <w:r>
              <w:t>schemes</w:t>
            </w:r>
          </w:p>
        </w:tc>
      </w:tr>
      <w:tr w:rsidR="00DE3B0D" w14:paraId="3BA5722E" w14:textId="77777777" w:rsidTr="00716A03">
        <w:trPr>
          <w:trHeight w:val="68"/>
        </w:trPr>
        <w:tc>
          <w:tcPr>
            <w:tcW w:w="2948" w:type="dxa"/>
          </w:tcPr>
          <w:p w14:paraId="56662789" w14:textId="11122953" w:rsidR="00DE3B0D" w:rsidRDefault="00DE3B0D" w:rsidP="00A95E63">
            <w:pPr>
              <w:pStyle w:val="TableText"/>
            </w:pPr>
            <w:r>
              <w:t>Incorporated</w:t>
            </w:r>
            <w:r w:rsidR="00D23ECC">
              <w:t xml:space="preserve"> </w:t>
            </w:r>
            <w:r>
              <w:t>associations</w:t>
            </w:r>
          </w:p>
        </w:tc>
        <w:tc>
          <w:tcPr>
            <w:tcW w:w="1021" w:type="dxa"/>
          </w:tcPr>
          <w:p w14:paraId="280793CE" w14:textId="77777777" w:rsidR="00DE3B0D" w:rsidRDefault="00DE3B0D" w:rsidP="00A95E63">
            <w:pPr>
              <w:pStyle w:val="TableTextRight"/>
            </w:pPr>
            <w:r>
              <w:t>2,226</w:t>
            </w:r>
          </w:p>
        </w:tc>
        <w:tc>
          <w:tcPr>
            <w:tcW w:w="1021" w:type="dxa"/>
          </w:tcPr>
          <w:p w14:paraId="45BE01EE" w14:textId="77777777" w:rsidR="00DE3B0D" w:rsidRDefault="00DE3B0D" w:rsidP="00A95E63">
            <w:pPr>
              <w:pStyle w:val="TableTextRight"/>
            </w:pPr>
            <w:r>
              <w:t>1,964</w:t>
            </w:r>
          </w:p>
        </w:tc>
        <w:tc>
          <w:tcPr>
            <w:tcW w:w="1021" w:type="dxa"/>
          </w:tcPr>
          <w:p w14:paraId="255CD4DD" w14:textId="77777777" w:rsidR="00DE3B0D" w:rsidRDefault="00DE3B0D" w:rsidP="00A95E63">
            <w:pPr>
              <w:pStyle w:val="TableTextRight"/>
            </w:pPr>
            <w:r>
              <w:t>1875</w:t>
            </w:r>
          </w:p>
        </w:tc>
        <w:tc>
          <w:tcPr>
            <w:tcW w:w="1021" w:type="dxa"/>
          </w:tcPr>
          <w:p w14:paraId="755EEE1C" w14:textId="77777777" w:rsidR="00DE3B0D" w:rsidRDefault="00DE3B0D" w:rsidP="00A95E63">
            <w:pPr>
              <w:pStyle w:val="TableTextRight"/>
            </w:pPr>
            <w:r>
              <w:t>40,813</w:t>
            </w:r>
          </w:p>
        </w:tc>
        <w:tc>
          <w:tcPr>
            <w:tcW w:w="1021" w:type="dxa"/>
          </w:tcPr>
          <w:p w14:paraId="55E1A17B" w14:textId="77777777" w:rsidR="00DE3B0D" w:rsidRDefault="00DE3B0D" w:rsidP="00A95E63">
            <w:pPr>
              <w:pStyle w:val="TableTextRight"/>
            </w:pPr>
            <w:r>
              <w:t>41,706</w:t>
            </w:r>
          </w:p>
        </w:tc>
        <w:tc>
          <w:tcPr>
            <w:tcW w:w="1021" w:type="dxa"/>
          </w:tcPr>
          <w:p w14:paraId="4BFCC885" w14:textId="77777777" w:rsidR="00DE3B0D" w:rsidRDefault="00DE3B0D" w:rsidP="00A95E63">
            <w:pPr>
              <w:pStyle w:val="TableTextRight"/>
            </w:pPr>
            <w:r>
              <w:t>42,566</w:t>
            </w:r>
          </w:p>
        </w:tc>
      </w:tr>
      <w:tr w:rsidR="00DE3B0D" w14:paraId="5DB2B403" w14:textId="77777777" w:rsidTr="00716A03">
        <w:trPr>
          <w:trHeight w:val="68"/>
        </w:trPr>
        <w:tc>
          <w:tcPr>
            <w:tcW w:w="2948" w:type="dxa"/>
          </w:tcPr>
          <w:p w14:paraId="551A1CB6" w14:textId="77777777" w:rsidR="00DE3B0D" w:rsidRDefault="00DE3B0D" w:rsidP="00A95E63">
            <w:pPr>
              <w:pStyle w:val="TableText"/>
            </w:pPr>
            <w:r>
              <w:t>Co-operatives</w:t>
            </w:r>
          </w:p>
        </w:tc>
        <w:tc>
          <w:tcPr>
            <w:tcW w:w="1021" w:type="dxa"/>
          </w:tcPr>
          <w:p w14:paraId="65CC4F53" w14:textId="77777777" w:rsidR="00DE3B0D" w:rsidRDefault="00DE3B0D" w:rsidP="00A95E63">
            <w:pPr>
              <w:pStyle w:val="TableTextRight"/>
            </w:pPr>
            <w:r>
              <w:t>40</w:t>
            </w:r>
          </w:p>
        </w:tc>
        <w:tc>
          <w:tcPr>
            <w:tcW w:w="1021" w:type="dxa"/>
          </w:tcPr>
          <w:p w14:paraId="6A0C21DB" w14:textId="77777777" w:rsidR="00DE3B0D" w:rsidRDefault="00DE3B0D" w:rsidP="00A95E63">
            <w:pPr>
              <w:pStyle w:val="TableTextRight"/>
            </w:pPr>
            <w:r>
              <w:t>14</w:t>
            </w:r>
          </w:p>
        </w:tc>
        <w:tc>
          <w:tcPr>
            <w:tcW w:w="1021" w:type="dxa"/>
          </w:tcPr>
          <w:p w14:paraId="6E7BAE50" w14:textId="77777777" w:rsidR="00DE3B0D" w:rsidRDefault="00DE3B0D" w:rsidP="00A95E63">
            <w:pPr>
              <w:pStyle w:val="TableTextRight"/>
            </w:pPr>
            <w:r>
              <w:t>10</w:t>
            </w:r>
          </w:p>
        </w:tc>
        <w:tc>
          <w:tcPr>
            <w:tcW w:w="1021" w:type="dxa"/>
          </w:tcPr>
          <w:p w14:paraId="19DB3883" w14:textId="77777777" w:rsidR="00DE3B0D" w:rsidRDefault="00DE3B0D" w:rsidP="00A95E63">
            <w:pPr>
              <w:pStyle w:val="TableTextRight"/>
            </w:pPr>
            <w:r>
              <w:t>524</w:t>
            </w:r>
          </w:p>
        </w:tc>
        <w:tc>
          <w:tcPr>
            <w:tcW w:w="1021" w:type="dxa"/>
          </w:tcPr>
          <w:p w14:paraId="0A13C067" w14:textId="77777777" w:rsidR="00DE3B0D" w:rsidRDefault="00DE3B0D" w:rsidP="00A95E63">
            <w:pPr>
              <w:pStyle w:val="TableTextRight"/>
            </w:pPr>
            <w:r>
              <w:t>514</w:t>
            </w:r>
          </w:p>
        </w:tc>
        <w:tc>
          <w:tcPr>
            <w:tcW w:w="1021" w:type="dxa"/>
          </w:tcPr>
          <w:p w14:paraId="32C8D57C" w14:textId="77777777" w:rsidR="00DE3B0D" w:rsidRDefault="00DE3B0D" w:rsidP="00A95E63">
            <w:pPr>
              <w:pStyle w:val="TableTextRight"/>
            </w:pPr>
            <w:r>
              <w:t>512</w:t>
            </w:r>
          </w:p>
        </w:tc>
      </w:tr>
      <w:tr w:rsidR="00DE3B0D" w14:paraId="16D41D66" w14:textId="77777777" w:rsidTr="00716A03">
        <w:trPr>
          <w:trHeight w:val="68"/>
        </w:trPr>
        <w:tc>
          <w:tcPr>
            <w:tcW w:w="2948" w:type="dxa"/>
          </w:tcPr>
          <w:p w14:paraId="2BB0B93F" w14:textId="133C8E78" w:rsidR="00DE3B0D" w:rsidRDefault="00DE3B0D" w:rsidP="00A95E63">
            <w:pPr>
              <w:pStyle w:val="TableText"/>
            </w:pPr>
            <w:r>
              <w:t>Patriotic</w:t>
            </w:r>
            <w:r w:rsidR="00D23ECC">
              <w:t xml:space="preserve"> </w:t>
            </w:r>
            <w:r>
              <w:t>funds</w:t>
            </w:r>
          </w:p>
        </w:tc>
        <w:tc>
          <w:tcPr>
            <w:tcW w:w="1021" w:type="dxa"/>
          </w:tcPr>
          <w:p w14:paraId="35BF7DC7" w14:textId="77777777" w:rsidR="00DE3B0D" w:rsidRDefault="00DE3B0D" w:rsidP="00A95E63">
            <w:pPr>
              <w:pStyle w:val="TableTextRight"/>
            </w:pPr>
            <w:r>
              <w:t>0</w:t>
            </w:r>
          </w:p>
        </w:tc>
        <w:tc>
          <w:tcPr>
            <w:tcW w:w="1021" w:type="dxa"/>
          </w:tcPr>
          <w:p w14:paraId="0E49179C" w14:textId="77777777" w:rsidR="00DE3B0D" w:rsidRDefault="00DE3B0D" w:rsidP="00A95E63">
            <w:pPr>
              <w:pStyle w:val="TableTextRight"/>
            </w:pPr>
            <w:r>
              <w:t>2</w:t>
            </w:r>
          </w:p>
        </w:tc>
        <w:tc>
          <w:tcPr>
            <w:tcW w:w="1021" w:type="dxa"/>
          </w:tcPr>
          <w:p w14:paraId="251B66C2" w14:textId="77777777" w:rsidR="00DE3B0D" w:rsidRDefault="00DE3B0D" w:rsidP="00A95E63">
            <w:pPr>
              <w:pStyle w:val="TableTextRight"/>
            </w:pPr>
            <w:r>
              <w:t>0</w:t>
            </w:r>
          </w:p>
        </w:tc>
        <w:tc>
          <w:tcPr>
            <w:tcW w:w="1021" w:type="dxa"/>
          </w:tcPr>
          <w:p w14:paraId="2741E4F6" w14:textId="77777777" w:rsidR="00DE3B0D" w:rsidRDefault="00DE3B0D" w:rsidP="00A95E63">
            <w:pPr>
              <w:pStyle w:val="TableTextRight"/>
            </w:pPr>
            <w:r>
              <w:t>485</w:t>
            </w:r>
          </w:p>
        </w:tc>
        <w:tc>
          <w:tcPr>
            <w:tcW w:w="1021" w:type="dxa"/>
          </w:tcPr>
          <w:p w14:paraId="25F98BF5" w14:textId="77777777" w:rsidR="00DE3B0D" w:rsidRDefault="00DE3B0D" w:rsidP="00A95E63">
            <w:pPr>
              <w:pStyle w:val="TableTextRight"/>
            </w:pPr>
            <w:r>
              <w:t>415</w:t>
            </w:r>
          </w:p>
        </w:tc>
        <w:tc>
          <w:tcPr>
            <w:tcW w:w="1021" w:type="dxa"/>
          </w:tcPr>
          <w:p w14:paraId="717B00A1" w14:textId="77777777" w:rsidR="00DE3B0D" w:rsidRDefault="00DE3B0D" w:rsidP="00A95E63">
            <w:pPr>
              <w:pStyle w:val="TableTextRight"/>
            </w:pPr>
            <w:r>
              <w:t>390</w:t>
            </w:r>
          </w:p>
        </w:tc>
      </w:tr>
      <w:tr w:rsidR="00DE3B0D" w14:paraId="301BF5D8" w14:textId="77777777" w:rsidTr="00716A03">
        <w:trPr>
          <w:trHeight w:val="68"/>
        </w:trPr>
        <w:tc>
          <w:tcPr>
            <w:tcW w:w="2948" w:type="dxa"/>
          </w:tcPr>
          <w:p w14:paraId="62787DBC" w14:textId="43B90A69" w:rsidR="00DE3B0D" w:rsidRDefault="00DE3B0D" w:rsidP="00A95E63">
            <w:pPr>
              <w:pStyle w:val="TableText"/>
            </w:pPr>
            <w:r>
              <w:t>Limited</w:t>
            </w:r>
            <w:r w:rsidR="00D23ECC">
              <w:t xml:space="preserve"> </w:t>
            </w:r>
            <w:r>
              <w:t>partnerships</w:t>
            </w:r>
          </w:p>
        </w:tc>
        <w:tc>
          <w:tcPr>
            <w:tcW w:w="1021" w:type="dxa"/>
          </w:tcPr>
          <w:p w14:paraId="437C9187" w14:textId="77777777" w:rsidR="00DE3B0D" w:rsidRDefault="00DE3B0D" w:rsidP="00A95E63">
            <w:pPr>
              <w:pStyle w:val="TableTextRight"/>
            </w:pPr>
            <w:r>
              <w:t>15</w:t>
            </w:r>
          </w:p>
        </w:tc>
        <w:tc>
          <w:tcPr>
            <w:tcW w:w="1021" w:type="dxa"/>
          </w:tcPr>
          <w:p w14:paraId="1CE7C807" w14:textId="77777777" w:rsidR="00DE3B0D" w:rsidRDefault="00DE3B0D" w:rsidP="00A95E63">
            <w:pPr>
              <w:pStyle w:val="TableTextRight"/>
            </w:pPr>
            <w:r>
              <w:t>10</w:t>
            </w:r>
          </w:p>
        </w:tc>
        <w:tc>
          <w:tcPr>
            <w:tcW w:w="1021" w:type="dxa"/>
          </w:tcPr>
          <w:p w14:paraId="02F1822C" w14:textId="77777777" w:rsidR="00DE3B0D" w:rsidRDefault="00DE3B0D" w:rsidP="00A95E63">
            <w:pPr>
              <w:pStyle w:val="TableTextRight"/>
            </w:pPr>
            <w:r>
              <w:t>10</w:t>
            </w:r>
          </w:p>
        </w:tc>
        <w:tc>
          <w:tcPr>
            <w:tcW w:w="1021" w:type="dxa"/>
          </w:tcPr>
          <w:p w14:paraId="061B8C5B" w14:textId="77777777" w:rsidR="00DE3B0D" w:rsidRDefault="00DE3B0D" w:rsidP="00A95E63">
            <w:pPr>
              <w:pStyle w:val="TableTextRight"/>
            </w:pPr>
            <w:r>
              <w:t>398</w:t>
            </w:r>
          </w:p>
        </w:tc>
        <w:tc>
          <w:tcPr>
            <w:tcW w:w="1021" w:type="dxa"/>
          </w:tcPr>
          <w:p w14:paraId="69E445A4" w14:textId="77777777" w:rsidR="00DE3B0D" w:rsidRDefault="00DE3B0D" w:rsidP="00A95E63">
            <w:pPr>
              <w:pStyle w:val="TableTextRight"/>
            </w:pPr>
            <w:r>
              <w:t>406</w:t>
            </w:r>
          </w:p>
        </w:tc>
        <w:tc>
          <w:tcPr>
            <w:tcW w:w="1021" w:type="dxa"/>
          </w:tcPr>
          <w:p w14:paraId="75509974" w14:textId="77777777" w:rsidR="00DE3B0D" w:rsidRDefault="00DE3B0D" w:rsidP="00A95E63">
            <w:pPr>
              <w:pStyle w:val="TableTextRight"/>
            </w:pPr>
            <w:r>
              <w:t>423</w:t>
            </w:r>
          </w:p>
        </w:tc>
      </w:tr>
      <w:tr w:rsidR="00DE3B0D" w14:paraId="3FFFB5A0" w14:textId="77777777" w:rsidTr="00716A03">
        <w:trPr>
          <w:trHeight w:val="68"/>
        </w:trPr>
        <w:tc>
          <w:tcPr>
            <w:tcW w:w="2948" w:type="dxa"/>
          </w:tcPr>
          <w:p w14:paraId="3BB33F4D" w14:textId="73D1A3EC" w:rsidR="00DE3B0D" w:rsidRDefault="00DE3B0D" w:rsidP="00A95E63">
            <w:pPr>
              <w:pStyle w:val="TableText"/>
            </w:pPr>
            <w:r>
              <w:t>Retirement</w:t>
            </w:r>
            <w:r w:rsidR="00D23ECC">
              <w:t xml:space="preserve"> </w:t>
            </w:r>
            <w:r>
              <w:t>villages</w:t>
            </w:r>
          </w:p>
        </w:tc>
        <w:tc>
          <w:tcPr>
            <w:tcW w:w="1021" w:type="dxa"/>
          </w:tcPr>
          <w:p w14:paraId="66905306" w14:textId="77777777" w:rsidR="00DE3B0D" w:rsidRDefault="00DE3B0D" w:rsidP="00A95E63">
            <w:pPr>
              <w:pStyle w:val="TableTextRight"/>
            </w:pPr>
            <w:r>
              <w:t>14</w:t>
            </w:r>
          </w:p>
        </w:tc>
        <w:tc>
          <w:tcPr>
            <w:tcW w:w="1021" w:type="dxa"/>
          </w:tcPr>
          <w:p w14:paraId="49CDF627" w14:textId="77777777" w:rsidR="00DE3B0D" w:rsidRDefault="00DE3B0D" w:rsidP="00A95E63">
            <w:pPr>
              <w:pStyle w:val="TableTextRight"/>
            </w:pPr>
            <w:r>
              <w:t>12</w:t>
            </w:r>
          </w:p>
        </w:tc>
        <w:tc>
          <w:tcPr>
            <w:tcW w:w="1021" w:type="dxa"/>
          </w:tcPr>
          <w:p w14:paraId="7D69225C" w14:textId="77777777" w:rsidR="00DE3B0D" w:rsidRDefault="00DE3B0D" w:rsidP="00A95E63">
            <w:pPr>
              <w:pStyle w:val="TableTextRight"/>
            </w:pPr>
            <w:r>
              <w:t>8</w:t>
            </w:r>
          </w:p>
        </w:tc>
        <w:tc>
          <w:tcPr>
            <w:tcW w:w="1021" w:type="dxa"/>
          </w:tcPr>
          <w:p w14:paraId="45582EB7" w14:textId="77777777" w:rsidR="00DE3B0D" w:rsidRDefault="00DE3B0D" w:rsidP="00A95E63">
            <w:pPr>
              <w:pStyle w:val="TableTextRight"/>
            </w:pPr>
            <w:r>
              <w:t>456</w:t>
            </w:r>
          </w:p>
        </w:tc>
        <w:tc>
          <w:tcPr>
            <w:tcW w:w="1021" w:type="dxa"/>
          </w:tcPr>
          <w:p w14:paraId="6304EFBB" w14:textId="77777777" w:rsidR="00DE3B0D" w:rsidRDefault="00DE3B0D" w:rsidP="00A95E63">
            <w:pPr>
              <w:pStyle w:val="TableTextRight"/>
            </w:pPr>
            <w:r>
              <w:t>465</w:t>
            </w:r>
          </w:p>
        </w:tc>
        <w:tc>
          <w:tcPr>
            <w:tcW w:w="1021" w:type="dxa"/>
          </w:tcPr>
          <w:p w14:paraId="4F6DBD30" w14:textId="77777777" w:rsidR="00DE3B0D" w:rsidRDefault="00DE3B0D" w:rsidP="00A95E63">
            <w:pPr>
              <w:pStyle w:val="TableTextRight"/>
            </w:pPr>
            <w:r>
              <w:t>470</w:t>
            </w:r>
          </w:p>
        </w:tc>
      </w:tr>
      <w:tr w:rsidR="00DE3B0D" w14:paraId="5E298713" w14:textId="77777777" w:rsidTr="00716A03">
        <w:trPr>
          <w:trHeight w:val="68"/>
        </w:trPr>
        <w:tc>
          <w:tcPr>
            <w:tcW w:w="2948" w:type="dxa"/>
          </w:tcPr>
          <w:p w14:paraId="4FE79723" w14:textId="3FAFF291" w:rsidR="00DE3B0D" w:rsidRDefault="00DE3B0D" w:rsidP="00A95E63">
            <w:pPr>
              <w:pStyle w:val="TableText"/>
            </w:pPr>
            <w:r>
              <w:t>Funeral</w:t>
            </w:r>
            <w:r w:rsidR="00D23ECC">
              <w:t xml:space="preserve"> </w:t>
            </w:r>
            <w:r>
              <w:t>service</w:t>
            </w:r>
            <w:r w:rsidR="00D23ECC">
              <w:t xml:space="preserve"> </w:t>
            </w:r>
            <w:r>
              <w:t>providers</w:t>
            </w:r>
          </w:p>
        </w:tc>
        <w:tc>
          <w:tcPr>
            <w:tcW w:w="1021" w:type="dxa"/>
          </w:tcPr>
          <w:p w14:paraId="029DF5A8" w14:textId="77777777" w:rsidR="00DE3B0D" w:rsidRDefault="00DE3B0D" w:rsidP="00A95E63">
            <w:pPr>
              <w:pStyle w:val="TableTextRight"/>
            </w:pPr>
            <w:r>
              <w:t>7</w:t>
            </w:r>
          </w:p>
        </w:tc>
        <w:tc>
          <w:tcPr>
            <w:tcW w:w="1021" w:type="dxa"/>
          </w:tcPr>
          <w:p w14:paraId="00E5DCA4" w14:textId="77777777" w:rsidR="00DE3B0D" w:rsidRDefault="00DE3B0D" w:rsidP="00A95E63">
            <w:pPr>
              <w:pStyle w:val="TableTextRight"/>
            </w:pPr>
            <w:r>
              <w:t>32</w:t>
            </w:r>
          </w:p>
        </w:tc>
        <w:tc>
          <w:tcPr>
            <w:tcW w:w="1021" w:type="dxa"/>
          </w:tcPr>
          <w:p w14:paraId="0D4E324F" w14:textId="77777777" w:rsidR="00DE3B0D" w:rsidRDefault="00DE3B0D" w:rsidP="00A95E63">
            <w:pPr>
              <w:pStyle w:val="TableTextRight"/>
            </w:pPr>
            <w:r>
              <w:t>11</w:t>
            </w:r>
          </w:p>
        </w:tc>
        <w:tc>
          <w:tcPr>
            <w:tcW w:w="1021" w:type="dxa"/>
          </w:tcPr>
          <w:p w14:paraId="0BECCA0D" w14:textId="77777777" w:rsidR="00DE3B0D" w:rsidRDefault="00DE3B0D" w:rsidP="00A95E63">
            <w:pPr>
              <w:pStyle w:val="TableTextRight"/>
            </w:pPr>
            <w:r>
              <w:t>473</w:t>
            </w:r>
          </w:p>
        </w:tc>
        <w:tc>
          <w:tcPr>
            <w:tcW w:w="1021" w:type="dxa"/>
          </w:tcPr>
          <w:p w14:paraId="161014C5" w14:textId="77777777" w:rsidR="00DE3B0D" w:rsidRDefault="00DE3B0D" w:rsidP="00A95E63">
            <w:pPr>
              <w:pStyle w:val="TableTextRight"/>
            </w:pPr>
            <w:r>
              <w:t>506</w:t>
            </w:r>
          </w:p>
        </w:tc>
        <w:tc>
          <w:tcPr>
            <w:tcW w:w="1021" w:type="dxa"/>
          </w:tcPr>
          <w:p w14:paraId="01F99082" w14:textId="77777777" w:rsidR="00DE3B0D" w:rsidRDefault="00DE3B0D" w:rsidP="00A95E63">
            <w:pPr>
              <w:pStyle w:val="TableTextRight"/>
            </w:pPr>
            <w:r>
              <w:t>518</w:t>
            </w:r>
          </w:p>
        </w:tc>
      </w:tr>
    </w:tbl>
    <w:p w14:paraId="167CBC82" w14:textId="1BB9AA13" w:rsidR="00DE3B0D" w:rsidRPr="00B04B74" w:rsidRDefault="00DE3B0D" w:rsidP="00B04B74">
      <w:pPr>
        <w:pStyle w:val="Heading3"/>
      </w:pPr>
      <w:bookmarkStart w:id="24" w:name="_Toc85912299"/>
      <w:r w:rsidRPr="00B04B74">
        <w:lastRenderedPageBreak/>
        <w:t>Outcome</w:t>
      </w:r>
      <w:r w:rsidR="00D23ECC" w:rsidRPr="00B04B74">
        <w:t xml:space="preserve"> </w:t>
      </w:r>
      <w:r w:rsidRPr="00B04B74">
        <w:t>2</w:t>
      </w:r>
      <w:r w:rsidR="00D23ECC" w:rsidRPr="00B04B74">
        <w:t xml:space="preserve"> </w:t>
      </w:r>
      <w:r w:rsidRPr="00B04B74">
        <w:t>–</w:t>
      </w:r>
      <w:r w:rsidR="00D23ECC" w:rsidRPr="00B04B74">
        <w:t xml:space="preserve"> </w:t>
      </w:r>
      <w:r w:rsidRPr="00B04B74">
        <w:t>Victorians</w:t>
      </w:r>
      <w:r w:rsidR="00D23ECC" w:rsidRPr="00B04B74">
        <w:t xml:space="preserve"> </w:t>
      </w:r>
      <w:r w:rsidRPr="00B04B74">
        <w:t>exercise</w:t>
      </w:r>
      <w:r w:rsidR="00D23ECC" w:rsidRPr="00B04B74">
        <w:t xml:space="preserve"> </w:t>
      </w:r>
      <w:r w:rsidRPr="00B04B74">
        <w:t>their</w:t>
      </w:r>
      <w:r w:rsidR="00D23ECC" w:rsidRPr="00B04B74">
        <w:t xml:space="preserve"> </w:t>
      </w:r>
      <w:r w:rsidRPr="00B04B74">
        <w:t>consumer</w:t>
      </w:r>
      <w:r w:rsidR="00D23ECC" w:rsidRPr="00B04B74">
        <w:t xml:space="preserve"> </w:t>
      </w:r>
      <w:r w:rsidRPr="00B04B74">
        <w:t>rights</w:t>
      </w:r>
      <w:bookmarkEnd w:id="24"/>
    </w:p>
    <w:p w14:paraId="4A588830" w14:textId="628CCF2E" w:rsidR="00DE3B0D" w:rsidRDefault="00DE3B0D" w:rsidP="00D23ECC">
      <w:pPr>
        <w:pStyle w:val="BodyText"/>
      </w:pPr>
      <w:r>
        <w:t>We</w:t>
      </w:r>
      <w:r w:rsidR="00D23ECC">
        <w:t xml:space="preserve"> </w:t>
      </w:r>
      <w:r>
        <w:t>empower</w:t>
      </w:r>
      <w:r w:rsidR="00D23ECC">
        <w:t xml:space="preserve"> </w:t>
      </w:r>
      <w:r>
        <w:t>Victorians</w:t>
      </w:r>
      <w:r w:rsidR="00D23ECC">
        <w:t xml:space="preserve"> </w:t>
      </w:r>
      <w:r>
        <w:t>to</w:t>
      </w:r>
      <w:r w:rsidR="00D23ECC">
        <w:t xml:space="preserve"> </w:t>
      </w:r>
      <w:r>
        <w:t>exercise</w:t>
      </w:r>
      <w:r w:rsidR="00D23ECC">
        <w:t xml:space="preserve"> </w:t>
      </w:r>
      <w:r>
        <w:t>their</w:t>
      </w:r>
      <w:r w:rsidR="00D23ECC">
        <w:t xml:space="preserve"> </w:t>
      </w:r>
      <w:r>
        <w:t>consumer</w:t>
      </w:r>
      <w:r w:rsidR="00D23ECC">
        <w:t xml:space="preserve"> </w:t>
      </w:r>
      <w:r>
        <w:t>rights</w:t>
      </w:r>
      <w:r w:rsidR="00D23ECC">
        <w:t xml:space="preserve"> </w:t>
      </w:r>
      <w:r>
        <w:t>by</w:t>
      </w:r>
      <w:r w:rsidR="00D23ECC">
        <w:t xml:space="preserve"> </w:t>
      </w:r>
      <w:r>
        <w:t>providing</w:t>
      </w:r>
      <w:r w:rsidR="00D23ECC">
        <w:t xml:space="preserve"> </w:t>
      </w:r>
      <w:r>
        <w:t>information</w:t>
      </w:r>
      <w:r w:rsidR="00D23ECC">
        <w:t xml:space="preserve"> </w:t>
      </w:r>
      <w:r>
        <w:t>and</w:t>
      </w:r>
      <w:r w:rsidR="00D23ECC">
        <w:t xml:space="preserve"> </w:t>
      </w:r>
      <w:r>
        <w:t>support.</w:t>
      </w:r>
      <w:r w:rsidR="00D23ECC">
        <w:t xml:space="preserve"> </w:t>
      </w:r>
      <w:r>
        <w:t>We</w:t>
      </w:r>
      <w:r w:rsidR="004842F6">
        <w:t> </w:t>
      </w:r>
      <w:r>
        <w:t>continue</w:t>
      </w:r>
      <w:r w:rsidR="00D23ECC">
        <w:t xml:space="preserve"> </w:t>
      </w:r>
      <w:r>
        <w:t>to</w:t>
      </w:r>
      <w:r w:rsidR="00D23ECC">
        <w:t xml:space="preserve"> </w:t>
      </w:r>
      <w:r>
        <w:t>work</w:t>
      </w:r>
      <w:r w:rsidR="00D23ECC">
        <w:t xml:space="preserve"> </w:t>
      </w:r>
      <w:r>
        <w:t>with</w:t>
      </w:r>
      <w:r w:rsidR="00D23ECC">
        <w:t xml:space="preserve"> </w:t>
      </w:r>
      <w:r>
        <w:t>partner</w:t>
      </w:r>
      <w:r w:rsidR="00D23ECC">
        <w:t xml:space="preserve"> </w:t>
      </w:r>
      <w:r>
        <w:t>organisations</w:t>
      </w:r>
      <w:r w:rsidR="00D23ECC">
        <w:t xml:space="preserve"> </w:t>
      </w:r>
      <w:r>
        <w:t>to</w:t>
      </w:r>
      <w:r w:rsidR="00D23ECC">
        <w:t xml:space="preserve"> </w:t>
      </w:r>
      <w:r>
        <w:t>improve</w:t>
      </w:r>
      <w:r w:rsidR="00D23ECC">
        <w:t xml:space="preserve"> </w:t>
      </w:r>
      <w:r>
        <w:t>our</w:t>
      </w:r>
      <w:r w:rsidR="00D23ECC">
        <w:t xml:space="preserve"> </w:t>
      </w:r>
      <w:r>
        <w:t>services,</w:t>
      </w:r>
      <w:r w:rsidR="00D23ECC">
        <w:t xml:space="preserve"> </w:t>
      </w:r>
      <w:r>
        <w:t>and</w:t>
      </w:r>
      <w:r w:rsidR="00D23ECC">
        <w:t xml:space="preserve"> </w:t>
      </w:r>
      <w:r>
        <w:t>to</w:t>
      </w:r>
      <w:r w:rsidR="00D23ECC">
        <w:t xml:space="preserve"> </w:t>
      </w:r>
      <w:r>
        <w:t>target</w:t>
      </w:r>
      <w:r w:rsidR="00D23ECC">
        <w:t xml:space="preserve"> </w:t>
      </w:r>
      <w:r>
        <w:t>groups</w:t>
      </w:r>
      <w:r w:rsidR="00D23ECC">
        <w:t xml:space="preserve"> </w:t>
      </w:r>
      <w:r>
        <w:t>with</w:t>
      </w:r>
      <w:r w:rsidR="00D23ECC">
        <w:t xml:space="preserve"> </w:t>
      </w:r>
      <w:r>
        <w:t>specialised</w:t>
      </w:r>
      <w:r w:rsidR="00D23ECC">
        <w:t xml:space="preserve"> </w:t>
      </w:r>
      <w:r>
        <w:t>information</w:t>
      </w:r>
      <w:r w:rsidR="00D23ECC">
        <w:t xml:space="preserve"> </w:t>
      </w:r>
      <w:r>
        <w:t>needs.</w:t>
      </w:r>
    </w:p>
    <w:p w14:paraId="416D85C9" w14:textId="759BB9C5" w:rsidR="00DE3B0D" w:rsidRDefault="00DE3B0D" w:rsidP="00A95E63">
      <w:pPr>
        <w:pStyle w:val="Caption"/>
      </w:pPr>
      <w:r>
        <w:rPr>
          <w:color w:val="000000"/>
        </w:rPr>
        <w:t>Table</w:t>
      </w:r>
      <w:r w:rsidR="00D23ECC">
        <w:rPr>
          <w:color w:val="000000"/>
        </w:rPr>
        <w:t xml:space="preserve"> </w:t>
      </w:r>
      <w:r>
        <w:rPr>
          <w:color w:val="000000"/>
        </w:rPr>
        <w:t>4:</w:t>
      </w:r>
      <w:r w:rsidR="00D23ECC">
        <w:rPr>
          <w:color w:val="000000"/>
        </w:rPr>
        <w:t xml:space="preserve"> </w:t>
      </w:r>
      <w:r>
        <w:rPr>
          <w:color w:val="000000"/>
        </w:rPr>
        <w:t>Information,</w:t>
      </w:r>
      <w:r w:rsidR="00D23ECC">
        <w:rPr>
          <w:color w:val="000000"/>
        </w:rPr>
        <w:t xml:space="preserve"> </w:t>
      </w:r>
      <w:r>
        <w:rPr>
          <w:color w:val="000000"/>
        </w:rPr>
        <w:t>advice</w:t>
      </w:r>
      <w:r w:rsidR="00D23ECC">
        <w:rPr>
          <w:color w:val="000000"/>
        </w:rPr>
        <w:t xml:space="preserve"> </w:t>
      </w:r>
      <w:r>
        <w:rPr>
          <w:color w:val="000000"/>
        </w:rPr>
        <w:t>and</w:t>
      </w:r>
      <w:r w:rsidR="00D23ECC">
        <w:rPr>
          <w:color w:val="000000"/>
        </w:rPr>
        <w:t xml:space="preserve"> </w:t>
      </w:r>
      <w:r>
        <w:rPr>
          <w:color w:val="000000"/>
        </w:rPr>
        <w:t>assistance</w:t>
      </w:r>
      <w:r w:rsidR="00D23ECC">
        <w:rPr>
          <w:color w:val="000000"/>
        </w:rPr>
        <w:t xml:space="preserve"> </w:t>
      </w:r>
      <w:r>
        <w:rPr>
          <w:color w:val="000000"/>
        </w:rPr>
        <w:t>provided</w:t>
      </w:r>
      <w:r w:rsidR="00D23ECC">
        <w:rPr>
          <w:color w:val="000000"/>
        </w:rPr>
        <w:t xml:space="preserve"> </w:t>
      </w:r>
      <w:r>
        <w:rPr>
          <w:color w:val="000000"/>
        </w:rPr>
        <w:t>to</w:t>
      </w:r>
      <w:r w:rsidR="00D23ECC">
        <w:rPr>
          <w:color w:val="000000"/>
        </w:rPr>
        <w:t xml:space="preserve"> </w:t>
      </w:r>
      <w:r>
        <w:rPr>
          <w:color w:val="000000"/>
        </w:rPr>
        <w:t>consumers</w:t>
      </w:r>
      <w:r w:rsidR="00D23ECC">
        <w:rPr>
          <w:color w:val="000000"/>
        </w:rPr>
        <w:t xml:space="preserve"> </w:t>
      </w:r>
    </w:p>
    <w:tbl>
      <w:tblPr>
        <w:tblStyle w:val="TableGrid"/>
        <w:tblW w:w="9072" w:type="dxa"/>
        <w:tblLayout w:type="fixed"/>
        <w:tblLook w:val="00A0" w:firstRow="1" w:lastRow="0" w:firstColumn="1" w:lastColumn="0" w:noHBand="0" w:noVBand="0"/>
      </w:tblPr>
      <w:tblGrid>
        <w:gridCol w:w="5670"/>
        <w:gridCol w:w="1134"/>
        <w:gridCol w:w="1134"/>
        <w:gridCol w:w="1134"/>
      </w:tblGrid>
      <w:tr w:rsidR="00DE3B0D" w14:paraId="0C445FA1" w14:textId="77777777" w:rsidTr="00716A03">
        <w:trPr>
          <w:cnfStyle w:val="100000000000" w:firstRow="1" w:lastRow="0" w:firstColumn="0" w:lastColumn="0" w:oddVBand="0" w:evenVBand="0" w:oddHBand="0" w:evenHBand="0" w:firstRowFirstColumn="0" w:firstRowLastColumn="0" w:lastRowFirstColumn="0" w:lastRowLastColumn="0"/>
          <w:trHeight w:val="60"/>
          <w:tblHeader/>
        </w:trPr>
        <w:tc>
          <w:tcPr>
            <w:tcW w:w="5670" w:type="dxa"/>
          </w:tcPr>
          <w:p w14:paraId="21B23C86" w14:textId="77777777" w:rsidR="00DE3B0D" w:rsidRDefault="00DE3B0D" w:rsidP="00F22B33">
            <w:pPr>
              <w:pStyle w:val="TableColHead"/>
            </w:pPr>
          </w:p>
        </w:tc>
        <w:tc>
          <w:tcPr>
            <w:tcW w:w="1134" w:type="dxa"/>
          </w:tcPr>
          <w:p w14:paraId="4DC8A59D" w14:textId="77777777" w:rsidR="00DE3B0D" w:rsidRDefault="00DE3B0D" w:rsidP="00A95E63">
            <w:pPr>
              <w:pStyle w:val="TableColHeadRight"/>
            </w:pPr>
            <w:r>
              <w:t>2018–19</w:t>
            </w:r>
          </w:p>
        </w:tc>
        <w:tc>
          <w:tcPr>
            <w:tcW w:w="1134" w:type="dxa"/>
          </w:tcPr>
          <w:p w14:paraId="25865612" w14:textId="77777777" w:rsidR="00DE3B0D" w:rsidRDefault="00DE3B0D" w:rsidP="00A95E63">
            <w:pPr>
              <w:pStyle w:val="TableColHeadRight"/>
            </w:pPr>
            <w:r>
              <w:t>2019–20</w:t>
            </w:r>
          </w:p>
        </w:tc>
        <w:tc>
          <w:tcPr>
            <w:tcW w:w="1134" w:type="dxa"/>
          </w:tcPr>
          <w:p w14:paraId="2DA0C8CE" w14:textId="77777777" w:rsidR="00DE3B0D" w:rsidRDefault="00DE3B0D" w:rsidP="00A95E63">
            <w:pPr>
              <w:pStyle w:val="TableColHeadRight"/>
            </w:pPr>
            <w:r>
              <w:t>2020–21</w:t>
            </w:r>
          </w:p>
        </w:tc>
      </w:tr>
      <w:tr w:rsidR="00DE3B0D" w14:paraId="6D1D633C" w14:textId="77777777" w:rsidTr="006F7BE3">
        <w:trPr>
          <w:trHeight w:val="60"/>
        </w:trPr>
        <w:tc>
          <w:tcPr>
            <w:tcW w:w="5670" w:type="dxa"/>
            <w:gridSpan w:val="4"/>
            <w:shd w:val="clear" w:color="auto" w:fill="B2D5F0"/>
          </w:tcPr>
          <w:p w14:paraId="36156055" w14:textId="6DA2FE15" w:rsidR="00DE3B0D" w:rsidRDefault="00DE3B0D" w:rsidP="00A95E63">
            <w:pPr>
              <w:pStyle w:val="TableTextBold"/>
            </w:pPr>
            <w:r>
              <w:t>Information</w:t>
            </w:r>
            <w:r w:rsidR="00D23ECC">
              <w:t xml:space="preserve"> </w:t>
            </w:r>
            <w:r>
              <w:t>and</w:t>
            </w:r>
            <w:r w:rsidR="00D23ECC">
              <w:t xml:space="preserve"> </w:t>
            </w:r>
            <w:r>
              <w:t>advice</w:t>
            </w:r>
          </w:p>
        </w:tc>
      </w:tr>
      <w:tr w:rsidR="00DE3B0D" w14:paraId="6CA469D1" w14:textId="77777777" w:rsidTr="00716A03">
        <w:trPr>
          <w:trHeight w:val="60"/>
        </w:trPr>
        <w:tc>
          <w:tcPr>
            <w:tcW w:w="5670" w:type="dxa"/>
          </w:tcPr>
          <w:p w14:paraId="1B74E425" w14:textId="3FA6378B" w:rsidR="00DE3B0D" w:rsidRDefault="00DE3B0D" w:rsidP="00A95E63">
            <w:pPr>
              <w:pStyle w:val="TableText"/>
            </w:pPr>
            <w:r>
              <w:t>Calls</w:t>
            </w:r>
            <w:r w:rsidR="00D23ECC">
              <w:t xml:space="preserve"> </w:t>
            </w:r>
            <w:r>
              <w:t>answered</w:t>
            </w:r>
            <w:r>
              <w:rPr>
                <w:rFonts w:ascii="Cambria Math" w:hAnsi="Cambria Math" w:cs="Cambria Math"/>
              </w:rPr>
              <w:t> </w:t>
            </w:r>
            <w:r>
              <w:rPr>
                <w:rStyle w:val="Superscript"/>
              </w:rPr>
              <w:footnoteReference w:id="8"/>
            </w:r>
          </w:p>
        </w:tc>
        <w:tc>
          <w:tcPr>
            <w:tcW w:w="1134" w:type="dxa"/>
          </w:tcPr>
          <w:p w14:paraId="6E610FEB" w14:textId="77777777" w:rsidR="00DE3B0D" w:rsidRDefault="00DE3B0D" w:rsidP="00A95E63">
            <w:pPr>
              <w:pStyle w:val="TableTextRight"/>
            </w:pPr>
            <w:r>
              <w:t>295,955</w:t>
            </w:r>
          </w:p>
        </w:tc>
        <w:tc>
          <w:tcPr>
            <w:tcW w:w="1134" w:type="dxa"/>
          </w:tcPr>
          <w:p w14:paraId="1CAC9838" w14:textId="77777777" w:rsidR="00DE3B0D" w:rsidRDefault="00DE3B0D" w:rsidP="00A95E63">
            <w:pPr>
              <w:pStyle w:val="TableTextRight"/>
            </w:pPr>
            <w:r>
              <w:t>234,632</w:t>
            </w:r>
          </w:p>
        </w:tc>
        <w:tc>
          <w:tcPr>
            <w:tcW w:w="1134" w:type="dxa"/>
          </w:tcPr>
          <w:p w14:paraId="24585AE9" w14:textId="77777777" w:rsidR="00DE3B0D" w:rsidRDefault="00DE3B0D" w:rsidP="00A95E63">
            <w:pPr>
              <w:pStyle w:val="TableTextRight"/>
            </w:pPr>
            <w:r>
              <w:t>214,819</w:t>
            </w:r>
          </w:p>
        </w:tc>
      </w:tr>
      <w:tr w:rsidR="00DE3B0D" w14:paraId="147738CA" w14:textId="77777777" w:rsidTr="006F7BE3">
        <w:trPr>
          <w:trHeight w:val="60"/>
        </w:trPr>
        <w:tc>
          <w:tcPr>
            <w:tcW w:w="5670" w:type="dxa"/>
            <w:gridSpan w:val="4"/>
            <w:shd w:val="clear" w:color="auto" w:fill="B2D5F0"/>
          </w:tcPr>
          <w:p w14:paraId="7A7C7A92" w14:textId="4DACE490" w:rsidR="00DE3B0D" w:rsidRDefault="00DE3B0D" w:rsidP="00A95E63">
            <w:pPr>
              <w:pStyle w:val="TableTextBold"/>
            </w:pPr>
            <w:r>
              <w:t>Advice</w:t>
            </w:r>
            <w:r w:rsidR="00D23ECC">
              <w:t xml:space="preserve"> </w:t>
            </w:r>
            <w:r>
              <w:t>provided</w:t>
            </w:r>
            <w:r w:rsidR="00D23ECC">
              <w:t xml:space="preserve"> </w:t>
            </w:r>
            <w:r>
              <w:t>to</w:t>
            </w:r>
            <w:r w:rsidR="00D23ECC">
              <w:t xml:space="preserve"> </w:t>
            </w:r>
            <w:r>
              <w:t>resolve</w:t>
            </w:r>
            <w:r w:rsidR="00D23ECC">
              <w:t xml:space="preserve"> </w:t>
            </w:r>
            <w:r>
              <w:t>disputes</w:t>
            </w:r>
          </w:p>
        </w:tc>
      </w:tr>
      <w:tr w:rsidR="00DE3B0D" w14:paraId="5FAC1BD9" w14:textId="77777777" w:rsidTr="00716A03">
        <w:trPr>
          <w:trHeight w:val="60"/>
        </w:trPr>
        <w:tc>
          <w:tcPr>
            <w:tcW w:w="5670" w:type="dxa"/>
          </w:tcPr>
          <w:p w14:paraId="3CCA59B3" w14:textId="4E0D3A15" w:rsidR="00DE3B0D" w:rsidRDefault="00DE3B0D" w:rsidP="00A95E63">
            <w:pPr>
              <w:pStyle w:val="TableText"/>
            </w:pPr>
            <w:r>
              <w:t>Disputes</w:t>
            </w:r>
            <w:r w:rsidR="00D23ECC">
              <w:t xml:space="preserve"> </w:t>
            </w:r>
            <w:r>
              <w:t>finalised</w:t>
            </w:r>
            <w:r>
              <w:rPr>
                <w:rFonts w:ascii="Cambria Math" w:hAnsi="Cambria Math" w:cs="Cambria Math"/>
              </w:rPr>
              <w:t> </w:t>
            </w:r>
            <w:r>
              <w:rPr>
                <w:rStyle w:val="Superscript"/>
              </w:rPr>
              <w:footnoteReference w:id="9"/>
            </w:r>
          </w:p>
        </w:tc>
        <w:tc>
          <w:tcPr>
            <w:tcW w:w="1134" w:type="dxa"/>
          </w:tcPr>
          <w:p w14:paraId="39E00A55" w14:textId="77777777" w:rsidR="00DE3B0D" w:rsidRDefault="00DE3B0D" w:rsidP="00A95E63">
            <w:pPr>
              <w:pStyle w:val="TableTextRight"/>
            </w:pPr>
            <w:r>
              <w:t>6,752</w:t>
            </w:r>
          </w:p>
        </w:tc>
        <w:tc>
          <w:tcPr>
            <w:tcW w:w="1134" w:type="dxa"/>
          </w:tcPr>
          <w:p w14:paraId="62F944B4" w14:textId="77777777" w:rsidR="00DE3B0D" w:rsidRDefault="00DE3B0D" w:rsidP="00A95E63">
            <w:pPr>
              <w:pStyle w:val="TableTextRight"/>
            </w:pPr>
            <w:r>
              <w:t>12,826</w:t>
            </w:r>
          </w:p>
        </w:tc>
        <w:tc>
          <w:tcPr>
            <w:tcW w:w="1134" w:type="dxa"/>
          </w:tcPr>
          <w:p w14:paraId="0FCDA7D4" w14:textId="77777777" w:rsidR="00DE3B0D" w:rsidRDefault="00DE3B0D" w:rsidP="00A95E63">
            <w:pPr>
              <w:pStyle w:val="TableTextRight"/>
            </w:pPr>
            <w:r>
              <w:t>26,757</w:t>
            </w:r>
          </w:p>
        </w:tc>
      </w:tr>
      <w:tr w:rsidR="00DE3B0D" w14:paraId="0B243FF6" w14:textId="77777777" w:rsidTr="006F7BE3">
        <w:trPr>
          <w:trHeight w:val="60"/>
        </w:trPr>
        <w:tc>
          <w:tcPr>
            <w:tcW w:w="5670" w:type="dxa"/>
            <w:gridSpan w:val="4"/>
            <w:shd w:val="clear" w:color="auto" w:fill="B2D5F0"/>
          </w:tcPr>
          <w:p w14:paraId="68B537A2" w14:textId="77777777" w:rsidR="00DE3B0D" w:rsidRDefault="00DE3B0D" w:rsidP="00A95E63">
            <w:pPr>
              <w:pStyle w:val="TableTextBold"/>
            </w:pPr>
            <w:r>
              <w:t>Digital</w:t>
            </w:r>
          </w:p>
        </w:tc>
      </w:tr>
      <w:tr w:rsidR="00DE3B0D" w14:paraId="56C41296" w14:textId="77777777" w:rsidTr="00716A03">
        <w:trPr>
          <w:trHeight w:val="60"/>
        </w:trPr>
        <w:tc>
          <w:tcPr>
            <w:tcW w:w="5670" w:type="dxa"/>
          </w:tcPr>
          <w:p w14:paraId="08B66862" w14:textId="24AEDB3B" w:rsidR="00DE3B0D" w:rsidRDefault="00DE3B0D" w:rsidP="00A95E63">
            <w:pPr>
              <w:pStyle w:val="TableText"/>
            </w:pPr>
            <w:r>
              <w:t>Website</w:t>
            </w:r>
            <w:r w:rsidR="00D23ECC">
              <w:t xml:space="preserve"> </w:t>
            </w:r>
            <w:r>
              <w:t>visits</w:t>
            </w:r>
          </w:p>
        </w:tc>
        <w:tc>
          <w:tcPr>
            <w:tcW w:w="1134" w:type="dxa"/>
          </w:tcPr>
          <w:p w14:paraId="58CF2AED" w14:textId="77777777" w:rsidR="00DE3B0D" w:rsidRDefault="00DE3B0D" w:rsidP="00A95E63">
            <w:pPr>
              <w:pStyle w:val="TableTextRight"/>
            </w:pPr>
            <w:r>
              <w:t>3,675,683</w:t>
            </w:r>
          </w:p>
        </w:tc>
        <w:tc>
          <w:tcPr>
            <w:tcW w:w="1134" w:type="dxa"/>
          </w:tcPr>
          <w:p w14:paraId="1EAEB033" w14:textId="77777777" w:rsidR="00DE3B0D" w:rsidRDefault="00DE3B0D" w:rsidP="00A95E63">
            <w:pPr>
              <w:pStyle w:val="TableTextRight"/>
            </w:pPr>
            <w:r>
              <w:t>4,466,428</w:t>
            </w:r>
          </w:p>
        </w:tc>
        <w:tc>
          <w:tcPr>
            <w:tcW w:w="1134" w:type="dxa"/>
          </w:tcPr>
          <w:p w14:paraId="2EAA4FCC" w14:textId="77777777" w:rsidR="00DE3B0D" w:rsidRDefault="00DE3B0D" w:rsidP="00A95E63">
            <w:pPr>
              <w:pStyle w:val="TableTextRight"/>
            </w:pPr>
            <w:r>
              <w:t>5,723,880</w:t>
            </w:r>
          </w:p>
        </w:tc>
      </w:tr>
      <w:tr w:rsidR="00DE3B0D" w14:paraId="49E7F068" w14:textId="77777777" w:rsidTr="00716A03">
        <w:trPr>
          <w:trHeight w:val="60"/>
        </w:trPr>
        <w:tc>
          <w:tcPr>
            <w:tcW w:w="5670" w:type="dxa"/>
          </w:tcPr>
          <w:p w14:paraId="3B09D74A" w14:textId="49D58117" w:rsidR="00DE3B0D" w:rsidRDefault="00DE3B0D" w:rsidP="00A95E63">
            <w:pPr>
              <w:pStyle w:val="TableText"/>
            </w:pPr>
            <w:r>
              <w:t>Letters,</w:t>
            </w:r>
            <w:r w:rsidR="00D23ECC">
              <w:t xml:space="preserve"> </w:t>
            </w:r>
            <w:r>
              <w:t>emails</w:t>
            </w:r>
            <w:r w:rsidR="00D23ECC">
              <w:t xml:space="preserve"> </w:t>
            </w:r>
            <w:r>
              <w:t>and</w:t>
            </w:r>
            <w:r w:rsidR="00D23ECC">
              <w:t xml:space="preserve"> </w:t>
            </w:r>
            <w:r>
              <w:t>online</w:t>
            </w:r>
            <w:r w:rsidR="00D23ECC">
              <w:t xml:space="preserve"> </w:t>
            </w:r>
            <w:r>
              <w:t>enquiry</w:t>
            </w:r>
            <w:r w:rsidR="00D23ECC">
              <w:t xml:space="preserve"> </w:t>
            </w:r>
            <w:r>
              <w:t>form</w:t>
            </w:r>
            <w:r w:rsidR="00D23ECC">
              <w:t xml:space="preserve"> </w:t>
            </w:r>
            <w:r>
              <w:t>contacts</w:t>
            </w:r>
          </w:p>
        </w:tc>
        <w:tc>
          <w:tcPr>
            <w:tcW w:w="1134" w:type="dxa"/>
          </w:tcPr>
          <w:p w14:paraId="039500B6" w14:textId="77777777" w:rsidR="00DE3B0D" w:rsidRDefault="00DE3B0D" w:rsidP="00A95E63">
            <w:pPr>
              <w:pStyle w:val="TableTextRight"/>
            </w:pPr>
            <w:r>
              <w:t>62,860</w:t>
            </w:r>
          </w:p>
        </w:tc>
        <w:tc>
          <w:tcPr>
            <w:tcW w:w="1134" w:type="dxa"/>
          </w:tcPr>
          <w:p w14:paraId="0648FCE5" w14:textId="77777777" w:rsidR="00DE3B0D" w:rsidRDefault="00DE3B0D" w:rsidP="00A95E63">
            <w:pPr>
              <w:pStyle w:val="TableTextRight"/>
            </w:pPr>
            <w:r>
              <w:t>90,252</w:t>
            </w:r>
          </w:p>
        </w:tc>
        <w:tc>
          <w:tcPr>
            <w:tcW w:w="1134" w:type="dxa"/>
          </w:tcPr>
          <w:p w14:paraId="391A8833" w14:textId="77777777" w:rsidR="00DE3B0D" w:rsidRDefault="00DE3B0D" w:rsidP="00A95E63">
            <w:pPr>
              <w:pStyle w:val="TableTextRight"/>
            </w:pPr>
            <w:r>
              <w:t>91,029</w:t>
            </w:r>
          </w:p>
        </w:tc>
      </w:tr>
      <w:tr w:rsidR="00DE3B0D" w14:paraId="6DA4531A" w14:textId="77777777" w:rsidTr="00716A03">
        <w:trPr>
          <w:trHeight w:val="60"/>
        </w:trPr>
        <w:tc>
          <w:tcPr>
            <w:tcW w:w="5670" w:type="dxa"/>
          </w:tcPr>
          <w:p w14:paraId="61FEA47D" w14:textId="324F9E89" w:rsidR="00DE3B0D" w:rsidRDefault="00DE3B0D" w:rsidP="00A95E63">
            <w:pPr>
              <w:pStyle w:val="TableText"/>
            </w:pPr>
            <w:r>
              <w:t>Twitter</w:t>
            </w:r>
            <w:r w:rsidR="00D23ECC">
              <w:t xml:space="preserve"> </w:t>
            </w:r>
            <w:r>
              <w:t>followers</w:t>
            </w:r>
          </w:p>
        </w:tc>
        <w:tc>
          <w:tcPr>
            <w:tcW w:w="1134" w:type="dxa"/>
          </w:tcPr>
          <w:p w14:paraId="00F94008" w14:textId="77777777" w:rsidR="00DE3B0D" w:rsidRDefault="00DE3B0D" w:rsidP="00A95E63">
            <w:pPr>
              <w:pStyle w:val="TableTextRight"/>
            </w:pPr>
            <w:r>
              <w:t>10,240</w:t>
            </w:r>
          </w:p>
        </w:tc>
        <w:tc>
          <w:tcPr>
            <w:tcW w:w="1134" w:type="dxa"/>
          </w:tcPr>
          <w:p w14:paraId="751A269B" w14:textId="77777777" w:rsidR="00DE3B0D" w:rsidRDefault="00DE3B0D" w:rsidP="00A95E63">
            <w:pPr>
              <w:pStyle w:val="TableTextRight"/>
            </w:pPr>
            <w:r>
              <w:t>10,466</w:t>
            </w:r>
          </w:p>
        </w:tc>
        <w:tc>
          <w:tcPr>
            <w:tcW w:w="1134" w:type="dxa"/>
          </w:tcPr>
          <w:p w14:paraId="0747EEE4" w14:textId="77777777" w:rsidR="00DE3B0D" w:rsidRDefault="00DE3B0D" w:rsidP="00A95E63">
            <w:pPr>
              <w:pStyle w:val="TableTextRight"/>
            </w:pPr>
            <w:r>
              <w:t>10,634</w:t>
            </w:r>
          </w:p>
        </w:tc>
      </w:tr>
      <w:tr w:rsidR="00DE3B0D" w14:paraId="279FBB1F" w14:textId="77777777" w:rsidTr="00716A03">
        <w:trPr>
          <w:trHeight w:val="60"/>
        </w:trPr>
        <w:tc>
          <w:tcPr>
            <w:tcW w:w="5670" w:type="dxa"/>
          </w:tcPr>
          <w:p w14:paraId="54150813" w14:textId="5D17364F" w:rsidR="00DE3B0D" w:rsidRDefault="00DE3B0D" w:rsidP="00A95E63">
            <w:pPr>
              <w:pStyle w:val="TableText"/>
            </w:pPr>
            <w:r>
              <w:t>Facebook</w:t>
            </w:r>
            <w:r w:rsidR="00D23ECC">
              <w:t xml:space="preserve"> </w:t>
            </w:r>
            <w:r>
              <w:t>page</w:t>
            </w:r>
            <w:r w:rsidR="00D23ECC">
              <w:t xml:space="preserve"> </w:t>
            </w:r>
            <w:r>
              <w:t>likes</w:t>
            </w:r>
          </w:p>
        </w:tc>
        <w:tc>
          <w:tcPr>
            <w:tcW w:w="1134" w:type="dxa"/>
          </w:tcPr>
          <w:p w14:paraId="45E3B604" w14:textId="77777777" w:rsidR="00DE3B0D" w:rsidRDefault="00DE3B0D" w:rsidP="00A95E63">
            <w:pPr>
              <w:pStyle w:val="TableTextRight"/>
            </w:pPr>
            <w:r>
              <w:t>45,657</w:t>
            </w:r>
          </w:p>
        </w:tc>
        <w:tc>
          <w:tcPr>
            <w:tcW w:w="1134" w:type="dxa"/>
          </w:tcPr>
          <w:p w14:paraId="4BCA8D9F" w14:textId="77777777" w:rsidR="00DE3B0D" w:rsidRDefault="00DE3B0D" w:rsidP="00A95E63">
            <w:pPr>
              <w:pStyle w:val="TableTextRight"/>
            </w:pPr>
            <w:r>
              <w:t>46,932</w:t>
            </w:r>
          </w:p>
        </w:tc>
        <w:tc>
          <w:tcPr>
            <w:tcW w:w="1134" w:type="dxa"/>
          </w:tcPr>
          <w:p w14:paraId="34A7E242" w14:textId="77777777" w:rsidR="00DE3B0D" w:rsidRDefault="00DE3B0D" w:rsidP="00A95E63">
            <w:pPr>
              <w:pStyle w:val="TableTextRight"/>
            </w:pPr>
            <w:r>
              <w:t>49,693</w:t>
            </w:r>
          </w:p>
        </w:tc>
      </w:tr>
      <w:tr w:rsidR="00DE3B0D" w14:paraId="5EE42453" w14:textId="77777777" w:rsidTr="00716A03">
        <w:trPr>
          <w:trHeight w:val="60"/>
        </w:trPr>
        <w:tc>
          <w:tcPr>
            <w:tcW w:w="5670" w:type="dxa"/>
          </w:tcPr>
          <w:p w14:paraId="35DA5021" w14:textId="2BE38AA3" w:rsidR="00DE3B0D" w:rsidRDefault="00DE3B0D" w:rsidP="00A95E63">
            <w:pPr>
              <w:pStyle w:val="TableText"/>
            </w:pPr>
            <w:r>
              <w:t>YouTube</w:t>
            </w:r>
            <w:r w:rsidR="00D23ECC">
              <w:t xml:space="preserve"> </w:t>
            </w:r>
            <w:r>
              <w:t>video</w:t>
            </w:r>
            <w:r w:rsidR="00D23ECC">
              <w:t xml:space="preserve"> </w:t>
            </w:r>
            <w:r>
              <w:t>views</w:t>
            </w:r>
          </w:p>
        </w:tc>
        <w:tc>
          <w:tcPr>
            <w:tcW w:w="1134" w:type="dxa"/>
          </w:tcPr>
          <w:p w14:paraId="1340E0DA" w14:textId="77777777" w:rsidR="00DE3B0D" w:rsidRDefault="00DE3B0D" w:rsidP="00A95E63">
            <w:pPr>
              <w:pStyle w:val="TableTextRight"/>
            </w:pPr>
            <w:r>
              <w:t>94,206</w:t>
            </w:r>
          </w:p>
        </w:tc>
        <w:tc>
          <w:tcPr>
            <w:tcW w:w="1134" w:type="dxa"/>
          </w:tcPr>
          <w:p w14:paraId="3AFEBD06" w14:textId="77777777" w:rsidR="00DE3B0D" w:rsidRDefault="00DE3B0D" w:rsidP="00A95E63">
            <w:pPr>
              <w:pStyle w:val="TableTextRight"/>
            </w:pPr>
            <w:r>
              <w:t>234,978</w:t>
            </w:r>
          </w:p>
        </w:tc>
        <w:tc>
          <w:tcPr>
            <w:tcW w:w="1134" w:type="dxa"/>
          </w:tcPr>
          <w:p w14:paraId="59A66100" w14:textId="77777777" w:rsidR="00DE3B0D" w:rsidRDefault="00DE3B0D" w:rsidP="00A95E63">
            <w:pPr>
              <w:pStyle w:val="TableTextRight"/>
            </w:pPr>
            <w:r>
              <w:t>113,938</w:t>
            </w:r>
          </w:p>
        </w:tc>
      </w:tr>
      <w:tr w:rsidR="00DE3B0D" w14:paraId="02B2AB02" w14:textId="77777777" w:rsidTr="006F7BE3">
        <w:trPr>
          <w:trHeight w:val="360"/>
        </w:trPr>
        <w:tc>
          <w:tcPr>
            <w:tcW w:w="5670" w:type="dxa"/>
            <w:gridSpan w:val="4"/>
            <w:shd w:val="clear" w:color="auto" w:fill="B2D5F0"/>
          </w:tcPr>
          <w:p w14:paraId="7152707F" w14:textId="66D8C743" w:rsidR="00DE3B0D" w:rsidRDefault="00DE3B0D" w:rsidP="00A95E63">
            <w:pPr>
              <w:pStyle w:val="TableTextBold"/>
            </w:pPr>
            <w:r>
              <w:t>Face-to-face</w:t>
            </w:r>
            <w:r w:rsidR="00D23ECC">
              <w:t xml:space="preserve"> </w:t>
            </w:r>
            <w:r>
              <w:t>or</w:t>
            </w:r>
            <w:r w:rsidR="00D23ECC">
              <w:t xml:space="preserve"> </w:t>
            </w:r>
            <w:r>
              <w:t>intensive</w:t>
            </w:r>
            <w:r w:rsidR="00D23ECC">
              <w:t xml:space="preserve"> </w:t>
            </w:r>
            <w:r>
              <w:t>assistance</w:t>
            </w:r>
            <w:r w:rsidR="00D23ECC">
              <w:t xml:space="preserve"> </w:t>
            </w:r>
            <w:r>
              <w:t>(funded</w:t>
            </w:r>
            <w:r w:rsidR="00D23ECC">
              <w:t xml:space="preserve"> </w:t>
            </w:r>
            <w:r>
              <w:t>community</w:t>
            </w:r>
            <w:r w:rsidR="00D23ECC">
              <w:t xml:space="preserve"> </w:t>
            </w:r>
            <w:r>
              <w:t>services)</w:t>
            </w:r>
          </w:p>
        </w:tc>
      </w:tr>
      <w:tr w:rsidR="00DE3B0D" w14:paraId="6C4F8FBE" w14:textId="77777777" w:rsidTr="00716A03">
        <w:trPr>
          <w:trHeight w:val="60"/>
        </w:trPr>
        <w:tc>
          <w:tcPr>
            <w:tcW w:w="5670" w:type="dxa"/>
          </w:tcPr>
          <w:p w14:paraId="1B570A60" w14:textId="5910D6B7" w:rsidR="00DE3B0D" w:rsidRDefault="00DE3B0D" w:rsidP="00A95E63">
            <w:pPr>
              <w:pStyle w:val="TableText"/>
            </w:pPr>
            <w:r>
              <w:t>Victorians</w:t>
            </w:r>
            <w:r w:rsidR="00D23ECC">
              <w:t xml:space="preserve"> </w:t>
            </w:r>
            <w:r>
              <w:t>assisted</w:t>
            </w:r>
            <w:r w:rsidR="00D23ECC">
              <w:t xml:space="preserve"> </w:t>
            </w:r>
            <w:r>
              <w:t>under</w:t>
            </w:r>
            <w:r w:rsidR="00D23ECC">
              <w:t xml:space="preserve"> </w:t>
            </w:r>
            <w:r>
              <w:t>the</w:t>
            </w:r>
            <w:r w:rsidR="00D23ECC">
              <w:t xml:space="preserve"> </w:t>
            </w:r>
            <w:r>
              <w:t>Consumer</w:t>
            </w:r>
            <w:r w:rsidR="00D23ECC">
              <w:t xml:space="preserve"> </w:t>
            </w:r>
            <w:r>
              <w:t>Assistance</w:t>
            </w:r>
            <w:r w:rsidR="00D23ECC">
              <w:t xml:space="preserve"> </w:t>
            </w:r>
            <w:r>
              <w:t>and</w:t>
            </w:r>
            <w:r w:rsidR="00D23ECC">
              <w:t xml:space="preserve"> </w:t>
            </w:r>
            <w:r>
              <w:t>Advocacy</w:t>
            </w:r>
            <w:r w:rsidR="00D23ECC">
              <w:t xml:space="preserve"> </w:t>
            </w:r>
            <w:r>
              <w:t>Program</w:t>
            </w:r>
          </w:p>
        </w:tc>
        <w:tc>
          <w:tcPr>
            <w:tcW w:w="1134" w:type="dxa"/>
          </w:tcPr>
          <w:p w14:paraId="7535C384" w14:textId="77777777" w:rsidR="00DE3B0D" w:rsidRDefault="00DE3B0D" w:rsidP="00A95E63">
            <w:pPr>
              <w:pStyle w:val="TableTextRight"/>
            </w:pPr>
            <w:r>
              <w:t>828</w:t>
            </w:r>
          </w:p>
        </w:tc>
        <w:tc>
          <w:tcPr>
            <w:tcW w:w="1134" w:type="dxa"/>
          </w:tcPr>
          <w:p w14:paraId="2A9A8A1A" w14:textId="77777777" w:rsidR="00DE3B0D" w:rsidRDefault="00DE3B0D" w:rsidP="00A95E63">
            <w:pPr>
              <w:pStyle w:val="TableTextRight"/>
            </w:pPr>
            <w:r>
              <w:t>562</w:t>
            </w:r>
          </w:p>
        </w:tc>
        <w:tc>
          <w:tcPr>
            <w:tcW w:w="1134" w:type="dxa"/>
          </w:tcPr>
          <w:p w14:paraId="05B0D7B3" w14:textId="77777777" w:rsidR="00DE3B0D" w:rsidRDefault="00DE3B0D" w:rsidP="00A95E63">
            <w:pPr>
              <w:pStyle w:val="TableTextRight"/>
            </w:pPr>
            <w:r>
              <w:t>287</w:t>
            </w:r>
          </w:p>
        </w:tc>
      </w:tr>
      <w:tr w:rsidR="00DE3B0D" w14:paraId="20FD94CF" w14:textId="77777777" w:rsidTr="00716A03">
        <w:trPr>
          <w:trHeight w:val="60"/>
        </w:trPr>
        <w:tc>
          <w:tcPr>
            <w:tcW w:w="5670" w:type="dxa"/>
          </w:tcPr>
          <w:p w14:paraId="434A622F" w14:textId="1CC69243" w:rsidR="00DE3B0D" w:rsidRDefault="00DE3B0D" w:rsidP="00A95E63">
            <w:pPr>
              <w:pStyle w:val="TableText"/>
            </w:pPr>
            <w:r>
              <w:t>Clients</w:t>
            </w:r>
            <w:r w:rsidR="00D23ECC">
              <w:t xml:space="preserve"> </w:t>
            </w:r>
            <w:r>
              <w:t>assisted</w:t>
            </w:r>
            <w:r w:rsidR="00D23ECC">
              <w:t xml:space="preserve"> </w:t>
            </w:r>
            <w:r>
              <w:t>with</w:t>
            </w:r>
            <w:r w:rsidR="00D23ECC">
              <w:t xml:space="preserve"> </w:t>
            </w:r>
            <w:r>
              <w:t>financial</w:t>
            </w:r>
            <w:r w:rsidR="00D23ECC">
              <w:t xml:space="preserve"> </w:t>
            </w:r>
            <w:r>
              <w:t>counselling</w:t>
            </w:r>
          </w:p>
        </w:tc>
        <w:tc>
          <w:tcPr>
            <w:tcW w:w="1134" w:type="dxa"/>
          </w:tcPr>
          <w:p w14:paraId="17A59026" w14:textId="77777777" w:rsidR="00DE3B0D" w:rsidRDefault="00DE3B0D" w:rsidP="00A95E63">
            <w:pPr>
              <w:pStyle w:val="TableTextRight"/>
            </w:pPr>
            <w:r>
              <w:t>32,489</w:t>
            </w:r>
          </w:p>
        </w:tc>
        <w:tc>
          <w:tcPr>
            <w:tcW w:w="1134" w:type="dxa"/>
          </w:tcPr>
          <w:p w14:paraId="4597CAEF" w14:textId="77777777" w:rsidR="00DE3B0D" w:rsidRDefault="00DE3B0D" w:rsidP="00A95E63">
            <w:pPr>
              <w:pStyle w:val="TableTextRight"/>
            </w:pPr>
            <w:r>
              <w:t>28,999</w:t>
            </w:r>
          </w:p>
        </w:tc>
        <w:tc>
          <w:tcPr>
            <w:tcW w:w="1134" w:type="dxa"/>
          </w:tcPr>
          <w:p w14:paraId="6B511773" w14:textId="77777777" w:rsidR="00DE3B0D" w:rsidRDefault="00DE3B0D" w:rsidP="00A95E63">
            <w:pPr>
              <w:pStyle w:val="TableTextRight"/>
            </w:pPr>
            <w:r>
              <w:t>20,386</w:t>
            </w:r>
          </w:p>
        </w:tc>
      </w:tr>
    </w:tbl>
    <w:p w14:paraId="03B827DD" w14:textId="1193C89F" w:rsidR="00DE3B0D" w:rsidRDefault="00DE3B0D" w:rsidP="009C5F00">
      <w:pPr>
        <w:pStyle w:val="Heading4"/>
        <w:pageBreakBefore/>
      </w:pPr>
      <w:r>
        <w:rPr>
          <w:color w:val="000000"/>
        </w:rPr>
        <w:lastRenderedPageBreak/>
        <w:t>Supporting</w:t>
      </w:r>
      <w:r w:rsidR="00D23ECC">
        <w:rPr>
          <w:color w:val="000000"/>
        </w:rPr>
        <w:t xml:space="preserve"> </w:t>
      </w:r>
      <w:r>
        <w:rPr>
          <w:color w:val="000000"/>
        </w:rPr>
        <w:t>consumers</w:t>
      </w:r>
      <w:r w:rsidR="00D23ECC">
        <w:rPr>
          <w:color w:val="000000"/>
        </w:rPr>
        <w:t xml:space="preserve"> </w:t>
      </w:r>
      <w:r>
        <w:rPr>
          <w:color w:val="000000"/>
        </w:rPr>
        <w:t>during</w:t>
      </w:r>
      <w:r w:rsidR="00D23ECC">
        <w:rPr>
          <w:color w:val="000000"/>
        </w:rPr>
        <w:t xml:space="preserve"> </w:t>
      </w:r>
      <w:r>
        <w:rPr>
          <w:color w:val="000000"/>
        </w:rPr>
        <w:t>the</w:t>
      </w:r>
      <w:r w:rsidR="00D23ECC">
        <w:rPr>
          <w:color w:val="000000"/>
        </w:rPr>
        <w:t xml:space="preserve"> </w:t>
      </w:r>
      <w:r>
        <w:rPr>
          <w:color w:val="000000"/>
        </w:rPr>
        <w:t>COVID-19</w:t>
      </w:r>
      <w:r w:rsidR="00D23ECC">
        <w:rPr>
          <w:color w:val="000000"/>
        </w:rPr>
        <w:t xml:space="preserve"> </w:t>
      </w:r>
      <w:r>
        <w:rPr>
          <w:color w:val="000000"/>
        </w:rPr>
        <w:t>pandemic</w:t>
      </w:r>
    </w:p>
    <w:p w14:paraId="4ADE0467" w14:textId="21117E94" w:rsidR="00DE3B0D" w:rsidRDefault="00DE3B0D" w:rsidP="00D23ECC">
      <w:pPr>
        <w:pStyle w:val="BodyText"/>
      </w:pPr>
      <w:r>
        <w:t>We</w:t>
      </w:r>
      <w:r w:rsidR="00D23ECC">
        <w:t xml:space="preserve"> </w:t>
      </w:r>
      <w:r>
        <w:t>provided</w:t>
      </w:r>
      <w:r w:rsidR="00D23ECC">
        <w:t xml:space="preserve"> </w:t>
      </w:r>
      <w:r>
        <w:t>vital</w:t>
      </w:r>
      <w:r w:rsidR="00D23ECC">
        <w:t xml:space="preserve"> </w:t>
      </w:r>
      <w:r>
        <w:t>support</w:t>
      </w:r>
      <w:r w:rsidR="00D23ECC">
        <w:t xml:space="preserve"> </w:t>
      </w:r>
      <w:r>
        <w:t>to</w:t>
      </w:r>
      <w:r w:rsidR="00D23ECC">
        <w:t xml:space="preserve"> </w:t>
      </w:r>
      <w:r>
        <w:t>Victorian</w:t>
      </w:r>
      <w:r w:rsidR="00D23ECC">
        <w:t xml:space="preserve"> </w:t>
      </w:r>
      <w:r>
        <w:t>consumers</w:t>
      </w:r>
      <w:r w:rsidR="00D23ECC">
        <w:t xml:space="preserve"> </w:t>
      </w:r>
      <w:r>
        <w:t>during</w:t>
      </w:r>
      <w:r w:rsidR="00D23ECC">
        <w:t xml:space="preserve"> </w:t>
      </w:r>
      <w:r>
        <w:t>the</w:t>
      </w:r>
      <w:r w:rsidR="00D23ECC">
        <w:t xml:space="preserve"> </w:t>
      </w:r>
      <w:r>
        <w:t>COVID-19</w:t>
      </w:r>
      <w:r w:rsidR="00D23ECC">
        <w:t xml:space="preserve"> </w:t>
      </w:r>
      <w:r>
        <w:t>pandemic.</w:t>
      </w:r>
      <w:r w:rsidR="00D23ECC">
        <w:t xml:space="preserve"> </w:t>
      </w:r>
      <w:r>
        <w:t>Consumers</w:t>
      </w:r>
      <w:r w:rsidR="00D23ECC">
        <w:t xml:space="preserve"> </w:t>
      </w:r>
      <w:r>
        <w:t>contacted</w:t>
      </w:r>
      <w:r w:rsidR="00D23ECC">
        <w:t xml:space="preserve"> </w:t>
      </w:r>
      <w:r>
        <w:t>us</w:t>
      </w:r>
      <w:r w:rsidR="00D23ECC">
        <w:t xml:space="preserve"> </w:t>
      </w:r>
      <w:r>
        <w:t>for</w:t>
      </w:r>
      <w:r w:rsidR="00D23ECC">
        <w:t xml:space="preserve"> </w:t>
      </w:r>
      <w:r>
        <w:t>information</w:t>
      </w:r>
      <w:r w:rsidR="00D23ECC">
        <w:t xml:space="preserve"> </w:t>
      </w:r>
      <w:r>
        <w:t>and</w:t>
      </w:r>
      <w:r w:rsidR="00D23ECC">
        <w:t xml:space="preserve"> </w:t>
      </w:r>
      <w:r>
        <w:t>advice</w:t>
      </w:r>
      <w:r w:rsidR="00D23ECC">
        <w:t xml:space="preserve"> </w:t>
      </w:r>
      <w:r>
        <w:t>using</w:t>
      </w:r>
      <w:r w:rsidR="00D23ECC">
        <w:t xml:space="preserve"> </w:t>
      </w:r>
      <w:r>
        <w:t>a</w:t>
      </w:r>
      <w:r w:rsidR="00D23ECC">
        <w:t xml:space="preserve"> </w:t>
      </w:r>
      <w:r>
        <w:t>range</w:t>
      </w:r>
      <w:r w:rsidR="00D23ECC">
        <w:t xml:space="preserve"> </w:t>
      </w:r>
      <w:r>
        <w:t>of</w:t>
      </w:r>
      <w:r w:rsidR="00D23ECC">
        <w:t xml:space="preserve"> </w:t>
      </w:r>
      <w:r>
        <w:t>channels</w:t>
      </w:r>
      <w:r w:rsidR="00D23ECC">
        <w:t xml:space="preserve"> </w:t>
      </w:r>
      <w:r>
        <w:t>including</w:t>
      </w:r>
      <w:r w:rsidR="00D23ECC">
        <w:t xml:space="preserve"> </w:t>
      </w:r>
      <w:r>
        <w:t>telephone,</w:t>
      </w:r>
      <w:r w:rsidR="00D23ECC">
        <w:t xml:space="preserve"> </w:t>
      </w:r>
      <w:r>
        <w:t>email,</w:t>
      </w:r>
      <w:r w:rsidR="00D23ECC">
        <w:t xml:space="preserve"> </w:t>
      </w:r>
      <w:r>
        <w:t>written</w:t>
      </w:r>
      <w:r w:rsidR="00D23ECC">
        <w:t xml:space="preserve"> </w:t>
      </w:r>
      <w:r>
        <w:t>correspondence,</w:t>
      </w:r>
      <w:r w:rsidR="00D23ECC">
        <w:t xml:space="preserve"> </w:t>
      </w:r>
      <w:r>
        <w:t>our</w:t>
      </w:r>
      <w:r w:rsidR="00D23ECC">
        <w:t xml:space="preserve"> </w:t>
      </w:r>
      <w:r>
        <w:t>website</w:t>
      </w:r>
      <w:r w:rsidR="00D23ECC">
        <w:t xml:space="preserve"> </w:t>
      </w:r>
      <w:r>
        <w:t>and</w:t>
      </w:r>
      <w:r w:rsidR="00D23ECC">
        <w:t xml:space="preserve"> </w:t>
      </w:r>
      <w:r>
        <w:t>social</w:t>
      </w:r>
      <w:r w:rsidR="00D23ECC">
        <w:t xml:space="preserve"> </w:t>
      </w:r>
      <w:r>
        <w:t>media.</w:t>
      </w:r>
    </w:p>
    <w:p w14:paraId="425BC952" w14:textId="196D3F18" w:rsidR="00DE3B0D" w:rsidRDefault="00DE3B0D" w:rsidP="00D23ECC">
      <w:pPr>
        <w:pStyle w:val="BodyText"/>
      </w:pPr>
      <w:r>
        <w:t>We</w:t>
      </w:r>
      <w:r w:rsidR="00D23ECC">
        <w:t xml:space="preserve"> </w:t>
      </w:r>
      <w:r>
        <w:t>shifted</w:t>
      </w:r>
      <w:r w:rsidR="00D23ECC">
        <w:t xml:space="preserve"> </w:t>
      </w:r>
      <w:r>
        <w:t>our</w:t>
      </w:r>
      <w:r w:rsidR="00D23ECC">
        <w:t xml:space="preserve"> </w:t>
      </w:r>
      <w:r>
        <w:t>focus</w:t>
      </w:r>
      <w:r w:rsidR="00D23ECC">
        <w:t xml:space="preserve"> </w:t>
      </w:r>
      <w:r>
        <w:t>to</w:t>
      </w:r>
      <w:r w:rsidR="00D23ECC">
        <w:t xml:space="preserve"> </w:t>
      </w:r>
      <w:r>
        <w:t>online</w:t>
      </w:r>
      <w:r w:rsidR="00D23ECC">
        <w:t xml:space="preserve"> </w:t>
      </w:r>
      <w:r>
        <w:t>services</w:t>
      </w:r>
      <w:r w:rsidR="00D23ECC">
        <w:t xml:space="preserve"> </w:t>
      </w:r>
      <w:r>
        <w:t>when</w:t>
      </w:r>
      <w:r w:rsidR="00D23ECC">
        <w:t xml:space="preserve"> </w:t>
      </w:r>
      <w:r>
        <w:t>our</w:t>
      </w:r>
      <w:r w:rsidR="00D23ECC">
        <w:t xml:space="preserve"> </w:t>
      </w:r>
      <w:r>
        <w:t>telephone</w:t>
      </w:r>
      <w:r w:rsidR="00D23ECC">
        <w:t xml:space="preserve"> </w:t>
      </w:r>
      <w:r>
        <w:t>services</w:t>
      </w:r>
      <w:r w:rsidR="00D23ECC">
        <w:t xml:space="preserve"> </w:t>
      </w:r>
      <w:r>
        <w:t>were</w:t>
      </w:r>
      <w:r w:rsidR="00D23ECC">
        <w:t xml:space="preserve"> </w:t>
      </w:r>
      <w:r>
        <w:t>impacted</w:t>
      </w:r>
      <w:r w:rsidR="00D23ECC">
        <w:t xml:space="preserve"> </w:t>
      </w:r>
      <w:r>
        <w:t>by</w:t>
      </w:r>
      <w:r w:rsidR="00D23ECC">
        <w:t xml:space="preserve"> </w:t>
      </w:r>
      <w:r>
        <w:t>the</w:t>
      </w:r>
      <w:r w:rsidR="00D23ECC">
        <w:t xml:space="preserve"> </w:t>
      </w:r>
      <w:r>
        <w:t>need</w:t>
      </w:r>
      <w:r w:rsidR="00D23ECC">
        <w:t xml:space="preserve"> </w:t>
      </w:r>
      <w:r>
        <w:t>for</w:t>
      </w:r>
      <w:r w:rsidR="00D23ECC">
        <w:t xml:space="preserve"> </w:t>
      </w:r>
      <w:r>
        <w:t>our</w:t>
      </w:r>
      <w:r w:rsidR="00D23ECC">
        <w:t xml:space="preserve"> </w:t>
      </w:r>
      <w:r>
        <w:t>contact</w:t>
      </w:r>
      <w:r w:rsidR="00D23ECC">
        <w:t xml:space="preserve"> </w:t>
      </w:r>
      <w:r>
        <w:t>centre</w:t>
      </w:r>
      <w:r w:rsidR="00D23ECC">
        <w:t xml:space="preserve"> </w:t>
      </w:r>
      <w:r>
        <w:t>staff</w:t>
      </w:r>
      <w:r w:rsidR="00D23ECC">
        <w:t xml:space="preserve"> </w:t>
      </w:r>
      <w:r>
        <w:t>to</w:t>
      </w:r>
      <w:r w:rsidR="00D23ECC">
        <w:t xml:space="preserve"> </w:t>
      </w:r>
      <w:r>
        <w:t>work</w:t>
      </w:r>
      <w:r w:rsidR="00D23ECC">
        <w:t xml:space="preserve"> </w:t>
      </w:r>
      <w:r>
        <w:t>from</w:t>
      </w:r>
      <w:r w:rsidR="00D23ECC">
        <w:t xml:space="preserve"> </w:t>
      </w:r>
      <w:r>
        <w:t>home.</w:t>
      </w:r>
      <w:r w:rsidR="00D23ECC">
        <w:t xml:space="preserve"> </w:t>
      </w:r>
      <w:r>
        <w:t>During</w:t>
      </w:r>
      <w:r w:rsidR="00D23ECC">
        <w:t xml:space="preserve"> </w:t>
      </w:r>
      <w:r>
        <w:t>periods</w:t>
      </w:r>
      <w:r w:rsidR="00D23ECC">
        <w:t xml:space="preserve"> </w:t>
      </w:r>
      <w:r>
        <w:t>of</w:t>
      </w:r>
      <w:r w:rsidR="00D23ECC">
        <w:t xml:space="preserve"> </w:t>
      </w:r>
      <w:r>
        <w:t>closure</w:t>
      </w:r>
      <w:r w:rsidR="00D23ECC">
        <w:t xml:space="preserve"> </w:t>
      </w:r>
      <w:r>
        <w:t>for</w:t>
      </w:r>
      <w:r w:rsidR="00D23ECC">
        <w:t xml:space="preserve"> </w:t>
      </w:r>
      <w:r>
        <w:t>some</w:t>
      </w:r>
      <w:r w:rsidR="00D23ECC">
        <w:t xml:space="preserve"> </w:t>
      </w:r>
      <w:r>
        <w:t>phone</w:t>
      </w:r>
      <w:r w:rsidR="00D23ECC">
        <w:t xml:space="preserve"> </w:t>
      </w:r>
      <w:r>
        <w:t>services,</w:t>
      </w:r>
      <w:r w:rsidR="00D23ECC">
        <w:t xml:space="preserve"> </w:t>
      </w:r>
      <w:r>
        <w:t>we</w:t>
      </w:r>
      <w:r w:rsidR="00D23ECC">
        <w:t xml:space="preserve"> </w:t>
      </w:r>
      <w:r>
        <w:t>ensured</w:t>
      </w:r>
      <w:r w:rsidR="00D23ECC">
        <w:t xml:space="preserve"> </w:t>
      </w:r>
      <w:r>
        <w:t>consumers</w:t>
      </w:r>
      <w:r w:rsidR="00D23ECC">
        <w:t xml:space="preserve"> </w:t>
      </w:r>
      <w:r>
        <w:t>could</w:t>
      </w:r>
      <w:r w:rsidR="00D23ECC">
        <w:t xml:space="preserve"> </w:t>
      </w:r>
      <w:r>
        <w:t>access</w:t>
      </w:r>
      <w:r w:rsidR="00D23ECC">
        <w:t xml:space="preserve"> </w:t>
      </w:r>
      <w:r>
        <w:t>up-to-date</w:t>
      </w:r>
      <w:r w:rsidR="00D23ECC">
        <w:t xml:space="preserve"> </w:t>
      </w:r>
      <w:r>
        <w:t>information</w:t>
      </w:r>
      <w:r w:rsidR="00D23ECC">
        <w:t xml:space="preserve"> </w:t>
      </w:r>
      <w:r>
        <w:t>on</w:t>
      </w:r>
      <w:r w:rsidR="00D23ECC">
        <w:t xml:space="preserve"> </w:t>
      </w:r>
      <w:r>
        <w:t>the</w:t>
      </w:r>
      <w:r w:rsidR="00D23ECC">
        <w:t xml:space="preserve"> </w:t>
      </w:r>
      <w:r>
        <w:t>CAV</w:t>
      </w:r>
      <w:r w:rsidR="00D23ECC">
        <w:t xml:space="preserve"> </w:t>
      </w:r>
      <w:r>
        <w:t>website</w:t>
      </w:r>
      <w:r w:rsidR="00D23ECC">
        <w:t xml:space="preserve"> </w:t>
      </w:r>
      <w:r>
        <w:t>and</w:t>
      </w:r>
      <w:r w:rsidR="00D23ECC">
        <w:t xml:space="preserve"> </w:t>
      </w:r>
      <w:r>
        <w:t>provided</w:t>
      </w:r>
      <w:r w:rsidR="00D23ECC">
        <w:t xml:space="preserve"> </w:t>
      </w:r>
      <w:r>
        <w:t>a</w:t>
      </w:r>
      <w:r w:rsidR="00D23ECC">
        <w:t xml:space="preserve"> </w:t>
      </w:r>
      <w:r>
        <w:t>range</w:t>
      </w:r>
      <w:r w:rsidR="00D23ECC">
        <w:t xml:space="preserve"> </w:t>
      </w:r>
      <w:r>
        <w:t>of</w:t>
      </w:r>
      <w:r w:rsidR="00D23ECC">
        <w:t xml:space="preserve"> </w:t>
      </w:r>
      <w:r>
        <w:t>updates</w:t>
      </w:r>
      <w:r w:rsidR="00D23ECC">
        <w:t xml:space="preserve"> </w:t>
      </w:r>
      <w:r>
        <w:t>and</w:t>
      </w:r>
      <w:r w:rsidR="00D23ECC">
        <w:t xml:space="preserve"> </w:t>
      </w:r>
      <w:r>
        <w:t>information</w:t>
      </w:r>
      <w:r w:rsidR="00D23ECC">
        <w:t xml:space="preserve"> </w:t>
      </w:r>
      <w:r>
        <w:t>via</w:t>
      </w:r>
      <w:r w:rsidR="00D23ECC">
        <w:t xml:space="preserve"> </w:t>
      </w:r>
      <w:r>
        <w:t>our</w:t>
      </w:r>
      <w:r w:rsidR="00D23ECC">
        <w:t xml:space="preserve"> </w:t>
      </w:r>
      <w:r>
        <w:t>social</w:t>
      </w:r>
      <w:r w:rsidR="00D23ECC">
        <w:t xml:space="preserve"> </w:t>
      </w:r>
      <w:r>
        <w:t>media</w:t>
      </w:r>
      <w:r w:rsidR="00D23ECC">
        <w:t xml:space="preserve"> </w:t>
      </w:r>
      <w:r>
        <w:t>channels.</w:t>
      </w:r>
      <w:r w:rsidR="00D23ECC">
        <w:t xml:space="preserve"> </w:t>
      </w:r>
    </w:p>
    <w:p w14:paraId="564729D3" w14:textId="188C531D" w:rsidR="00DE3B0D" w:rsidRDefault="00DE3B0D" w:rsidP="00D23ECC">
      <w:pPr>
        <w:pStyle w:val="BodyText"/>
      </w:pPr>
      <w:r>
        <w:t>During</w:t>
      </w:r>
      <w:r w:rsidR="00D23ECC">
        <w:t xml:space="preserve"> </w:t>
      </w:r>
      <w:r>
        <w:t>periods</w:t>
      </w:r>
      <w:r w:rsidR="00D23ECC">
        <w:t xml:space="preserve"> </w:t>
      </w:r>
      <w:r>
        <w:t>with</w:t>
      </w:r>
      <w:r w:rsidR="00D23ECC">
        <w:t xml:space="preserve"> </w:t>
      </w:r>
      <w:r>
        <w:t>limited</w:t>
      </w:r>
      <w:r w:rsidR="00D23ECC">
        <w:t xml:space="preserve"> </w:t>
      </w:r>
      <w:r>
        <w:t>phone</w:t>
      </w:r>
      <w:r w:rsidR="00D23ECC">
        <w:t xml:space="preserve"> </w:t>
      </w:r>
      <w:r>
        <w:t>resources,</w:t>
      </w:r>
      <w:r w:rsidR="00D23ECC">
        <w:t xml:space="preserve"> </w:t>
      </w:r>
      <w:r>
        <w:t>we</w:t>
      </w:r>
      <w:r w:rsidR="00D23ECC">
        <w:t xml:space="preserve"> </w:t>
      </w:r>
      <w:r>
        <w:t>prioritised</w:t>
      </w:r>
      <w:r w:rsidR="00D23ECC">
        <w:t xml:space="preserve"> </w:t>
      </w:r>
      <w:r>
        <w:t>services</w:t>
      </w:r>
      <w:r w:rsidR="00D23ECC">
        <w:t xml:space="preserve"> </w:t>
      </w:r>
      <w:r>
        <w:t>to</w:t>
      </w:r>
      <w:r w:rsidR="00D23ECC">
        <w:t xml:space="preserve"> </w:t>
      </w:r>
      <w:r>
        <w:t>cohorts</w:t>
      </w:r>
      <w:r w:rsidR="00D23ECC">
        <w:t xml:space="preserve"> </w:t>
      </w:r>
      <w:r>
        <w:t>of</w:t>
      </w:r>
      <w:r w:rsidR="00D23ECC">
        <w:t xml:space="preserve"> </w:t>
      </w:r>
      <w:r>
        <w:t>consumers</w:t>
      </w:r>
      <w:r w:rsidR="00D23ECC">
        <w:t xml:space="preserve"> </w:t>
      </w:r>
      <w:r>
        <w:t>at</w:t>
      </w:r>
      <w:r w:rsidR="00D23ECC">
        <w:t xml:space="preserve"> </w:t>
      </w:r>
      <w:r>
        <w:t>greatest</w:t>
      </w:r>
      <w:r w:rsidR="00D23ECC">
        <w:t xml:space="preserve"> </w:t>
      </w:r>
      <w:r>
        <w:t>risk</w:t>
      </w:r>
      <w:r w:rsidR="00D23ECC">
        <w:t xml:space="preserve"> </w:t>
      </w:r>
      <w:r>
        <w:t>of</w:t>
      </w:r>
      <w:r w:rsidR="00D23ECC">
        <w:t xml:space="preserve"> </w:t>
      </w:r>
      <w:r>
        <w:t>harm</w:t>
      </w:r>
      <w:r w:rsidR="00D23ECC">
        <w:t xml:space="preserve"> </w:t>
      </w:r>
      <w:r>
        <w:t>including</w:t>
      </w:r>
      <w:r w:rsidR="00D23ECC">
        <w:t xml:space="preserve"> </w:t>
      </w:r>
      <w:r>
        <w:t>Koori,</w:t>
      </w:r>
      <w:r w:rsidR="00D23ECC">
        <w:t xml:space="preserve"> </w:t>
      </w:r>
      <w:r>
        <w:t>Special</w:t>
      </w:r>
      <w:r w:rsidR="00D23ECC">
        <w:t xml:space="preserve"> </w:t>
      </w:r>
      <w:r>
        <w:t>Disability</w:t>
      </w:r>
      <w:r w:rsidR="00D23ECC">
        <w:t xml:space="preserve"> </w:t>
      </w:r>
      <w:r>
        <w:t>Accommodation,</w:t>
      </w:r>
      <w:r w:rsidR="00D23ECC">
        <w:t xml:space="preserve"> </w:t>
      </w:r>
      <w:r>
        <w:t>Product</w:t>
      </w:r>
      <w:r w:rsidR="00D23ECC">
        <w:t xml:space="preserve"> </w:t>
      </w:r>
      <w:r>
        <w:t>Safety,</w:t>
      </w:r>
      <w:r w:rsidR="00D23ECC">
        <w:t xml:space="preserve"> </w:t>
      </w:r>
      <w:r>
        <w:t>Toy</w:t>
      </w:r>
      <w:r w:rsidR="00D23ECC">
        <w:t xml:space="preserve"> </w:t>
      </w:r>
      <w:r>
        <w:t>and</w:t>
      </w:r>
      <w:r w:rsidR="00D23ECC">
        <w:t xml:space="preserve"> </w:t>
      </w:r>
      <w:r>
        <w:t>Nursery,</w:t>
      </w:r>
      <w:r w:rsidR="00D23ECC">
        <w:t xml:space="preserve"> </w:t>
      </w:r>
      <w:r>
        <w:t>Travelling</w:t>
      </w:r>
      <w:r w:rsidR="00D23ECC">
        <w:t xml:space="preserve"> </w:t>
      </w:r>
      <w:r>
        <w:t>Con</w:t>
      </w:r>
      <w:r w:rsidR="00D23ECC">
        <w:t xml:space="preserve"> </w:t>
      </w:r>
      <w:r>
        <w:t>Men,</w:t>
      </w:r>
      <w:r w:rsidR="00D23ECC">
        <w:t xml:space="preserve"> </w:t>
      </w:r>
      <w:r>
        <w:t>Residential</w:t>
      </w:r>
      <w:r w:rsidR="00D23ECC">
        <w:t xml:space="preserve"> </w:t>
      </w:r>
      <w:r>
        <w:t>Tenancies</w:t>
      </w:r>
      <w:r w:rsidR="00D23ECC">
        <w:t xml:space="preserve"> </w:t>
      </w:r>
      <w:r>
        <w:t>Bond</w:t>
      </w:r>
      <w:r w:rsidR="00D23ECC">
        <w:t xml:space="preserve"> </w:t>
      </w:r>
      <w:r>
        <w:t>Authority</w:t>
      </w:r>
      <w:r w:rsidR="00D23ECC">
        <w:t xml:space="preserve"> </w:t>
      </w:r>
      <w:r>
        <w:t>and</w:t>
      </w:r>
      <w:r w:rsidR="00D23ECC">
        <w:t xml:space="preserve"> </w:t>
      </w:r>
      <w:r>
        <w:t>Residential</w:t>
      </w:r>
      <w:r w:rsidR="00D23ECC">
        <w:t xml:space="preserve"> </w:t>
      </w:r>
      <w:r>
        <w:t>Tenancy</w:t>
      </w:r>
      <w:r w:rsidR="00D23ECC">
        <w:t xml:space="preserve"> </w:t>
      </w:r>
      <w:r>
        <w:t>lines.</w:t>
      </w:r>
      <w:r w:rsidR="00D23ECC">
        <w:t xml:space="preserve"> </w:t>
      </w:r>
      <w:r>
        <w:t>Full</w:t>
      </w:r>
      <w:r w:rsidR="00D23ECC">
        <w:t xml:space="preserve"> </w:t>
      </w:r>
      <w:r>
        <w:t>services</w:t>
      </w:r>
      <w:r w:rsidR="00D23ECC">
        <w:t xml:space="preserve"> </w:t>
      </w:r>
      <w:r>
        <w:t>across</w:t>
      </w:r>
      <w:r w:rsidR="00D23ECC">
        <w:t xml:space="preserve"> </w:t>
      </w:r>
      <w:r>
        <w:t>all</w:t>
      </w:r>
      <w:r w:rsidR="00D23ECC">
        <w:t xml:space="preserve"> </w:t>
      </w:r>
      <w:r>
        <w:t>lines</w:t>
      </w:r>
      <w:r w:rsidR="00D23ECC">
        <w:t xml:space="preserve"> </w:t>
      </w:r>
      <w:r>
        <w:t>resumed</w:t>
      </w:r>
      <w:r w:rsidR="00D23ECC">
        <w:t xml:space="preserve"> </w:t>
      </w:r>
      <w:r>
        <w:t>by</w:t>
      </w:r>
      <w:r w:rsidR="00D23ECC">
        <w:t xml:space="preserve"> </w:t>
      </w:r>
      <w:r>
        <w:t>mid-December</w:t>
      </w:r>
      <w:r w:rsidR="00D23ECC">
        <w:t xml:space="preserve"> </w:t>
      </w:r>
      <w:r>
        <w:t>2020.</w:t>
      </w:r>
    </w:p>
    <w:p w14:paraId="031C7818" w14:textId="257D6A9F" w:rsidR="00DE3B0D" w:rsidRDefault="00DE3B0D" w:rsidP="00D23ECC">
      <w:pPr>
        <w:pStyle w:val="BodyText"/>
      </w:pPr>
      <w:r>
        <w:t>From</w:t>
      </w:r>
      <w:r w:rsidR="00D23ECC">
        <w:t xml:space="preserve"> </w:t>
      </w:r>
      <w:r>
        <w:t>the</w:t>
      </w:r>
      <w:r w:rsidR="00D23ECC">
        <w:t xml:space="preserve"> </w:t>
      </w:r>
      <w:r>
        <w:t>start</w:t>
      </w:r>
      <w:r w:rsidR="00D23ECC">
        <w:t xml:space="preserve"> </w:t>
      </w:r>
      <w:r>
        <w:t>of</w:t>
      </w:r>
      <w:r w:rsidR="00D23ECC">
        <w:t xml:space="preserve"> </w:t>
      </w:r>
      <w:r>
        <w:t>the</w:t>
      </w:r>
      <w:r w:rsidR="00D23ECC">
        <w:t xml:space="preserve"> </w:t>
      </w:r>
      <w:r>
        <w:t>COVID-19</w:t>
      </w:r>
      <w:r w:rsidR="00D23ECC">
        <w:t xml:space="preserve"> </w:t>
      </w:r>
      <w:r>
        <w:t>pandemic,</w:t>
      </w:r>
      <w:r w:rsidR="00D23ECC">
        <w:t xml:space="preserve"> </w:t>
      </w:r>
      <w:r>
        <w:t>we</w:t>
      </w:r>
      <w:r w:rsidR="00D23ECC">
        <w:t xml:space="preserve"> </w:t>
      </w:r>
      <w:r>
        <w:t>saw</w:t>
      </w:r>
      <w:r w:rsidR="00D23ECC">
        <w:t xml:space="preserve"> </w:t>
      </w:r>
      <w:r>
        <w:t>a</w:t>
      </w:r>
      <w:r w:rsidR="00D23ECC">
        <w:t xml:space="preserve"> </w:t>
      </w:r>
      <w:r>
        <w:t>particularly</w:t>
      </w:r>
      <w:r w:rsidR="00D23ECC">
        <w:t xml:space="preserve"> </w:t>
      </w:r>
      <w:r>
        <w:t>sharp</w:t>
      </w:r>
      <w:r w:rsidR="00D23ECC">
        <w:t xml:space="preserve"> </w:t>
      </w:r>
      <w:r>
        <w:t>rise</w:t>
      </w:r>
      <w:r w:rsidR="00D23ECC">
        <w:t xml:space="preserve"> </w:t>
      </w:r>
      <w:r>
        <w:t>in</w:t>
      </w:r>
      <w:r w:rsidR="00D23ECC">
        <w:t xml:space="preserve"> </w:t>
      </w:r>
      <w:r>
        <w:t>contacts</w:t>
      </w:r>
      <w:r w:rsidR="00D23ECC">
        <w:t xml:space="preserve"> </w:t>
      </w:r>
      <w:r>
        <w:t>about</w:t>
      </w:r>
      <w:r w:rsidR="00D23ECC">
        <w:t xml:space="preserve"> </w:t>
      </w:r>
      <w:r>
        <w:t>travel</w:t>
      </w:r>
      <w:r w:rsidR="00D23ECC">
        <w:t xml:space="preserve"> </w:t>
      </w:r>
      <w:r>
        <w:t>and</w:t>
      </w:r>
      <w:r w:rsidR="00D23ECC">
        <w:t xml:space="preserve"> </w:t>
      </w:r>
      <w:r>
        <w:t>accommodation</w:t>
      </w:r>
      <w:r w:rsidR="00D23ECC">
        <w:t xml:space="preserve"> </w:t>
      </w:r>
      <w:r>
        <w:t>issues</w:t>
      </w:r>
      <w:r w:rsidR="00D23ECC">
        <w:t xml:space="preserve"> </w:t>
      </w:r>
      <w:r>
        <w:t>as</w:t>
      </w:r>
      <w:r w:rsidR="00D23ECC">
        <w:t xml:space="preserve"> </w:t>
      </w:r>
      <w:r>
        <w:t>consumers</w:t>
      </w:r>
      <w:r w:rsidR="00D23ECC">
        <w:t xml:space="preserve"> </w:t>
      </w:r>
      <w:r>
        <w:t>were</w:t>
      </w:r>
      <w:r w:rsidR="00D23ECC">
        <w:t xml:space="preserve"> </w:t>
      </w:r>
      <w:r>
        <w:t>impacted</w:t>
      </w:r>
      <w:r w:rsidR="00D23ECC">
        <w:t xml:space="preserve"> </w:t>
      </w:r>
      <w:r>
        <w:t>by</w:t>
      </w:r>
      <w:r w:rsidR="00D23ECC">
        <w:t xml:space="preserve"> </w:t>
      </w:r>
      <w:r>
        <w:t>travel</w:t>
      </w:r>
      <w:r w:rsidR="00D23ECC">
        <w:t xml:space="preserve"> </w:t>
      </w:r>
      <w:r>
        <w:t>restrictions.</w:t>
      </w:r>
      <w:r w:rsidR="00D23ECC">
        <w:t xml:space="preserve"> </w:t>
      </w:r>
      <w:r>
        <w:t>In</w:t>
      </w:r>
      <w:r w:rsidR="00D23ECC">
        <w:t xml:space="preserve"> </w:t>
      </w:r>
      <w:r>
        <w:t>both</w:t>
      </w:r>
      <w:r w:rsidR="00D23ECC">
        <w:t xml:space="preserve"> </w:t>
      </w:r>
      <w:r>
        <w:t>2019–20</w:t>
      </w:r>
      <w:r w:rsidR="00D23ECC">
        <w:t xml:space="preserve"> </w:t>
      </w:r>
      <w:r>
        <w:t>and</w:t>
      </w:r>
      <w:r w:rsidR="00D23ECC">
        <w:t xml:space="preserve"> </w:t>
      </w:r>
      <w:r>
        <w:t>2020–21</w:t>
      </w:r>
      <w:r w:rsidR="00D23ECC">
        <w:t xml:space="preserve"> </w:t>
      </w:r>
      <w:r>
        <w:t>we</w:t>
      </w:r>
      <w:r w:rsidR="00D23ECC">
        <w:t xml:space="preserve"> </w:t>
      </w:r>
      <w:r>
        <w:t>experienced</w:t>
      </w:r>
      <w:r w:rsidR="00D23ECC">
        <w:t xml:space="preserve"> </w:t>
      </w:r>
      <w:r>
        <w:t>a</w:t>
      </w:r>
      <w:r w:rsidR="00D23ECC">
        <w:t xml:space="preserve"> </w:t>
      </w:r>
      <w:r>
        <w:t>more</w:t>
      </w:r>
      <w:r w:rsidR="00D23ECC">
        <w:t xml:space="preserve"> </w:t>
      </w:r>
      <w:r>
        <w:t>than</w:t>
      </w:r>
      <w:r w:rsidR="00D23ECC">
        <w:t xml:space="preserve"> </w:t>
      </w:r>
      <w:r>
        <w:t>60</w:t>
      </w:r>
      <w:r w:rsidR="00D23ECC">
        <w:t xml:space="preserve"> </w:t>
      </w:r>
      <w:r>
        <w:t>per</w:t>
      </w:r>
      <w:r w:rsidR="00D23ECC">
        <w:t xml:space="preserve"> </w:t>
      </w:r>
      <w:r>
        <w:t>cent</w:t>
      </w:r>
      <w:r w:rsidR="00D23ECC">
        <w:t xml:space="preserve"> </w:t>
      </w:r>
      <w:r>
        <w:t>increase</w:t>
      </w:r>
      <w:r w:rsidR="00D23ECC">
        <w:t xml:space="preserve"> </w:t>
      </w:r>
      <w:r>
        <w:t>in</w:t>
      </w:r>
      <w:r w:rsidR="00D23ECC">
        <w:t xml:space="preserve"> </w:t>
      </w:r>
      <w:r>
        <w:t>these</w:t>
      </w:r>
      <w:r w:rsidR="00D23ECC">
        <w:t xml:space="preserve"> </w:t>
      </w:r>
      <w:r>
        <w:t>contacts</w:t>
      </w:r>
      <w:r w:rsidR="00D23ECC">
        <w:t xml:space="preserve"> </w:t>
      </w:r>
      <w:r>
        <w:t>when</w:t>
      </w:r>
      <w:r w:rsidR="00D23ECC">
        <w:t xml:space="preserve"> </w:t>
      </w:r>
      <w:r>
        <w:t>compared</w:t>
      </w:r>
      <w:r w:rsidR="00D23ECC">
        <w:t xml:space="preserve"> </w:t>
      </w:r>
      <w:r>
        <w:t>to</w:t>
      </w:r>
      <w:r w:rsidR="00D23ECC">
        <w:t xml:space="preserve"> </w:t>
      </w:r>
      <w:r>
        <w:t>numbers</w:t>
      </w:r>
      <w:r w:rsidR="00D23ECC">
        <w:t xml:space="preserve"> </w:t>
      </w:r>
      <w:r>
        <w:t>in</w:t>
      </w:r>
      <w:r w:rsidR="00D23ECC">
        <w:t xml:space="preserve"> </w:t>
      </w:r>
      <w:r>
        <w:t>2018–19.</w:t>
      </w:r>
      <w:r w:rsidR="00D23ECC">
        <w:t xml:space="preserve"> </w:t>
      </w:r>
      <w:r>
        <w:t>Consumers</w:t>
      </w:r>
      <w:r w:rsidR="00D23ECC">
        <w:t xml:space="preserve"> </w:t>
      </w:r>
      <w:r>
        <w:t>contacted</w:t>
      </w:r>
      <w:r w:rsidR="00D23ECC">
        <w:t xml:space="preserve"> </w:t>
      </w:r>
      <w:r>
        <w:t>us</w:t>
      </w:r>
      <w:r w:rsidR="00D23ECC">
        <w:t xml:space="preserve"> </w:t>
      </w:r>
      <w:r>
        <w:t>for</w:t>
      </w:r>
      <w:r w:rsidR="00D23ECC">
        <w:t xml:space="preserve"> </w:t>
      </w:r>
      <w:r>
        <w:t>information</w:t>
      </w:r>
      <w:r w:rsidR="00D23ECC">
        <w:t xml:space="preserve"> </w:t>
      </w:r>
      <w:r>
        <w:t>and</w:t>
      </w:r>
      <w:r w:rsidR="00D23ECC">
        <w:t xml:space="preserve"> </w:t>
      </w:r>
      <w:r>
        <w:t>advice</w:t>
      </w:r>
      <w:r w:rsidR="00D23ECC">
        <w:t xml:space="preserve"> </w:t>
      </w:r>
      <w:r>
        <w:t>about</w:t>
      </w:r>
      <w:r w:rsidR="00D23ECC">
        <w:t xml:space="preserve"> </w:t>
      </w:r>
      <w:r>
        <w:t>refunds</w:t>
      </w:r>
      <w:r w:rsidR="00D23ECC">
        <w:t xml:space="preserve"> </w:t>
      </w:r>
      <w:r>
        <w:t>for</w:t>
      </w:r>
      <w:r w:rsidR="00D23ECC">
        <w:t xml:space="preserve"> </w:t>
      </w:r>
      <w:r>
        <w:t>cancelled</w:t>
      </w:r>
      <w:r w:rsidR="00D23ECC">
        <w:t xml:space="preserve"> </w:t>
      </w:r>
      <w:r>
        <w:t>travel</w:t>
      </w:r>
      <w:r w:rsidR="00D23ECC">
        <w:t xml:space="preserve"> </w:t>
      </w:r>
      <w:r>
        <w:t>arrangements,</w:t>
      </w:r>
      <w:r w:rsidR="00D23ECC">
        <w:t xml:space="preserve"> </w:t>
      </w:r>
      <w:r>
        <w:t>particularly</w:t>
      </w:r>
      <w:r w:rsidR="00D23ECC">
        <w:t xml:space="preserve"> </w:t>
      </w:r>
      <w:r>
        <w:t>bookings</w:t>
      </w:r>
      <w:r w:rsidR="00D23ECC">
        <w:t xml:space="preserve"> </w:t>
      </w:r>
      <w:r>
        <w:t>with</w:t>
      </w:r>
      <w:r w:rsidR="00D23ECC">
        <w:t xml:space="preserve"> </w:t>
      </w:r>
      <w:r>
        <w:t>airlines</w:t>
      </w:r>
      <w:r w:rsidR="00D23ECC">
        <w:t xml:space="preserve"> </w:t>
      </w:r>
      <w:r>
        <w:t>and</w:t>
      </w:r>
      <w:r w:rsidR="00D23ECC">
        <w:t xml:space="preserve"> </w:t>
      </w:r>
      <w:r>
        <w:t>travel</w:t>
      </w:r>
      <w:r w:rsidR="00D23ECC">
        <w:t xml:space="preserve"> </w:t>
      </w:r>
      <w:r>
        <w:t>agencies.</w:t>
      </w:r>
      <w:r w:rsidR="00D23ECC">
        <w:t xml:space="preserve"> </w:t>
      </w:r>
      <w:r>
        <w:t>As</w:t>
      </w:r>
      <w:r w:rsidR="00D23ECC">
        <w:t xml:space="preserve"> </w:t>
      </w:r>
      <w:r>
        <w:t>well</w:t>
      </w:r>
      <w:r w:rsidR="00D23ECC">
        <w:t xml:space="preserve"> </w:t>
      </w:r>
      <w:r>
        <w:t>as</w:t>
      </w:r>
      <w:r w:rsidR="00D23ECC">
        <w:t xml:space="preserve"> </w:t>
      </w:r>
      <w:r>
        <w:t>providing</w:t>
      </w:r>
      <w:r w:rsidR="00D23ECC">
        <w:t xml:space="preserve"> </w:t>
      </w:r>
      <w:r>
        <w:t>advice</w:t>
      </w:r>
      <w:r w:rsidR="00D23ECC">
        <w:t xml:space="preserve"> </w:t>
      </w:r>
      <w:r>
        <w:t>to</w:t>
      </w:r>
      <w:r w:rsidR="00D23ECC">
        <w:t xml:space="preserve"> </w:t>
      </w:r>
      <w:r>
        <w:t>callers,</w:t>
      </w:r>
      <w:r w:rsidR="00D23ECC">
        <w:t xml:space="preserve"> </w:t>
      </w:r>
      <w:r>
        <w:t>we</w:t>
      </w:r>
      <w:r w:rsidR="00D23ECC">
        <w:t xml:space="preserve"> </w:t>
      </w:r>
      <w:r>
        <w:t>updated</w:t>
      </w:r>
      <w:r w:rsidR="00D23ECC">
        <w:t xml:space="preserve"> </w:t>
      </w:r>
      <w:r>
        <w:t>our</w:t>
      </w:r>
      <w:r w:rsidR="00D23ECC">
        <w:t xml:space="preserve"> </w:t>
      </w:r>
      <w:r>
        <w:t>website</w:t>
      </w:r>
      <w:r w:rsidR="00D23ECC">
        <w:t xml:space="preserve"> </w:t>
      </w:r>
      <w:r>
        <w:t>and</w:t>
      </w:r>
      <w:r w:rsidR="00D23ECC">
        <w:t xml:space="preserve"> </w:t>
      </w:r>
      <w:r>
        <w:t>published</w:t>
      </w:r>
      <w:r w:rsidR="00D23ECC">
        <w:t xml:space="preserve"> </w:t>
      </w:r>
      <w:r>
        <w:t>a</w:t>
      </w:r>
      <w:r w:rsidR="00D23ECC">
        <w:t xml:space="preserve"> </w:t>
      </w:r>
      <w:r>
        <w:t>range</w:t>
      </w:r>
      <w:r w:rsidR="00D23ECC">
        <w:t xml:space="preserve"> </w:t>
      </w:r>
      <w:r>
        <w:t>of</w:t>
      </w:r>
      <w:r w:rsidR="00D23ECC">
        <w:t xml:space="preserve"> </w:t>
      </w:r>
      <w:r>
        <w:t>social</w:t>
      </w:r>
      <w:r w:rsidR="00D23ECC">
        <w:t xml:space="preserve"> </w:t>
      </w:r>
      <w:r>
        <w:t>media</w:t>
      </w:r>
      <w:r w:rsidR="00D23ECC">
        <w:t xml:space="preserve"> </w:t>
      </w:r>
      <w:r>
        <w:t>posts</w:t>
      </w:r>
      <w:r w:rsidR="00D23ECC">
        <w:t xml:space="preserve"> </w:t>
      </w:r>
      <w:r>
        <w:t>on</w:t>
      </w:r>
      <w:r w:rsidR="00D23ECC">
        <w:t xml:space="preserve"> </w:t>
      </w:r>
      <w:r>
        <w:t>the</w:t>
      </w:r>
      <w:r w:rsidR="00D23ECC">
        <w:t xml:space="preserve"> </w:t>
      </w:r>
      <w:r>
        <w:t>matter.</w:t>
      </w:r>
      <w:r w:rsidR="00D23ECC">
        <w:t xml:space="preserve"> </w:t>
      </w:r>
      <w:r>
        <w:t>We</w:t>
      </w:r>
      <w:r w:rsidR="00D23ECC">
        <w:t xml:space="preserve"> </w:t>
      </w:r>
      <w:r>
        <w:t>also</w:t>
      </w:r>
      <w:r w:rsidR="00D23ECC">
        <w:t xml:space="preserve"> </w:t>
      </w:r>
      <w:r>
        <w:t>worked</w:t>
      </w:r>
      <w:r w:rsidR="00D23ECC">
        <w:t xml:space="preserve"> </w:t>
      </w:r>
      <w:r>
        <w:t>with</w:t>
      </w:r>
      <w:r w:rsidR="00D23ECC">
        <w:t xml:space="preserve"> </w:t>
      </w:r>
      <w:r>
        <w:t>the</w:t>
      </w:r>
      <w:r w:rsidR="00D23ECC">
        <w:t xml:space="preserve"> </w:t>
      </w:r>
      <w:r>
        <w:t>Australian</w:t>
      </w:r>
      <w:r w:rsidR="00D23ECC">
        <w:t xml:space="preserve"> </w:t>
      </w:r>
      <w:r>
        <w:t>Competition</w:t>
      </w:r>
      <w:r w:rsidR="00D23ECC">
        <w:t xml:space="preserve"> </w:t>
      </w:r>
      <w:r>
        <w:t>and</w:t>
      </w:r>
      <w:r w:rsidR="00D23ECC">
        <w:t xml:space="preserve"> </w:t>
      </w:r>
      <w:r>
        <w:t>Consumer</w:t>
      </w:r>
      <w:r w:rsidR="00D23ECC">
        <w:t xml:space="preserve"> </w:t>
      </w:r>
      <w:r>
        <w:t>Commission</w:t>
      </w:r>
      <w:r w:rsidR="00D23ECC">
        <w:t xml:space="preserve"> </w:t>
      </w:r>
      <w:r>
        <w:t>and</w:t>
      </w:r>
      <w:r w:rsidR="00D23ECC">
        <w:t xml:space="preserve"> </w:t>
      </w:r>
      <w:r>
        <w:t>other</w:t>
      </w:r>
      <w:r w:rsidR="00D23ECC">
        <w:t xml:space="preserve"> </w:t>
      </w:r>
      <w:r>
        <w:t>state-based</w:t>
      </w:r>
      <w:r w:rsidR="00D23ECC">
        <w:t xml:space="preserve"> </w:t>
      </w:r>
      <w:r>
        <w:t>consumer</w:t>
      </w:r>
      <w:r w:rsidR="00D23ECC">
        <w:t xml:space="preserve"> </w:t>
      </w:r>
      <w:r>
        <w:t>agencies</w:t>
      </w:r>
      <w:r w:rsidR="00D23ECC">
        <w:t xml:space="preserve"> </w:t>
      </w:r>
      <w:r>
        <w:t>to</w:t>
      </w:r>
      <w:r w:rsidR="00D23ECC">
        <w:t xml:space="preserve"> </w:t>
      </w:r>
      <w:r>
        <w:t>develop</w:t>
      </w:r>
      <w:r w:rsidR="00D23ECC">
        <w:t xml:space="preserve"> </w:t>
      </w:r>
      <w:r>
        <w:t>best-practice</w:t>
      </w:r>
      <w:r w:rsidR="00D23ECC">
        <w:t xml:space="preserve"> </w:t>
      </w:r>
      <w:r>
        <w:t>guidance</w:t>
      </w:r>
      <w:r w:rsidR="00D23ECC">
        <w:t xml:space="preserve"> </w:t>
      </w:r>
      <w:r>
        <w:t>for</w:t>
      </w:r>
      <w:r w:rsidR="00D23ECC">
        <w:t xml:space="preserve"> </w:t>
      </w:r>
      <w:r>
        <w:t>the</w:t>
      </w:r>
      <w:r w:rsidR="00D23ECC">
        <w:t xml:space="preserve"> </w:t>
      </w:r>
      <w:r>
        <w:t>travel</w:t>
      </w:r>
      <w:r w:rsidR="00D23ECC">
        <w:t xml:space="preserve"> </w:t>
      </w:r>
      <w:r>
        <w:t>industry</w:t>
      </w:r>
      <w:r w:rsidR="00D23ECC">
        <w:t xml:space="preserve"> </w:t>
      </w:r>
      <w:r>
        <w:t>about</w:t>
      </w:r>
      <w:r w:rsidR="00D23ECC">
        <w:t xml:space="preserve"> </w:t>
      </w:r>
      <w:r>
        <w:t>travel</w:t>
      </w:r>
      <w:r w:rsidR="00D23ECC">
        <w:t xml:space="preserve"> </w:t>
      </w:r>
      <w:r>
        <w:t>cancellations.</w:t>
      </w:r>
    </w:p>
    <w:p w14:paraId="7637EE88" w14:textId="73A0DF1B" w:rsidR="00DE3B0D" w:rsidRDefault="00DE3B0D" w:rsidP="00D23ECC">
      <w:pPr>
        <w:pStyle w:val="BodyText"/>
      </w:pPr>
      <w:r>
        <w:t>Since</w:t>
      </w:r>
      <w:r w:rsidR="00D23ECC">
        <w:t xml:space="preserve"> </w:t>
      </w:r>
      <w:r>
        <w:t>the</w:t>
      </w:r>
      <w:r w:rsidR="00D23ECC">
        <w:t xml:space="preserve"> </w:t>
      </w:r>
      <w:r>
        <w:t>beginning</w:t>
      </w:r>
      <w:r w:rsidR="00D23ECC">
        <w:t xml:space="preserve"> </w:t>
      </w:r>
      <w:r>
        <w:t>of</w:t>
      </w:r>
      <w:r w:rsidR="00D23ECC">
        <w:t xml:space="preserve"> </w:t>
      </w:r>
      <w:r>
        <w:t>the</w:t>
      </w:r>
      <w:r w:rsidR="00D23ECC">
        <w:t xml:space="preserve"> </w:t>
      </w:r>
      <w:r>
        <w:t>COVID-19</w:t>
      </w:r>
      <w:r w:rsidR="00D23ECC">
        <w:t xml:space="preserve"> </w:t>
      </w:r>
      <w:r>
        <w:t>pandemic,</w:t>
      </w:r>
      <w:r w:rsidR="00D23ECC">
        <w:t xml:space="preserve"> </w:t>
      </w:r>
      <w:r>
        <w:t>we</w:t>
      </w:r>
      <w:r w:rsidR="00D23ECC">
        <w:t xml:space="preserve"> </w:t>
      </w:r>
      <w:r>
        <w:t>have</w:t>
      </w:r>
      <w:r w:rsidR="00D23ECC">
        <w:t xml:space="preserve"> </w:t>
      </w:r>
      <w:r>
        <w:t>received</w:t>
      </w:r>
      <w:r w:rsidR="00D23ECC">
        <w:t xml:space="preserve"> </w:t>
      </w:r>
      <w:r>
        <w:t>approximately</w:t>
      </w:r>
      <w:r w:rsidR="00D23ECC">
        <w:t xml:space="preserve"> </w:t>
      </w:r>
      <w:r>
        <w:t>140</w:t>
      </w:r>
      <w:r w:rsidR="00D23ECC">
        <w:t xml:space="preserve"> </w:t>
      </w:r>
      <w:r>
        <w:t>contacts</w:t>
      </w:r>
      <w:r w:rsidR="00D23ECC">
        <w:t xml:space="preserve"> </w:t>
      </w:r>
      <w:r>
        <w:t>about</w:t>
      </w:r>
      <w:r w:rsidR="00D23ECC">
        <w:t xml:space="preserve"> </w:t>
      </w:r>
      <w:r>
        <w:t>hand</w:t>
      </w:r>
      <w:r w:rsidR="00D23ECC">
        <w:t xml:space="preserve"> </w:t>
      </w:r>
      <w:r>
        <w:t>sanitisers.</w:t>
      </w:r>
      <w:r w:rsidR="00D23ECC">
        <w:t xml:space="preserve"> </w:t>
      </w:r>
      <w:r>
        <w:t>We</w:t>
      </w:r>
      <w:r w:rsidR="00D23ECC">
        <w:t xml:space="preserve"> </w:t>
      </w:r>
      <w:r>
        <w:t>provided</w:t>
      </w:r>
      <w:r w:rsidR="00D23ECC">
        <w:t xml:space="preserve"> </w:t>
      </w:r>
      <w:r>
        <w:t>information</w:t>
      </w:r>
      <w:r w:rsidR="00D23ECC">
        <w:t xml:space="preserve"> </w:t>
      </w:r>
      <w:r>
        <w:t>and</w:t>
      </w:r>
      <w:r w:rsidR="00D23ECC">
        <w:t xml:space="preserve"> </w:t>
      </w:r>
      <w:r>
        <w:t>advice</w:t>
      </w:r>
      <w:r w:rsidR="00D23ECC">
        <w:t xml:space="preserve"> </w:t>
      </w:r>
      <w:r>
        <w:t>to</w:t>
      </w:r>
      <w:r w:rsidR="00D23ECC">
        <w:t xml:space="preserve"> </w:t>
      </w:r>
      <w:r>
        <w:t>consumers</w:t>
      </w:r>
      <w:r w:rsidR="00D23ECC">
        <w:t xml:space="preserve"> </w:t>
      </w:r>
      <w:r>
        <w:t>about</w:t>
      </w:r>
      <w:r w:rsidR="00D23ECC">
        <w:t xml:space="preserve"> </w:t>
      </w:r>
      <w:r>
        <w:t>issues</w:t>
      </w:r>
      <w:r w:rsidR="00D23ECC">
        <w:t xml:space="preserve"> </w:t>
      </w:r>
      <w:r>
        <w:t>relating</w:t>
      </w:r>
      <w:r w:rsidR="00D23ECC">
        <w:t xml:space="preserve"> </w:t>
      </w:r>
      <w:r>
        <w:t>to</w:t>
      </w:r>
      <w:r w:rsidR="00D23ECC">
        <w:t xml:space="preserve"> </w:t>
      </w:r>
      <w:r>
        <w:t>the</w:t>
      </w:r>
      <w:r w:rsidR="00D23ECC">
        <w:t xml:space="preserve"> </w:t>
      </w:r>
      <w:r>
        <w:t>supply,</w:t>
      </w:r>
      <w:r w:rsidR="00D23ECC">
        <w:t xml:space="preserve"> </w:t>
      </w:r>
      <w:r>
        <w:t>pricing,</w:t>
      </w:r>
      <w:r w:rsidR="00D23ECC">
        <w:t xml:space="preserve"> </w:t>
      </w:r>
      <w:r>
        <w:t>quality</w:t>
      </w:r>
      <w:r w:rsidR="00D23ECC">
        <w:t xml:space="preserve"> </w:t>
      </w:r>
      <w:r>
        <w:t>and</w:t>
      </w:r>
      <w:r w:rsidR="00D23ECC">
        <w:t xml:space="preserve"> </w:t>
      </w:r>
      <w:r>
        <w:t>formulation</w:t>
      </w:r>
      <w:r w:rsidR="00D23ECC">
        <w:t xml:space="preserve"> </w:t>
      </w:r>
      <w:r>
        <w:t>of</w:t>
      </w:r>
      <w:r w:rsidR="00D23ECC">
        <w:t xml:space="preserve"> </w:t>
      </w:r>
      <w:r>
        <w:t>hand</w:t>
      </w:r>
      <w:r w:rsidR="00D23ECC">
        <w:t xml:space="preserve"> </w:t>
      </w:r>
      <w:r>
        <w:t>sanitisers,</w:t>
      </w:r>
      <w:r w:rsidR="00D23ECC">
        <w:t xml:space="preserve"> </w:t>
      </w:r>
      <w:r>
        <w:t>as</w:t>
      </w:r>
      <w:r w:rsidR="00D23ECC">
        <w:t xml:space="preserve"> </w:t>
      </w:r>
      <w:r>
        <w:t>well</w:t>
      </w:r>
      <w:r w:rsidR="00D23ECC">
        <w:t xml:space="preserve"> </w:t>
      </w:r>
      <w:r>
        <w:t>as</w:t>
      </w:r>
      <w:r w:rsidR="00D23ECC">
        <w:t xml:space="preserve"> </w:t>
      </w:r>
      <w:r>
        <w:t>their</w:t>
      </w:r>
      <w:r w:rsidR="00D23ECC">
        <w:t xml:space="preserve"> </w:t>
      </w:r>
      <w:r>
        <w:t>refund</w:t>
      </w:r>
      <w:r w:rsidR="00D23ECC">
        <w:t xml:space="preserve"> </w:t>
      </w:r>
      <w:r>
        <w:t>rights.</w:t>
      </w:r>
      <w:r w:rsidR="00D23ECC">
        <w:t xml:space="preserve"> </w:t>
      </w:r>
      <w:r>
        <w:t>On</w:t>
      </w:r>
      <w:r w:rsidR="00D23ECC">
        <w:t xml:space="preserve"> </w:t>
      </w:r>
      <w:r>
        <w:t>24</w:t>
      </w:r>
      <w:r w:rsidR="00D23ECC">
        <w:t xml:space="preserve"> </w:t>
      </w:r>
      <w:r>
        <w:t>November</w:t>
      </w:r>
      <w:r w:rsidR="00D23ECC">
        <w:t xml:space="preserve"> </w:t>
      </w:r>
      <w:r>
        <w:t>2020,</w:t>
      </w:r>
      <w:r w:rsidR="00D23ECC">
        <w:t xml:space="preserve"> </w:t>
      </w:r>
      <w:r>
        <w:t>new</w:t>
      </w:r>
      <w:r w:rsidR="00D23ECC">
        <w:t xml:space="preserve"> </w:t>
      </w:r>
      <w:r>
        <w:t>labelling</w:t>
      </w:r>
      <w:r w:rsidR="00D23ECC">
        <w:t xml:space="preserve"> </w:t>
      </w:r>
      <w:r>
        <w:t>standards</w:t>
      </w:r>
      <w:r w:rsidR="00D23ECC">
        <w:t xml:space="preserve"> </w:t>
      </w:r>
      <w:r>
        <w:t>were</w:t>
      </w:r>
      <w:r w:rsidR="00D23ECC">
        <w:t xml:space="preserve"> </w:t>
      </w:r>
      <w:r>
        <w:t>introduced</w:t>
      </w:r>
      <w:r w:rsidR="00D23ECC">
        <w:t xml:space="preserve"> </w:t>
      </w:r>
      <w:r>
        <w:t>for</w:t>
      </w:r>
      <w:r w:rsidR="00D23ECC">
        <w:t xml:space="preserve"> </w:t>
      </w:r>
      <w:r>
        <w:t>hand</w:t>
      </w:r>
      <w:r w:rsidR="00D23ECC">
        <w:t xml:space="preserve"> </w:t>
      </w:r>
      <w:r>
        <w:t>sanitisers,</w:t>
      </w:r>
      <w:r w:rsidR="00D23ECC">
        <w:t xml:space="preserve"> </w:t>
      </w:r>
      <w:r>
        <w:t>under</w:t>
      </w:r>
      <w:r w:rsidR="00D23ECC">
        <w:t xml:space="preserve"> </w:t>
      </w:r>
      <w:r>
        <w:t>the</w:t>
      </w:r>
      <w:r w:rsidR="00D23ECC">
        <w:t xml:space="preserve"> </w:t>
      </w:r>
      <w:r w:rsidRPr="00ED78BD">
        <w:rPr>
          <w:rStyle w:val="Emphasis"/>
        </w:rPr>
        <w:t>Consumer</w:t>
      </w:r>
      <w:r w:rsidR="00D23ECC" w:rsidRPr="00ED78BD">
        <w:rPr>
          <w:rStyle w:val="Emphasis"/>
        </w:rPr>
        <w:t xml:space="preserve"> </w:t>
      </w:r>
      <w:r w:rsidRPr="00ED78BD">
        <w:rPr>
          <w:rStyle w:val="Emphasis"/>
        </w:rPr>
        <w:t>Goods</w:t>
      </w:r>
      <w:r w:rsidR="00D23ECC" w:rsidRPr="00ED78BD">
        <w:rPr>
          <w:rStyle w:val="Emphasis"/>
        </w:rPr>
        <w:t xml:space="preserve"> </w:t>
      </w:r>
      <w:r w:rsidRPr="00ED78BD">
        <w:rPr>
          <w:rStyle w:val="Emphasis"/>
        </w:rPr>
        <w:t>(Cosmetics)</w:t>
      </w:r>
      <w:r w:rsidR="00D23ECC" w:rsidRPr="00ED78BD">
        <w:rPr>
          <w:rStyle w:val="Emphasis"/>
        </w:rPr>
        <w:t xml:space="preserve"> </w:t>
      </w:r>
      <w:r w:rsidRPr="00ED78BD">
        <w:rPr>
          <w:rStyle w:val="Emphasis"/>
        </w:rPr>
        <w:t>Information</w:t>
      </w:r>
      <w:r w:rsidR="00D23ECC" w:rsidRPr="00ED78BD">
        <w:rPr>
          <w:rStyle w:val="Emphasis"/>
        </w:rPr>
        <w:t xml:space="preserve"> </w:t>
      </w:r>
      <w:r w:rsidRPr="00ED78BD">
        <w:rPr>
          <w:rStyle w:val="Emphasis"/>
        </w:rPr>
        <w:t>Standard</w:t>
      </w:r>
      <w:r w:rsidR="00D23ECC" w:rsidRPr="00ED78BD">
        <w:rPr>
          <w:rStyle w:val="Emphasis"/>
        </w:rPr>
        <w:t xml:space="preserve"> </w:t>
      </w:r>
      <w:r w:rsidRPr="00ED78BD">
        <w:rPr>
          <w:rStyle w:val="Emphasis"/>
        </w:rPr>
        <w:t>2020</w:t>
      </w:r>
      <w:r>
        <w:t>.</w:t>
      </w:r>
      <w:r w:rsidR="00D23ECC">
        <w:t xml:space="preserve"> </w:t>
      </w:r>
      <w:r>
        <w:t>Under</w:t>
      </w:r>
      <w:r w:rsidR="00D23ECC">
        <w:t xml:space="preserve"> </w:t>
      </w:r>
      <w:r>
        <w:t>Australian</w:t>
      </w:r>
      <w:r w:rsidR="00D23ECC">
        <w:t xml:space="preserve"> </w:t>
      </w:r>
      <w:r>
        <w:t>Consumer</w:t>
      </w:r>
      <w:r w:rsidR="00D23ECC">
        <w:t xml:space="preserve"> </w:t>
      </w:r>
      <w:r>
        <w:t>Law,</w:t>
      </w:r>
      <w:r w:rsidR="00D23ECC">
        <w:t xml:space="preserve"> </w:t>
      </w:r>
      <w:r>
        <w:t>consumer</w:t>
      </w:r>
      <w:r w:rsidR="00D23ECC">
        <w:t xml:space="preserve"> </w:t>
      </w:r>
      <w:r>
        <w:t>regulators</w:t>
      </w:r>
      <w:r w:rsidR="00D23ECC">
        <w:t xml:space="preserve"> </w:t>
      </w:r>
      <w:r>
        <w:t>enforce</w:t>
      </w:r>
      <w:r w:rsidR="00D23ECC">
        <w:t xml:space="preserve"> </w:t>
      </w:r>
      <w:r>
        <w:t>compliance</w:t>
      </w:r>
      <w:r w:rsidR="00D23ECC">
        <w:t xml:space="preserve"> </w:t>
      </w:r>
      <w:r>
        <w:t>with</w:t>
      </w:r>
      <w:r w:rsidR="00D23ECC">
        <w:t xml:space="preserve"> </w:t>
      </w:r>
      <w:r>
        <w:t>these</w:t>
      </w:r>
      <w:r w:rsidR="00D23ECC">
        <w:t xml:space="preserve"> </w:t>
      </w:r>
      <w:r>
        <w:t>standards.</w:t>
      </w:r>
      <w:r w:rsidR="00D23ECC">
        <w:t xml:space="preserve"> </w:t>
      </w:r>
      <w:r>
        <w:t>The</w:t>
      </w:r>
      <w:r w:rsidR="00D23ECC">
        <w:t xml:space="preserve"> </w:t>
      </w:r>
      <w:r>
        <w:t>standards</w:t>
      </w:r>
      <w:r w:rsidR="00D23ECC">
        <w:t xml:space="preserve"> </w:t>
      </w:r>
      <w:r>
        <w:t>aim</w:t>
      </w:r>
      <w:r w:rsidR="00D23ECC">
        <w:t xml:space="preserve"> </w:t>
      </w:r>
      <w:r>
        <w:t>to</w:t>
      </w:r>
      <w:r w:rsidR="00D23ECC">
        <w:t xml:space="preserve"> </w:t>
      </w:r>
      <w:r>
        <w:t>provide</w:t>
      </w:r>
      <w:r w:rsidR="00D23ECC">
        <w:t xml:space="preserve"> </w:t>
      </w:r>
      <w:r>
        <w:t>more</w:t>
      </w:r>
      <w:r w:rsidR="00D23ECC">
        <w:t xml:space="preserve"> </w:t>
      </w:r>
      <w:r>
        <w:t>safety</w:t>
      </w:r>
      <w:r w:rsidR="00D23ECC">
        <w:t xml:space="preserve"> </w:t>
      </w:r>
      <w:r>
        <w:t>details</w:t>
      </w:r>
      <w:r w:rsidR="00D23ECC">
        <w:t xml:space="preserve"> </w:t>
      </w:r>
      <w:r>
        <w:t>to</w:t>
      </w:r>
      <w:r w:rsidR="00D23ECC">
        <w:t xml:space="preserve"> </w:t>
      </w:r>
      <w:r>
        <w:t>inform</w:t>
      </w:r>
      <w:r w:rsidR="00D23ECC">
        <w:t xml:space="preserve"> </w:t>
      </w:r>
      <w:r>
        <w:t>consumers</w:t>
      </w:r>
      <w:r w:rsidR="00D23ECC">
        <w:t xml:space="preserve"> </w:t>
      </w:r>
      <w:r>
        <w:t>about</w:t>
      </w:r>
      <w:r w:rsidR="00D23ECC">
        <w:t xml:space="preserve"> </w:t>
      </w:r>
      <w:r>
        <w:t>the</w:t>
      </w:r>
      <w:r w:rsidR="00D23ECC">
        <w:t xml:space="preserve"> </w:t>
      </w:r>
      <w:r>
        <w:t>products</w:t>
      </w:r>
      <w:r w:rsidR="00D23ECC">
        <w:t xml:space="preserve"> </w:t>
      </w:r>
      <w:r>
        <w:t>they</w:t>
      </w:r>
      <w:r w:rsidR="00D23ECC">
        <w:t xml:space="preserve"> </w:t>
      </w:r>
      <w:r>
        <w:t>are</w:t>
      </w:r>
      <w:r w:rsidR="00D23ECC">
        <w:t xml:space="preserve"> </w:t>
      </w:r>
      <w:r>
        <w:t>using,</w:t>
      </w:r>
      <w:r w:rsidR="00D23ECC">
        <w:t xml:space="preserve"> </w:t>
      </w:r>
      <w:r>
        <w:t>including</w:t>
      </w:r>
      <w:r w:rsidR="00D23ECC">
        <w:t xml:space="preserve"> </w:t>
      </w:r>
      <w:r>
        <w:t>a</w:t>
      </w:r>
      <w:r w:rsidR="00D23ECC">
        <w:t xml:space="preserve"> </w:t>
      </w:r>
      <w:r>
        <w:t>list</w:t>
      </w:r>
      <w:r w:rsidR="00D23ECC">
        <w:t xml:space="preserve"> </w:t>
      </w:r>
      <w:r>
        <w:t>of</w:t>
      </w:r>
      <w:r w:rsidR="00D23ECC">
        <w:t xml:space="preserve"> </w:t>
      </w:r>
      <w:r>
        <w:t>ingredients.</w:t>
      </w:r>
      <w:r w:rsidR="00D23ECC">
        <w:t xml:space="preserve"> </w:t>
      </w:r>
      <w:r>
        <w:t>Given</w:t>
      </w:r>
      <w:r w:rsidR="00D23ECC">
        <w:t xml:space="preserve"> </w:t>
      </w:r>
      <w:r>
        <w:t>the</w:t>
      </w:r>
      <w:r w:rsidR="00D23ECC">
        <w:t xml:space="preserve"> </w:t>
      </w:r>
      <w:r>
        <w:t>new</w:t>
      </w:r>
      <w:r w:rsidR="00D23ECC">
        <w:t xml:space="preserve"> </w:t>
      </w:r>
      <w:r>
        <w:t>standards</w:t>
      </w:r>
      <w:r w:rsidR="00D23ECC">
        <w:t xml:space="preserve"> </w:t>
      </w:r>
      <w:r>
        <w:t>and</w:t>
      </w:r>
      <w:r w:rsidR="00D23ECC">
        <w:t xml:space="preserve"> </w:t>
      </w:r>
      <w:r>
        <w:t>the</w:t>
      </w:r>
      <w:r w:rsidR="00D23ECC">
        <w:t xml:space="preserve"> </w:t>
      </w:r>
      <w:r>
        <w:t>rise</w:t>
      </w:r>
      <w:r w:rsidR="00D23ECC">
        <w:t xml:space="preserve"> </w:t>
      </w:r>
      <w:r>
        <w:t>of</w:t>
      </w:r>
      <w:r w:rsidR="00D23ECC">
        <w:t xml:space="preserve"> </w:t>
      </w:r>
      <w:r>
        <w:t>hand</w:t>
      </w:r>
      <w:r w:rsidR="00D23ECC">
        <w:t xml:space="preserve"> </w:t>
      </w:r>
      <w:r>
        <w:t>sanitiser</w:t>
      </w:r>
      <w:r w:rsidR="00D23ECC">
        <w:t xml:space="preserve"> </w:t>
      </w:r>
      <w:r>
        <w:t>products</w:t>
      </w:r>
      <w:r w:rsidR="00D23ECC">
        <w:t xml:space="preserve"> </w:t>
      </w:r>
      <w:r>
        <w:t>on</w:t>
      </w:r>
      <w:r w:rsidR="00D23ECC">
        <w:t xml:space="preserve"> </w:t>
      </w:r>
      <w:r>
        <w:t>the</w:t>
      </w:r>
      <w:r w:rsidR="00D23ECC">
        <w:t xml:space="preserve"> </w:t>
      </w:r>
      <w:r>
        <w:t>market,</w:t>
      </w:r>
      <w:r w:rsidR="00D23ECC">
        <w:t xml:space="preserve"> </w:t>
      </w:r>
      <w:r>
        <w:t>we</w:t>
      </w:r>
      <w:r w:rsidR="00D23ECC">
        <w:t xml:space="preserve"> </w:t>
      </w:r>
      <w:r>
        <w:t>took</w:t>
      </w:r>
      <w:r w:rsidR="00D23ECC">
        <w:t xml:space="preserve"> </w:t>
      </w:r>
      <w:r>
        <w:t>steps</w:t>
      </w:r>
      <w:r w:rsidR="00D23ECC">
        <w:t xml:space="preserve"> </w:t>
      </w:r>
      <w:r>
        <w:t>to</w:t>
      </w:r>
      <w:r w:rsidR="00D23ECC">
        <w:t xml:space="preserve"> </w:t>
      </w:r>
      <w:r>
        <w:t>alert</w:t>
      </w:r>
      <w:r w:rsidR="00D23ECC">
        <w:t xml:space="preserve"> </w:t>
      </w:r>
      <w:r>
        <w:t>consumers</w:t>
      </w:r>
      <w:r w:rsidR="00D23ECC">
        <w:t xml:space="preserve"> </w:t>
      </w:r>
      <w:r>
        <w:t>about</w:t>
      </w:r>
      <w:r w:rsidR="00D23ECC">
        <w:t xml:space="preserve"> </w:t>
      </w:r>
      <w:r>
        <w:t>potential</w:t>
      </w:r>
      <w:r w:rsidR="00D23ECC">
        <w:t xml:space="preserve"> </w:t>
      </w:r>
      <w:r>
        <w:t>hazards</w:t>
      </w:r>
      <w:r w:rsidR="00D23ECC">
        <w:t xml:space="preserve"> </w:t>
      </w:r>
      <w:r>
        <w:t>of</w:t>
      </w:r>
      <w:r w:rsidR="00D23ECC">
        <w:t xml:space="preserve"> </w:t>
      </w:r>
      <w:r>
        <w:t>these</w:t>
      </w:r>
      <w:r w:rsidR="00D23ECC">
        <w:t xml:space="preserve"> </w:t>
      </w:r>
      <w:r>
        <w:t>products</w:t>
      </w:r>
      <w:r w:rsidR="00D23ECC">
        <w:t xml:space="preserve"> </w:t>
      </w:r>
      <w:r>
        <w:t>by</w:t>
      </w:r>
      <w:r w:rsidR="00D23ECC">
        <w:t xml:space="preserve"> </w:t>
      </w:r>
      <w:r>
        <w:t>posting</w:t>
      </w:r>
      <w:r w:rsidR="00D23ECC">
        <w:t xml:space="preserve"> </w:t>
      </w:r>
      <w:r>
        <w:t>on</w:t>
      </w:r>
      <w:r w:rsidR="00D23ECC">
        <w:t xml:space="preserve"> </w:t>
      </w:r>
      <w:r>
        <w:t>social</w:t>
      </w:r>
      <w:r w:rsidR="00D23ECC">
        <w:t xml:space="preserve"> </w:t>
      </w:r>
      <w:r>
        <w:t>media.</w:t>
      </w:r>
    </w:p>
    <w:p w14:paraId="5AC6D1FD" w14:textId="7074B043" w:rsidR="00DE3B0D" w:rsidRDefault="00DE3B0D" w:rsidP="00AE374E">
      <w:pPr>
        <w:pStyle w:val="Heading4"/>
      </w:pPr>
      <w:r>
        <w:rPr>
          <w:color w:val="000000"/>
        </w:rPr>
        <w:t>Funded</w:t>
      </w:r>
      <w:r w:rsidR="00D23ECC">
        <w:rPr>
          <w:color w:val="000000"/>
        </w:rPr>
        <w:t xml:space="preserve"> </w:t>
      </w:r>
      <w:r>
        <w:rPr>
          <w:color w:val="000000"/>
        </w:rPr>
        <w:t>Community</w:t>
      </w:r>
      <w:r w:rsidR="00D23ECC">
        <w:rPr>
          <w:color w:val="000000"/>
        </w:rPr>
        <w:t xml:space="preserve"> </w:t>
      </w:r>
      <w:r>
        <w:rPr>
          <w:color w:val="000000"/>
        </w:rPr>
        <w:t>Services</w:t>
      </w:r>
    </w:p>
    <w:p w14:paraId="1872CE20" w14:textId="11D428D7" w:rsidR="00DE3B0D" w:rsidRDefault="00DE3B0D" w:rsidP="00D23ECC">
      <w:pPr>
        <w:pStyle w:val="BodyText"/>
      </w:pPr>
      <w:r>
        <w:t>CAV</w:t>
      </w:r>
      <w:r w:rsidR="00D23ECC">
        <w:t xml:space="preserve"> </w:t>
      </w:r>
      <w:r>
        <w:t>continued</w:t>
      </w:r>
      <w:r w:rsidR="00D23ECC">
        <w:t xml:space="preserve"> </w:t>
      </w:r>
      <w:r>
        <w:t>to</w:t>
      </w:r>
      <w:r w:rsidR="00D23ECC">
        <w:t xml:space="preserve"> </w:t>
      </w:r>
      <w:r>
        <w:t>provide</w:t>
      </w:r>
      <w:r w:rsidR="00D23ECC">
        <w:t xml:space="preserve"> </w:t>
      </w:r>
      <w:r>
        <w:t>a</w:t>
      </w:r>
      <w:r w:rsidR="00D23ECC">
        <w:t xml:space="preserve"> </w:t>
      </w:r>
      <w:r>
        <w:t>range</w:t>
      </w:r>
      <w:r w:rsidR="00D23ECC">
        <w:t xml:space="preserve"> </w:t>
      </w:r>
      <w:r>
        <w:t>of</w:t>
      </w:r>
      <w:r w:rsidR="00D23ECC">
        <w:t xml:space="preserve"> </w:t>
      </w:r>
      <w:r>
        <w:t>funded</w:t>
      </w:r>
      <w:r w:rsidR="00D23ECC">
        <w:t xml:space="preserve"> </w:t>
      </w:r>
      <w:r>
        <w:t>community</w:t>
      </w:r>
      <w:r w:rsidR="00D23ECC">
        <w:t xml:space="preserve"> </w:t>
      </w:r>
      <w:r>
        <w:t>services</w:t>
      </w:r>
      <w:r w:rsidR="00D23ECC">
        <w:t xml:space="preserve"> </w:t>
      </w:r>
      <w:r>
        <w:t>throughout</w:t>
      </w:r>
      <w:r w:rsidR="00D23ECC">
        <w:t xml:space="preserve"> </w:t>
      </w:r>
      <w:r>
        <w:t>the</w:t>
      </w:r>
      <w:r w:rsidR="00D23ECC">
        <w:t xml:space="preserve"> </w:t>
      </w:r>
      <w:r>
        <w:t>year</w:t>
      </w:r>
      <w:r w:rsidR="00D23ECC">
        <w:t xml:space="preserve"> </w:t>
      </w:r>
      <w:r>
        <w:t>to</w:t>
      </w:r>
      <w:r w:rsidR="00D23ECC">
        <w:t xml:space="preserve"> </w:t>
      </w:r>
      <w:r>
        <w:t>support</w:t>
      </w:r>
      <w:r w:rsidR="00D23ECC">
        <w:t xml:space="preserve"> </w:t>
      </w:r>
      <w:r>
        <w:t>vulnerable</w:t>
      </w:r>
      <w:r w:rsidR="00D23ECC">
        <w:t xml:space="preserve"> </w:t>
      </w:r>
      <w:r>
        <w:t>and</w:t>
      </w:r>
      <w:r w:rsidR="00D23ECC">
        <w:t xml:space="preserve"> </w:t>
      </w:r>
      <w:r>
        <w:t>disadvantaged</w:t>
      </w:r>
      <w:r w:rsidR="00D23ECC">
        <w:t xml:space="preserve"> </w:t>
      </w:r>
      <w:r>
        <w:t>consumers,</w:t>
      </w:r>
      <w:r w:rsidR="00D23ECC">
        <w:t xml:space="preserve"> </w:t>
      </w:r>
      <w:r>
        <w:t>including</w:t>
      </w:r>
      <w:r w:rsidR="00D23ECC">
        <w:t xml:space="preserve"> </w:t>
      </w:r>
      <w:r>
        <w:t>through</w:t>
      </w:r>
      <w:r w:rsidR="00D23ECC">
        <w:t xml:space="preserve"> </w:t>
      </w:r>
      <w:r>
        <w:t>the</w:t>
      </w:r>
      <w:r w:rsidR="00D23ECC">
        <w:t xml:space="preserve"> </w:t>
      </w:r>
      <w:r>
        <w:t>Financial</w:t>
      </w:r>
      <w:r w:rsidR="00D23ECC">
        <w:t xml:space="preserve"> </w:t>
      </w:r>
      <w:r>
        <w:t>Counselling</w:t>
      </w:r>
      <w:r w:rsidR="00D23ECC">
        <w:t xml:space="preserve"> </w:t>
      </w:r>
      <w:r>
        <w:t>Program,</w:t>
      </w:r>
      <w:r w:rsidR="00D23ECC">
        <w:t xml:space="preserve"> </w:t>
      </w:r>
      <w:r>
        <w:t>the</w:t>
      </w:r>
      <w:r w:rsidR="002F22DF">
        <w:t> </w:t>
      </w:r>
      <w:r>
        <w:t>Consumer</w:t>
      </w:r>
      <w:r w:rsidR="00D23ECC">
        <w:t xml:space="preserve"> </w:t>
      </w:r>
      <w:r>
        <w:t>Assistance</w:t>
      </w:r>
      <w:r w:rsidR="00D23ECC">
        <w:t xml:space="preserve"> </w:t>
      </w:r>
      <w:r>
        <w:t>and</w:t>
      </w:r>
      <w:r w:rsidR="00D23ECC">
        <w:t xml:space="preserve"> </w:t>
      </w:r>
      <w:r>
        <w:t>Advocacy</w:t>
      </w:r>
      <w:r w:rsidR="00D23ECC">
        <w:t xml:space="preserve"> </w:t>
      </w:r>
      <w:r>
        <w:t>Program</w:t>
      </w:r>
      <w:r w:rsidR="00D23ECC">
        <w:t xml:space="preserve"> </w:t>
      </w:r>
      <w:r>
        <w:t>and</w:t>
      </w:r>
      <w:r w:rsidR="00D23ECC">
        <w:t xml:space="preserve"> </w:t>
      </w:r>
      <w:r>
        <w:t>the</w:t>
      </w:r>
      <w:r w:rsidR="00D23ECC">
        <w:t xml:space="preserve"> </w:t>
      </w:r>
      <w:r>
        <w:t>Domestic</w:t>
      </w:r>
      <w:r w:rsidR="00D23ECC">
        <w:t xml:space="preserve"> </w:t>
      </w:r>
      <w:r>
        <w:t>Building</w:t>
      </w:r>
      <w:r w:rsidR="00D23ECC">
        <w:t xml:space="preserve"> </w:t>
      </w:r>
      <w:r>
        <w:t>Legal</w:t>
      </w:r>
      <w:r w:rsidR="00D23ECC">
        <w:t xml:space="preserve"> </w:t>
      </w:r>
      <w:r>
        <w:t>Service.</w:t>
      </w:r>
    </w:p>
    <w:p w14:paraId="075A54BB" w14:textId="5768B858" w:rsidR="00DE3B0D" w:rsidRDefault="00DE3B0D" w:rsidP="00D23ECC">
      <w:pPr>
        <w:pStyle w:val="BodyText"/>
      </w:pPr>
      <w:r>
        <w:t>The</w:t>
      </w:r>
      <w:r w:rsidR="00D23ECC">
        <w:t xml:space="preserve"> </w:t>
      </w:r>
      <w:r>
        <w:t>Financial</w:t>
      </w:r>
      <w:r w:rsidR="00D23ECC">
        <w:t xml:space="preserve"> </w:t>
      </w:r>
      <w:r>
        <w:t>Counselling</w:t>
      </w:r>
      <w:r w:rsidR="00D23ECC">
        <w:t xml:space="preserve"> </w:t>
      </w:r>
      <w:r>
        <w:t>Program</w:t>
      </w:r>
      <w:r w:rsidR="00D23ECC">
        <w:t xml:space="preserve"> </w:t>
      </w:r>
      <w:r>
        <w:t>supported</w:t>
      </w:r>
      <w:r w:rsidR="00D23ECC">
        <w:t xml:space="preserve"> </w:t>
      </w:r>
      <w:r>
        <w:t>more</w:t>
      </w:r>
      <w:r w:rsidR="00D23ECC">
        <w:t xml:space="preserve"> </w:t>
      </w:r>
      <w:r>
        <w:t>than</w:t>
      </w:r>
      <w:r w:rsidR="00D23ECC">
        <w:t xml:space="preserve"> </w:t>
      </w:r>
      <w:r>
        <w:t>20,000</w:t>
      </w:r>
      <w:r w:rsidR="00D23ECC">
        <w:t xml:space="preserve"> </w:t>
      </w:r>
      <w:r>
        <w:t>Victorians</w:t>
      </w:r>
      <w:r w:rsidR="00D23ECC">
        <w:t xml:space="preserve"> </w:t>
      </w:r>
      <w:r>
        <w:t>with</w:t>
      </w:r>
      <w:r w:rsidR="00D23ECC">
        <w:t xml:space="preserve"> </w:t>
      </w:r>
      <w:r>
        <w:t>free</w:t>
      </w:r>
      <w:r w:rsidR="00D23ECC">
        <w:t xml:space="preserve"> </w:t>
      </w:r>
      <w:r>
        <w:t>and</w:t>
      </w:r>
      <w:r w:rsidR="00D23ECC">
        <w:t xml:space="preserve"> </w:t>
      </w:r>
      <w:r>
        <w:t>independent</w:t>
      </w:r>
      <w:r w:rsidR="00D23ECC">
        <w:t xml:space="preserve"> </w:t>
      </w:r>
      <w:r>
        <w:t>financial</w:t>
      </w:r>
      <w:r w:rsidR="00D23ECC">
        <w:t xml:space="preserve"> </w:t>
      </w:r>
      <w:r>
        <w:t>counselling</w:t>
      </w:r>
      <w:r w:rsidR="00D23ECC">
        <w:t xml:space="preserve"> </w:t>
      </w:r>
      <w:r>
        <w:t>sessions</w:t>
      </w:r>
      <w:r w:rsidR="00D23ECC">
        <w:t xml:space="preserve"> </w:t>
      </w:r>
      <w:r>
        <w:t>held</w:t>
      </w:r>
      <w:r w:rsidR="00D23ECC">
        <w:t xml:space="preserve"> </w:t>
      </w:r>
      <w:r>
        <w:t>by</w:t>
      </w:r>
      <w:r w:rsidR="00D23ECC">
        <w:t xml:space="preserve"> </w:t>
      </w:r>
      <w:r>
        <w:t>community</w:t>
      </w:r>
      <w:r w:rsidR="00D23ECC">
        <w:t xml:space="preserve"> </w:t>
      </w:r>
      <w:r>
        <w:t>agencies</w:t>
      </w:r>
      <w:r w:rsidR="00D23ECC">
        <w:t xml:space="preserve"> </w:t>
      </w:r>
      <w:r>
        <w:t>across</w:t>
      </w:r>
      <w:r w:rsidR="00D23ECC">
        <w:t xml:space="preserve"> </w:t>
      </w:r>
      <w:r>
        <w:t>Victoria</w:t>
      </w:r>
      <w:r w:rsidR="00D23ECC">
        <w:t xml:space="preserve"> </w:t>
      </w:r>
      <w:r>
        <w:t>in</w:t>
      </w:r>
      <w:r w:rsidR="00D23ECC">
        <w:t xml:space="preserve"> </w:t>
      </w:r>
      <w:r>
        <w:t>2020–21.</w:t>
      </w:r>
    </w:p>
    <w:p w14:paraId="2F7138C4" w14:textId="71785E41" w:rsidR="00DE3B0D" w:rsidRDefault="00DE3B0D" w:rsidP="00D23ECC">
      <w:pPr>
        <w:pStyle w:val="BodyText"/>
      </w:pPr>
      <w:r>
        <w:t>In</w:t>
      </w:r>
      <w:r w:rsidR="00D23ECC">
        <w:t xml:space="preserve"> </w:t>
      </w:r>
      <w:r>
        <w:t>these</w:t>
      </w:r>
      <w:r w:rsidR="00D23ECC">
        <w:t xml:space="preserve"> </w:t>
      </w:r>
      <w:r>
        <w:t>sessions,</w:t>
      </w:r>
      <w:r w:rsidR="00D23ECC">
        <w:t xml:space="preserve"> </w:t>
      </w:r>
      <w:r>
        <w:t>trained</w:t>
      </w:r>
      <w:r w:rsidR="00D23ECC">
        <w:t xml:space="preserve"> </w:t>
      </w:r>
      <w:r>
        <w:t>financial</w:t>
      </w:r>
      <w:r w:rsidR="00D23ECC">
        <w:t xml:space="preserve"> </w:t>
      </w:r>
      <w:r>
        <w:t>counsellors</w:t>
      </w:r>
      <w:r w:rsidR="00D23ECC">
        <w:t xml:space="preserve"> </w:t>
      </w:r>
      <w:r>
        <w:t>provided</w:t>
      </w:r>
      <w:r w:rsidR="00D23ECC">
        <w:t xml:space="preserve"> </w:t>
      </w:r>
      <w:r>
        <w:t>consumers</w:t>
      </w:r>
      <w:r w:rsidR="00D23ECC">
        <w:t xml:space="preserve"> </w:t>
      </w:r>
      <w:r>
        <w:t>with</w:t>
      </w:r>
      <w:r w:rsidR="00D23ECC">
        <w:t xml:space="preserve"> </w:t>
      </w:r>
      <w:r>
        <w:t>advice</w:t>
      </w:r>
      <w:r w:rsidR="00D23ECC">
        <w:t xml:space="preserve"> </w:t>
      </w:r>
      <w:r>
        <w:t>about</w:t>
      </w:r>
      <w:r w:rsidR="00D23ECC">
        <w:t xml:space="preserve"> </w:t>
      </w:r>
      <w:r>
        <w:t>rights</w:t>
      </w:r>
      <w:r w:rsidR="00D23ECC">
        <w:t xml:space="preserve"> </w:t>
      </w:r>
      <w:r>
        <w:t>and</w:t>
      </w:r>
      <w:r w:rsidR="00D23ECC">
        <w:t xml:space="preserve"> </w:t>
      </w:r>
      <w:r>
        <w:t>responsibilities,</w:t>
      </w:r>
      <w:r w:rsidR="00D23ECC">
        <w:t xml:space="preserve"> </w:t>
      </w:r>
      <w:r>
        <w:t>support</w:t>
      </w:r>
      <w:r w:rsidR="00D23ECC">
        <w:t xml:space="preserve"> </w:t>
      </w:r>
      <w:r>
        <w:t>in</w:t>
      </w:r>
      <w:r w:rsidR="00D23ECC">
        <w:t xml:space="preserve"> </w:t>
      </w:r>
      <w:r>
        <w:t>negotiating</w:t>
      </w:r>
      <w:r w:rsidR="00D23ECC">
        <w:t xml:space="preserve"> </w:t>
      </w:r>
      <w:r>
        <w:t>with</w:t>
      </w:r>
      <w:r w:rsidR="00D23ECC">
        <w:t xml:space="preserve"> </w:t>
      </w:r>
      <w:r>
        <w:t>creditors</w:t>
      </w:r>
      <w:r w:rsidR="00D23ECC">
        <w:t xml:space="preserve"> </w:t>
      </w:r>
      <w:r>
        <w:t>and</w:t>
      </w:r>
      <w:r w:rsidR="00D23ECC">
        <w:t xml:space="preserve"> </w:t>
      </w:r>
      <w:r>
        <w:t>advice</w:t>
      </w:r>
      <w:r w:rsidR="00D23ECC">
        <w:t xml:space="preserve"> </w:t>
      </w:r>
      <w:r>
        <w:t>on</w:t>
      </w:r>
      <w:r w:rsidR="00D23ECC">
        <w:t xml:space="preserve"> </w:t>
      </w:r>
      <w:r>
        <w:t>how</w:t>
      </w:r>
      <w:r w:rsidR="00D23ECC">
        <w:t xml:space="preserve"> </w:t>
      </w:r>
      <w:r>
        <w:t>to</w:t>
      </w:r>
      <w:r w:rsidR="00D23ECC">
        <w:t xml:space="preserve"> </w:t>
      </w:r>
      <w:r>
        <w:t>make</w:t>
      </w:r>
      <w:r w:rsidR="00D23ECC">
        <w:t xml:space="preserve"> </w:t>
      </w:r>
      <w:r>
        <w:t>payment</w:t>
      </w:r>
      <w:r w:rsidR="00D23ECC">
        <w:t xml:space="preserve"> </w:t>
      </w:r>
      <w:r>
        <w:t>plans</w:t>
      </w:r>
      <w:r w:rsidR="00D23ECC">
        <w:t xml:space="preserve"> </w:t>
      </w:r>
      <w:r>
        <w:t>for</w:t>
      </w:r>
      <w:r w:rsidR="00D23ECC">
        <w:t xml:space="preserve"> </w:t>
      </w:r>
      <w:r>
        <w:t>debts.</w:t>
      </w:r>
      <w:r w:rsidR="00D23ECC">
        <w:t xml:space="preserve"> </w:t>
      </w:r>
      <w:r>
        <w:t>As</w:t>
      </w:r>
      <w:r w:rsidR="00D23ECC">
        <w:t xml:space="preserve"> </w:t>
      </w:r>
      <w:r>
        <w:t>a</w:t>
      </w:r>
      <w:r w:rsidR="00D23ECC">
        <w:t xml:space="preserve"> </w:t>
      </w:r>
      <w:r>
        <w:t>part</w:t>
      </w:r>
      <w:r w:rsidR="00D23ECC">
        <w:t xml:space="preserve"> </w:t>
      </w:r>
      <w:r>
        <w:t>of</w:t>
      </w:r>
      <w:r w:rsidR="00D23ECC">
        <w:t xml:space="preserve"> </w:t>
      </w:r>
      <w:r>
        <w:t>this</w:t>
      </w:r>
      <w:r w:rsidR="00D23ECC">
        <w:t xml:space="preserve"> </w:t>
      </w:r>
      <w:r>
        <w:t>program,</w:t>
      </w:r>
      <w:r w:rsidR="00D23ECC">
        <w:t xml:space="preserve"> </w:t>
      </w:r>
      <w:r>
        <w:t>specialist</w:t>
      </w:r>
      <w:r w:rsidR="00D23ECC">
        <w:t xml:space="preserve"> </w:t>
      </w:r>
      <w:r>
        <w:t>financial</w:t>
      </w:r>
      <w:r w:rsidR="00D23ECC">
        <w:t xml:space="preserve"> </w:t>
      </w:r>
      <w:r>
        <w:t>counselling</w:t>
      </w:r>
      <w:r w:rsidR="00D23ECC">
        <w:t xml:space="preserve"> </w:t>
      </w:r>
      <w:r>
        <w:t>services</w:t>
      </w:r>
      <w:r w:rsidR="00D23ECC">
        <w:t xml:space="preserve"> </w:t>
      </w:r>
      <w:r>
        <w:t>were</w:t>
      </w:r>
      <w:r w:rsidR="00D23ECC">
        <w:t xml:space="preserve"> </w:t>
      </w:r>
      <w:r>
        <w:t>offered</w:t>
      </w:r>
      <w:r w:rsidR="00D23ECC">
        <w:t xml:space="preserve"> </w:t>
      </w:r>
      <w:r>
        <w:t>to</w:t>
      </w:r>
      <w:r w:rsidR="00D23ECC">
        <w:t xml:space="preserve"> </w:t>
      </w:r>
      <w:r>
        <w:t>more</w:t>
      </w:r>
      <w:r w:rsidR="00D23ECC">
        <w:t xml:space="preserve"> </w:t>
      </w:r>
      <w:r>
        <w:t>than</w:t>
      </w:r>
      <w:r w:rsidR="00D23ECC">
        <w:t xml:space="preserve"> </w:t>
      </w:r>
      <w:r>
        <w:t>3,100</w:t>
      </w:r>
      <w:r w:rsidR="00D23ECC">
        <w:t xml:space="preserve"> </w:t>
      </w:r>
      <w:r>
        <w:t>Victorians</w:t>
      </w:r>
      <w:r w:rsidR="00D23ECC">
        <w:t xml:space="preserve"> </w:t>
      </w:r>
      <w:r>
        <w:t>experiencing</w:t>
      </w:r>
      <w:r w:rsidR="00D23ECC">
        <w:t xml:space="preserve"> </w:t>
      </w:r>
      <w:r>
        <w:t>family</w:t>
      </w:r>
      <w:r w:rsidR="00D23ECC">
        <w:t xml:space="preserve"> </w:t>
      </w:r>
      <w:r>
        <w:t>violence.</w:t>
      </w:r>
    </w:p>
    <w:p w14:paraId="21CA8644" w14:textId="77777777" w:rsidR="002F22DF" w:rsidRPr="002F22DF" w:rsidRDefault="002F22DF" w:rsidP="002F22DF">
      <w:pPr>
        <w:pStyle w:val="BodyText"/>
      </w:pPr>
      <w:r w:rsidRPr="002F22DF">
        <w:br w:type="page"/>
      </w:r>
    </w:p>
    <w:p w14:paraId="259B7ED6" w14:textId="132F89EA" w:rsidR="00DE3B0D" w:rsidRDefault="00DE3B0D" w:rsidP="00D23ECC">
      <w:pPr>
        <w:pStyle w:val="BodyText"/>
      </w:pPr>
      <w:r>
        <w:lastRenderedPageBreak/>
        <w:t>The</w:t>
      </w:r>
      <w:r w:rsidR="00D23ECC">
        <w:t xml:space="preserve"> </w:t>
      </w:r>
      <w:r>
        <w:t>Victorian</w:t>
      </w:r>
      <w:r w:rsidR="00D23ECC">
        <w:t xml:space="preserve"> </w:t>
      </w:r>
      <w:r>
        <w:t>Government</w:t>
      </w:r>
      <w:r w:rsidR="00D23ECC">
        <w:t xml:space="preserve"> </w:t>
      </w:r>
      <w:r>
        <w:t>provided</w:t>
      </w:r>
      <w:r w:rsidR="00D23ECC">
        <w:t xml:space="preserve"> </w:t>
      </w:r>
      <w:r>
        <w:t>additional</w:t>
      </w:r>
      <w:r w:rsidR="00D23ECC">
        <w:t xml:space="preserve"> </w:t>
      </w:r>
      <w:r>
        <w:t>funding</w:t>
      </w:r>
      <w:r w:rsidR="00D23ECC">
        <w:t xml:space="preserve"> </w:t>
      </w:r>
      <w:r>
        <w:t>for</w:t>
      </w:r>
      <w:r w:rsidR="00D23ECC">
        <w:t xml:space="preserve"> </w:t>
      </w:r>
      <w:r>
        <w:t>financial</w:t>
      </w:r>
      <w:r w:rsidR="00D23ECC">
        <w:t xml:space="preserve"> </w:t>
      </w:r>
      <w:r>
        <w:t>counselling</w:t>
      </w:r>
      <w:r w:rsidR="00D23ECC">
        <w:t xml:space="preserve"> </w:t>
      </w:r>
      <w:r>
        <w:t>services</w:t>
      </w:r>
      <w:r w:rsidR="00D23ECC">
        <w:t xml:space="preserve"> </w:t>
      </w:r>
      <w:r>
        <w:t>to</w:t>
      </w:r>
      <w:r w:rsidR="00D23ECC">
        <w:t xml:space="preserve"> </w:t>
      </w:r>
      <w:r>
        <w:t>support</w:t>
      </w:r>
      <w:r w:rsidR="00D23ECC">
        <w:t xml:space="preserve"> </w:t>
      </w:r>
      <w:r>
        <w:t>Victorians</w:t>
      </w:r>
      <w:r w:rsidR="00D23ECC">
        <w:t xml:space="preserve"> </w:t>
      </w:r>
      <w:r>
        <w:t>experiencing</w:t>
      </w:r>
      <w:r w:rsidR="00D23ECC">
        <w:t xml:space="preserve"> </w:t>
      </w:r>
      <w:r>
        <w:t>financial</w:t>
      </w:r>
      <w:r w:rsidR="00D23ECC">
        <w:t xml:space="preserve"> </w:t>
      </w:r>
      <w:r>
        <w:t>distress,</w:t>
      </w:r>
      <w:r w:rsidR="00D23ECC">
        <w:t xml:space="preserve"> </w:t>
      </w:r>
      <w:r>
        <w:t>including</w:t>
      </w:r>
      <w:r w:rsidR="00D23ECC">
        <w:t xml:space="preserve"> </w:t>
      </w:r>
      <w:r>
        <w:t>energy</w:t>
      </w:r>
      <w:r w:rsidR="00D23ECC">
        <w:t xml:space="preserve"> </w:t>
      </w:r>
      <w:r>
        <w:t>hardship</w:t>
      </w:r>
      <w:r w:rsidR="00D23ECC">
        <w:t xml:space="preserve"> </w:t>
      </w:r>
      <w:r>
        <w:t>and</w:t>
      </w:r>
      <w:r w:rsidR="00D23ECC">
        <w:t xml:space="preserve"> </w:t>
      </w:r>
      <w:r>
        <w:t>services</w:t>
      </w:r>
      <w:r w:rsidR="00D23ECC">
        <w:t xml:space="preserve"> </w:t>
      </w:r>
      <w:r>
        <w:t>for</w:t>
      </w:r>
      <w:r w:rsidR="00D23ECC">
        <w:t xml:space="preserve"> </w:t>
      </w:r>
      <w:r>
        <w:t>Victorians</w:t>
      </w:r>
      <w:r w:rsidR="00D23ECC">
        <w:t xml:space="preserve"> </w:t>
      </w:r>
      <w:r>
        <w:t>affected</w:t>
      </w:r>
      <w:r w:rsidR="00D23ECC">
        <w:t xml:space="preserve"> </w:t>
      </w:r>
      <w:r>
        <w:t>by</w:t>
      </w:r>
      <w:r w:rsidR="00D23ECC">
        <w:t xml:space="preserve"> </w:t>
      </w:r>
      <w:r>
        <w:t>bushfires</w:t>
      </w:r>
      <w:r w:rsidR="00D23ECC">
        <w:t xml:space="preserve"> </w:t>
      </w:r>
      <w:r>
        <w:t>in</w:t>
      </w:r>
      <w:r w:rsidR="00D23ECC">
        <w:t xml:space="preserve"> </w:t>
      </w:r>
      <w:r>
        <w:t>East</w:t>
      </w:r>
      <w:r w:rsidR="00D23ECC">
        <w:t xml:space="preserve"> </w:t>
      </w:r>
      <w:r>
        <w:t>Gippsland</w:t>
      </w:r>
      <w:r w:rsidR="00D23ECC">
        <w:t xml:space="preserve"> </w:t>
      </w:r>
      <w:r>
        <w:t>and</w:t>
      </w:r>
      <w:r w:rsidR="00D23ECC">
        <w:t xml:space="preserve"> </w:t>
      </w:r>
      <w:r>
        <w:t>the</w:t>
      </w:r>
      <w:r w:rsidR="00D23ECC">
        <w:t xml:space="preserve"> </w:t>
      </w:r>
      <w:r>
        <w:t>Northeast</w:t>
      </w:r>
      <w:r w:rsidR="00D23ECC">
        <w:t xml:space="preserve"> </w:t>
      </w:r>
      <w:r>
        <w:t>of</w:t>
      </w:r>
      <w:r w:rsidR="00D23ECC">
        <w:t xml:space="preserve"> </w:t>
      </w:r>
      <w:r>
        <w:t>the</w:t>
      </w:r>
      <w:r w:rsidR="00D23ECC">
        <w:t xml:space="preserve"> </w:t>
      </w:r>
      <w:r>
        <w:t>state.</w:t>
      </w:r>
      <w:r w:rsidR="00D23ECC">
        <w:t xml:space="preserve"> </w:t>
      </w:r>
      <w:r>
        <w:t>As</w:t>
      </w:r>
      <w:r w:rsidR="00D23ECC">
        <w:t xml:space="preserve"> </w:t>
      </w:r>
      <w:r>
        <w:t>part</w:t>
      </w:r>
      <w:r w:rsidR="00D23ECC">
        <w:t xml:space="preserve"> </w:t>
      </w:r>
      <w:r>
        <w:t>of</w:t>
      </w:r>
      <w:r w:rsidR="00D23ECC">
        <w:t xml:space="preserve"> </w:t>
      </w:r>
      <w:r>
        <w:t>a</w:t>
      </w:r>
      <w:r w:rsidR="00D23ECC">
        <w:t xml:space="preserve"> </w:t>
      </w:r>
      <w:r>
        <w:t>broader</w:t>
      </w:r>
      <w:r w:rsidR="00D23ECC">
        <w:t xml:space="preserve"> </w:t>
      </w:r>
      <w:r>
        <w:t>package</w:t>
      </w:r>
      <w:r w:rsidR="00D23ECC">
        <w:t xml:space="preserve"> </w:t>
      </w:r>
      <w:r>
        <w:t>of</w:t>
      </w:r>
      <w:r w:rsidR="00D23ECC">
        <w:t xml:space="preserve"> </w:t>
      </w:r>
      <w:r>
        <w:t>responses</w:t>
      </w:r>
      <w:r w:rsidR="00D23ECC">
        <w:t xml:space="preserve"> </w:t>
      </w:r>
      <w:r>
        <w:t>to</w:t>
      </w:r>
      <w:r w:rsidR="00D23ECC">
        <w:t xml:space="preserve"> </w:t>
      </w:r>
      <w:r>
        <w:t>the</w:t>
      </w:r>
      <w:r w:rsidR="00D23ECC">
        <w:t xml:space="preserve"> </w:t>
      </w:r>
      <w:r>
        <w:t>COVID-19</w:t>
      </w:r>
      <w:r w:rsidR="00D23ECC">
        <w:t xml:space="preserve"> </w:t>
      </w:r>
      <w:r>
        <w:t>pandemic,</w:t>
      </w:r>
      <w:r w:rsidR="00D23ECC">
        <w:t xml:space="preserve"> </w:t>
      </w:r>
      <w:r>
        <w:t>the</w:t>
      </w:r>
      <w:r w:rsidR="00D23ECC">
        <w:t xml:space="preserve"> </w:t>
      </w:r>
      <w:r>
        <w:t>Victorian</w:t>
      </w:r>
      <w:r w:rsidR="00D23ECC">
        <w:t xml:space="preserve"> </w:t>
      </w:r>
      <w:r>
        <w:t>Government</w:t>
      </w:r>
      <w:r w:rsidR="00D23ECC">
        <w:t xml:space="preserve"> </w:t>
      </w:r>
      <w:r>
        <w:t>also</w:t>
      </w:r>
      <w:r w:rsidR="00D23ECC">
        <w:t xml:space="preserve"> </w:t>
      </w:r>
      <w:r>
        <w:t>provided</w:t>
      </w:r>
      <w:r w:rsidR="00D23ECC">
        <w:t xml:space="preserve"> </w:t>
      </w:r>
      <w:r>
        <w:t>additional</w:t>
      </w:r>
      <w:r w:rsidR="00D23ECC">
        <w:t xml:space="preserve"> </w:t>
      </w:r>
      <w:r>
        <w:t>funding</w:t>
      </w:r>
      <w:r w:rsidR="00D23ECC">
        <w:t xml:space="preserve"> </w:t>
      </w:r>
      <w:r>
        <w:t>to</w:t>
      </w:r>
      <w:r w:rsidR="00D23ECC">
        <w:t xml:space="preserve"> </w:t>
      </w:r>
      <w:r>
        <w:t>support</w:t>
      </w:r>
      <w:r w:rsidR="00D23ECC">
        <w:t xml:space="preserve"> </w:t>
      </w:r>
      <w:r>
        <w:t>the</w:t>
      </w:r>
      <w:r w:rsidR="00D23ECC">
        <w:t xml:space="preserve"> </w:t>
      </w:r>
      <w:r>
        <w:t>development</w:t>
      </w:r>
      <w:r w:rsidR="00D23ECC">
        <w:t xml:space="preserve"> </w:t>
      </w:r>
      <w:r>
        <w:t>of</w:t>
      </w:r>
      <w:r w:rsidR="00D23ECC">
        <w:t xml:space="preserve"> </w:t>
      </w:r>
      <w:r>
        <w:t>training</w:t>
      </w:r>
      <w:r w:rsidR="00D23ECC">
        <w:t xml:space="preserve"> </w:t>
      </w:r>
      <w:r>
        <w:t>and</w:t>
      </w:r>
      <w:r w:rsidR="00D23ECC">
        <w:t xml:space="preserve"> </w:t>
      </w:r>
      <w:r>
        <w:t>awareness</w:t>
      </w:r>
      <w:r w:rsidR="00D23ECC">
        <w:t xml:space="preserve"> </w:t>
      </w:r>
      <w:r>
        <w:t>in</w:t>
      </w:r>
      <w:r w:rsidR="00D23ECC">
        <w:t xml:space="preserve"> </w:t>
      </w:r>
      <w:r>
        <w:t>mental</w:t>
      </w:r>
      <w:r w:rsidR="00D23ECC">
        <w:t xml:space="preserve"> </w:t>
      </w:r>
      <w:r>
        <w:t>health</w:t>
      </w:r>
      <w:r w:rsidR="00D23ECC">
        <w:t xml:space="preserve"> </w:t>
      </w:r>
      <w:r>
        <w:t>for</w:t>
      </w:r>
      <w:r w:rsidR="00D23ECC">
        <w:t xml:space="preserve"> </w:t>
      </w:r>
      <w:r>
        <w:t>financial</w:t>
      </w:r>
      <w:r w:rsidR="00D23ECC">
        <w:t xml:space="preserve"> </w:t>
      </w:r>
      <w:r>
        <w:t>counsellors</w:t>
      </w:r>
      <w:r w:rsidR="00D23ECC">
        <w:t xml:space="preserve"> </w:t>
      </w:r>
      <w:r>
        <w:t>and</w:t>
      </w:r>
      <w:r w:rsidR="00D23ECC">
        <w:t xml:space="preserve"> </w:t>
      </w:r>
      <w:r>
        <w:t>the</w:t>
      </w:r>
      <w:r w:rsidR="00D23ECC">
        <w:t xml:space="preserve"> </w:t>
      </w:r>
      <w:r>
        <w:t>improved</w:t>
      </w:r>
      <w:r w:rsidR="00D23ECC">
        <w:t xml:space="preserve"> </w:t>
      </w:r>
      <w:r>
        <w:t>integration</w:t>
      </w:r>
      <w:r w:rsidR="00D23ECC">
        <w:t xml:space="preserve"> </w:t>
      </w:r>
      <w:r>
        <w:t>between</w:t>
      </w:r>
      <w:r w:rsidR="00D23ECC">
        <w:t xml:space="preserve"> </w:t>
      </w:r>
      <w:r>
        <w:t>the</w:t>
      </w:r>
      <w:r w:rsidR="00D23ECC">
        <w:t xml:space="preserve"> </w:t>
      </w:r>
      <w:r>
        <w:t>mental</w:t>
      </w:r>
      <w:r w:rsidR="00D23ECC">
        <w:t xml:space="preserve"> </w:t>
      </w:r>
      <w:r>
        <w:t>health</w:t>
      </w:r>
      <w:r w:rsidR="00D23ECC">
        <w:t xml:space="preserve"> </w:t>
      </w:r>
      <w:r>
        <w:t>and</w:t>
      </w:r>
      <w:r w:rsidR="00D23ECC">
        <w:t xml:space="preserve"> </w:t>
      </w:r>
      <w:r>
        <w:t>financial</w:t>
      </w:r>
      <w:r w:rsidR="00D23ECC">
        <w:t xml:space="preserve"> </w:t>
      </w:r>
      <w:r>
        <w:t>counselling</w:t>
      </w:r>
      <w:r w:rsidR="00D23ECC">
        <w:t xml:space="preserve"> </w:t>
      </w:r>
      <w:r>
        <w:t>sectors.</w:t>
      </w:r>
      <w:r w:rsidR="00D23ECC">
        <w:t xml:space="preserve"> </w:t>
      </w:r>
      <w:r>
        <w:t>These</w:t>
      </w:r>
      <w:r w:rsidR="00D23ECC">
        <w:t xml:space="preserve"> </w:t>
      </w:r>
      <w:r>
        <w:t>additional</w:t>
      </w:r>
      <w:r w:rsidR="00D23ECC">
        <w:t xml:space="preserve"> </w:t>
      </w:r>
      <w:r>
        <w:t>services</w:t>
      </w:r>
      <w:r w:rsidR="00D23ECC">
        <w:t xml:space="preserve"> </w:t>
      </w:r>
      <w:r>
        <w:t>were</w:t>
      </w:r>
      <w:r w:rsidR="00D23ECC">
        <w:t xml:space="preserve"> </w:t>
      </w:r>
      <w:r>
        <w:t>delivered</w:t>
      </w:r>
      <w:r w:rsidR="00D23ECC">
        <w:t xml:space="preserve"> </w:t>
      </w:r>
      <w:r>
        <w:t>through</w:t>
      </w:r>
      <w:r w:rsidR="00D23ECC">
        <w:t xml:space="preserve"> </w:t>
      </w:r>
      <w:r>
        <w:t>the</w:t>
      </w:r>
      <w:r w:rsidR="00D23ECC">
        <w:t xml:space="preserve"> </w:t>
      </w:r>
      <w:r>
        <w:t>CAV</w:t>
      </w:r>
      <w:r w:rsidR="00D23ECC">
        <w:t xml:space="preserve"> </w:t>
      </w:r>
      <w:r>
        <w:t>Financial</w:t>
      </w:r>
      <w:r w:rsidR="00D23ECC">
        <w:t xml:space="preserve"> </w:t>
      </w:r>
      <w:r>
        <w:t>Counselling</w:t>
      </w:r>
      <w:r w:rsidR="00D23ECC">
        <w:t xml:space="preserve"> </w:t>
      </w:r>
      <w:r>
        <w:t>Program.</w:t>
      </w:r>
    </w:p>
    <w:p w14:paraId="595DA418" w14:textId="21787991" w:rsidR="00DE3B0D" w:rsidRDefault="00DE3B0D" w:rsidP="00D23ECC">
      <w:pPr>
        <w:pStyle w:val="BodyText"/>
      </w:pPr>
      <w:r>
        <w:t>While</w:t>
      </w:r>
      <w:r w:rsidR="00D23ECC">
        <w:t xml:space="preserve"> </w:t>
      </w:r>
      <w:r>
        <w:t>a</w:t>
      </w:r>
      <w:r w:rsidR="00D23ECC">
        <w:t xml:space="preserve"> </w:t>
      </w:r>
      <w:r>
        <w:t>significant</w:t>
      </w:r>
      <w:r w:rsidR="00D23ECC">
        <w:t xml:space="preserve"> </w:t>
      </w:r>
      <w:r>
        <w:t>number</w:t>
      </w:r>
      <w:r w:rsidR="00D23ECC">
        <w:t xml:space="preserve"> </w:t>
      </w:r>
      <w:r>
        <w:t>of</w:t>
      </w:r>
      <w:r w:rsidR="00D23ECC">
        <w:t xml:space="preserve"> </w:t>
      </w:r>
      <w:r>
        <w:t>Victorians</w:t>
      </w:r>
      <w:r w:rsidR="00D23ECC">
        <w:t xml:space="preserve"> </w:t>
      </w:r>
      <w:r>
        <w:t>were</w:t>
      </w:r>
      <w:r w:rsidR="00D23ECC">
        <w:t xml:space="preserve"> </w:t>
      </w:r>
      <w:r>
        <w:t>assisted</w:t>
      </w:r>
      <w:r w:rsidR="00D23ECC">
        <w:t xml:space="preserve"> </w:t>
      </w:r>
      <w:r>
        <w:t>with</w:t>
      </w:r>
      <w:r w:rsidR="00D23ECC">
        <w:t xml:space="preserve"> </w:t>
      </w:r>
      <w:r>
        <w:t>financial</w:t>
      </w:r>
      <w:r w:rsidR="00D23ECC">
        <w:t xml:space="preserve"> </w:t>
      </w:r>
      <w:r>
        <w:t>counselling</w:t>
      </w:r>
      <w:r w:rsidR="00D23ECC">
        <w:t xml:space="preserve"> </w:t>
      </w:r>
      <w:r>
        <w:t>services</w:t>
      </w:r>
      <w:r w:rsidR="00D23ECC">
        <w:t xml:space="preserve"> </w:t>
      </w:r>
      <w:r>
        <w:t>this</w:t>
      </w:r>
      <w:r w:rsidR="00D23ECC">
        <w:t xml:space="preserve"> </w:t>
      </w:r>
      <w:r>
        <w:t>past</w:t>
      </w:r>
      <w:r w:rsidR="00D23ECC">
        <w:t xml:space="preserve"> </w:t>
      </w:r>
      <w:r>
        <w:t>year,</w:t>
      </w:r>
      <w:r w:rsidR="00D23ECC">
        <w:t xml:space="preserve"> </w:t>
      </w:r>
      <w:r>
        <w:t>the</w:t>
      </w:r>
      <w:r w:rsidR="00D23ECC">
        <w:t xml:space="preserve"> </w:t>
      </w:r>
      <w:r>
        <w:t>overall</w:t>
      </w:r>
      <w:r w:rsidR="00D23ECC">
        <w:t xml:space="preserve"> </w:t>
      </w:r>
      <w:r>
        <w:t>number</w:t>
      </w:r>
      <w:r w:rsidR="00D23ECC">
        <w:t xml:space="preserve"> </w:t>
      </w:r>
      <w:r>
        <w:t>of</w:t>
      </w:r>
      <w:r w:rsidR="00D23ECC">
        <w:t xml:space="preserve"> </w:t>
      </w:r>
      <w:r>
        <w:t>clients</w:t>
      </w:r>
      <w:r w:rsidR="00D23ECC">
        <w:t xml:space="preserve"> </w:t>
      </w:r>
      <w:r>
        <w:t>supported</w:t>
      </w:r>
      <w:r w:rsidR="00D23ECC">
        <w:t xml:space="preserve"> </w:t>
      </w:r>
      <w:r>
        <w:t>was</w:t>
      </w:r>
      <w:r w:rsidR="00D23ECC">
        <w:t xml:space="preserve"> </w:t>
      </w:r>
      <w:r>
        <w:t>lower</w:t>
      </w:r>
      <w:r w:rsidR="00D23ECC">
        <w:t xml:space="preserve"> </w:t>
      </w:r>
      <w:r>
        <w:t>compared</w:t>
      </w:r>
      <w:r w:rsidR="00D23ECC">
        <w:t xml:space="preserve"> </w:t>
      </w:r>
      <w:r>
        <w:t>to</w:t>
      </w:r>
      <w:r w:rsidR="00D23ECC">
        <w:t xml:space="preserve"> </w:t>
      </w:r>
      <w:r>
        <w:t>the</w:t>
      </w:r>
      <w:r w:rsidR="00D23ECC">
        <w:t xml:space="preserve"> </w:t>
      </w:r>
      <w:r>
        <w:t>previous</w:t>
      </w:r>
      <w:r w:rsidR="00D23ECC">
        <w:t xml:space="preserve"> </w:t>
      </w:r>
      <w:r>
        <w:t>year.</w:t>
      </w:r>
      <w:r w:rsidR="00D23ECC">
        <w:t xml:space="preserve"> </w:t>
      </w:r>
      <w:r>
        <w:t>This</w:t>
      </w:r>
      <w:r w:rsidR="00D23ECC">
        <w:t xml:space="preserve"> </w:t>
      </w:r>
      <w:r>
        <w:t>was</w:t>
      </w:r>
      <w:r w:rsidR="00D23ECC">
        <w:t xml:space="preserve"> </w:t>
      </w:r>
      <w:r>
        <w:t>likely</w:t>
      </w:r>
      <w:r w:rsidR="002F22DF">
        <w:t> </w:t>
      </w:r>
      <w:r>
        <w:t>as</w:t>
      </w:r>
      <w:r w:rsidR="00D23ECC">
        <w:t xml:space="preserve"> </w:t>
      </w:r>
      <w:r>
        <w:t>a</w:t>
      </w:r>
      <w:r w:rsidR="00D23ECC">
        <w:t xml:space="preserve"> </w:t>
      </w:r>
      <w:r>
        <w:t>result</w:t>
      </w:r>
      <w:r w:rsidR="00D23ECC">
        <w:t xml:space="preserve"> </w:t>
      </w:r>
      <w:r>
        <w:t>of</w:t>
      </w:r>
      <w:r w:rsidR="00D23ECC">
        <w:t xml:space="preserve"> </w:t>
      </w:r>
      <w:r>
        <w:t>COVID-19</w:t>
      </w:r>
      <w:r w:rsidR="00D23ECC">
        <w:t xml:space="preserve"> </w:t>
      </w:r>
      <w:r>
        <w:t>public</w:t>
      </w:r>
      <w:r w:rsidR="00D23ECC">
        <w:t xml:space="preserve"> </w:t>
      </w:r>
      <w:r>
        <w:t>health</w:t>
      </w:r>
      <w:r w:rsidR="00D23ECC">
        <w:t xml:space="preserve"> </w:t>
      </w:r>
      <w:r>
        <w:t>restrictions</w:t>
      </w:r>
      <w:r w:rsidR="00D23ECC">
        <w:t xml:space="preserve"> </w:t>
      </w:r>
      <w:r>
        <w:t>which</w:t>
      </w:r>
      <w:r w:rsidR="00D23ECC">
        <w:t xml:space="preserve"> </w:t>
      </w:r>
      <w:r>
        <w:t>impacted</w:t>
      </w:r>
      <w:r w:rsidR="00D23ECC">
        <w:t xml:space="preserve"> </w:t>
      </w:r>
      <w:r>
        <w:t>client</w:t>
      </w:r>
      <w:r w:rsidR="00D23ECC">
        <w:t xml:space="preserve"> </w:t>
      </w:r>
      <w:r>
        <w:t>presentation</w:t>
      </w:r>
      <w:r w:rsidR="00D23ECC">
        <w:t xml:space="preserve"> </w:t>
      </w:r>
      <w:r>
        <w:t>to</w:t>
      </w:r>
      <w:r w:rsidR="00D23ECC">
        <w:t xml:space="preserve"> </w:t>
      </w:r>
      <w:r>
        <w:t>services</w:t>
      </w:r>
      <w:r w:rsidR="00D23ECC">
        <w:t xml:space="preserve"> </w:t>
      </w:r>
      <w:r>
        <w:t>and</w:t>
      </w:r>
      <w:r w:rsidR="00D23ECC">
        <w:t xml:space="preserve"> </w:t>
      </w:r>
      <w:r>
        <w:t>the</w:t>
      </w:r>
      <w:r w:rsidR="00D23ECC">
        <w:t xml:space="preserve"> </w:t>
      </w:r>
      <w:r>
        <w:t>consequent</w:t>
      </w:r>
      <w:r w:rsidR="00D23ECC">
        <w:t xml:space="preserve"> </w:t>
      </w:r>
      <w:r>
        <w:t>delivery</w:t>
      </w:r>
      <w:r w:rsidR="00D23ECC">
        <w:t xml:space="preserve"> </w:t>
      </w:r>
      <w:r>
        <w:t>of</w:t>
      </w:r>
      <w:r w:rsidR="00D23ECC">
        <w:t xml:space="preserve"> </w:t>
      </w:r>
      <w:r>
        <w:t>financial</w:t>
      </w:r>
      <w:r w:rsidR="00D23ECC">
        <w:t xml:space="preserve"> </w:t>
      </w:r>
      <w:r>
        <w:t>counselling</w:t>
      </w:r>
      <w:r w:rsidR="00D23ECC">
        <w:t xml:space="preserve"> </w:t>
      </w:r>
      <w:r>
        <w:t>sessions.</w:t>
      </w:r>
      <w:r w:rsidR="00D23ECC">
        <w:t xml:space="preserve"> </w:t>
      </w:r>
      <w:r>
        <w:t>The</w:t>
      </w:r>
      <w:r w:rsidR="00D23ECC">
        <w:t xml:space="preserve"> </w:t>
      </w:r>
      <w:r>
        <w:t>financial</w:t>
      </w:r>
      <w:r w:rsidR="00D23ECC">
        <w:t xml:space="preserve"> </w:t>
      </w:r>
      <w:r>
        <w:t>support</w:t>
      </w:r>
      <w:r w:rsidR="00D23ECC">
        <w:t xml:space="preserve"> </w:t>
      </w:r>
      <w:r>
        <w:t>provided</w:t>
      </w:r>
      <w:r w:rsidR="00D23ECC">
        <w:t xml:space="preserve"> </w:t>
      </w:r>
      <w:r>
        <w:t>by</w:t>
      </w:r>
      <w:r w:rsidR="00D23ECC">
        <w:t xml:space="preserve"> </w:t>
      </w:r>
      <w:r>
        <w:t>governments</w:t>
      </w:r>
      <w:r w:rsidR="00D23ECC">
        <w:t xml:space="preserve"> </w:t>
      </w:r>
      <w:r>
        <w:t>during</w:t>
      </w:r>
      <w:r w:rsidR="00D23ECC">
        <w:t xml:space="preserve"> </w:t>
      </w:r>
      <w:r>
        <w:t>this</w:t>
      </w:r>
      <w:r w:rsidR="00D23ECC">
        <w:t xml:space="preserve"> </w:t>
      </w:r>
      <w:r>
        <w:t>period</w:t>
      </w:r>
      <w:r w:rsidR="00D23ECC">
        <w:t xml:space="preserve"> </w:t>
      </w:r>
      <w:r>
        <w:t>such</w:t>
      </w:r>
      <w:r w:rsidR="00D23ECC">
        <w:t xml:space="preserve"> </w:t>
      </w:r>
      <w:r>
        <w:t>as</w:t>
      </w:r>
      <w:r w:rsidR="00D23ECC">
        <w:t xml:space="preserve"> </w:t>
      </w:r>
      <w:r>
        <w:t>the</w:t>
      </w:r>
      <w:r w:rsidR="00D23ECC">
        <w:t xml:space="preserve"> </w:t>
      </w:r>
      <w:r>
        <w:t>emergency</w:t>
      </w:r>
      <w:r w:rsidR="00D23ECC">
        <w:t xml:space="preserve"> </w:t>
      </w:r>
      <w:r>
        <w:t>rent</w:t>
      </w:r>
      <w:r w:rsidR="00D23ECC">
        <w:t xml:space="preserve"> </w:t>
      </w:r>
      <w:r>
        <w:t>relief</w:t>
      </w:r>
      <w:r w:rsidR="00D23ECC">
        <w:t xml:space="preserve"> </w:t>
      </w:r>
      <w:r>
        <w:t>measures</w:t>
      </w:r>
      <w:r w:rsidR="00D23ECC">
        <w:t xml:space="preserve"> </w:t>
      </w:r>
      <w:r>
        <w:t>and</w:t>
      </w:r>
      <w:r w:rsidR="00D23ECC">
        <w:t xml:space="preserve"> </w:t>
      </w:r>
      <w:r>
        <w:t>the</w:t>
      </w:r>
      <w:r w:rsidR="00D23ECC">
        <w:t xml:space="preserve"> </w:t>
      </w:r>
      <w:r>
        <w:t>increase</w:t>
      </w:r>
      <w:r w:rsidR="00D23ECC">
        <w:t xml:space="preserve"> </w:t>
      </w:r>
      <w:r>
        <w:t>in</w:t>
      </w:r>
      <w:r w:rsidR="00D23ECC">
        <w:t xml:space="preserve"> </w:t>
      </w:r>
      <w:r>
        <w:t>Australian</w:t>
      </w:r>
      <w:r w:rsidR="00D23ECC">
        <w:t xml:space="preserve"> </w:t>
      </w:r>
      <w:r>
        <w:t>Government</w:t>
      </w:r>
      <w:r w:rsidR="00876740">
        <w:t xml:space="preserve"> </w:t>
      </w:r>
      <w:r>
        <w:t>JobSeeker</w:t>
      </w:r>
      <w:r w:rsidR="00D23ECC">
        <w:t xml:space="preserve"> </w:t>
      </w:r>
      <w:r>
        <w:t>and</w:t>
      </w:r>
      <w:r w:rsidR="00D23ECC">
        <w:t xml:space="preserve"> </w:t>
      </w:r>
      <w:r>
        <w:t>JobKeeper</w:t>
      </w:r>
      <w:r w:rsidR="00D23ECC">
        <w:t xml:space="preserve"> </w:t>
      </w:r>
      <w:r>
        <w:t>payments</w:t>
      </w:r>
      <w:r w:rsidR="00D23ECC">
        <w:t xml:space="preserve"> </w:t>
      </w:r>
      <w:r>
        <w:t>also</w:t>
      </w:r>
      <w:r w:rsidR="00D23ECC">
        <w:t xml:space="preserve"> </w:t>
      </w:r>
      <w:r>
        <w:t>likely</w:t>
      </w:r>
      <w:r w:rsidR="00D23ECC">
        <w:t xml:space="preserve"> </w:t>
      </w:r>
      <w:r>
        <w:t>reduced</w:t>
      </w:r>
      <w:r w:rsidR="00D23ECC">
        <w:t xml:space="preserve"> </w:t>
      </w:r>
      <w:r>
        <w:t>demand</w:t>
      </w:r>
      <w:r w:rsidR="00D23ECC">
        <w:t xml:space="preserve"> </w:t>
      </w:r>
      <w:r>
        <w:t>on</w:t>
      </w:r>
      <w:r w:rsidR="00D23ECC">
        <w:t xml:space="preserve"> </w:t>
      </w:r>
      <w:r>
        <w:t>financial</w:t>
      </w:r>
      <w:r w:rsidR="00D23ECC">
        <w:t xml:space="preserve"> </w:t>
      </w:r>
      <w:r>
        <w:t>counselling</w:t>
      </w:r>
      <w:r w:rsidR="00D23ECC">
        <w:t xml:space="preserve"> </w:t>
      </w:r>
      <w:r>
        <w:t>services.</w:t>
      </w:r>
    </w:p>
    <w:p w14:paraId="786D0A14" w14:textId="5917893A" w:rsidR="00DE3B0D" w:rsidRDefault="00DE3B0D" w:rsidP="00D23ECC">
      <w:pPr>
        <w:pStyle w:val="BodyText"/>
      </w:pPr>
      <w:r>
        <w:t>CAV</w:t>
      </w:r>
      <w:r w:rsidR="00D23ECC">
        <w:t xml:space="preserve"> </w:t>
      </w:r>
      <w:r>
        <w:t>also</w:t>
      </w:r>
      <w:r w:rsidR="00D23ECC">
        <w:t xml:space="preserve"> </w:t>
      </w:r>
      <w:r>
        <w:t>continued</w:t>
      </w:r>
      <w:r w:rsidR="00D23ECC">
        <w:t xml:space="preserve"> </w:t>
      </w:r>
      <w:r>
        <w:t>to</w:t>
      </w:r>
      <w:r w:rsidR="00D23ECC">
        <w:t xml:space="preserve"> </w:t>
      </w:r>
      <w:r>
        <w:t>fund</w:t>
      </w:r>
      <w:r w:rsidR="00D23ECC">
        <w:t xml:space="preserve"> </w:t>
      </w:r>
      <w:r>
        <w:t>the</w:t>
      </w:r>
      <w:r w:rsidR="00D23ECC">
        <w:t xml:space="preserve"> </w:t>
      </w:r>
      <w:r>
        <w:t>Consumer</w:t>
      </w:r>
      <w:r w:rsidR="00D23ECC">
        <w:t xml:space="preserve"> </w:t>
      </w:r>
      <w:r>
        <w:t>Action</w:t>
      </w:r>
      <w:r w:rsidR="00D23ECC">
        <w:t xml:space="preserve"> </w:t>
      </w:r>
      <w:r>
        <w:t>Law</w:t>
      </w:r>
      <w:r w:rsidR="00D23ECC">
        <w:t xml:space="preserve"> </w:t>
      </w:r>
      <w:r>
        <w:t>Centre</w:t>
      </w:r>
      <w:r w:rsidR="00D23ECC">
        <w:t xml:space="preserve"> </w:t>
      </w:r>
      <w:r>
        <w:t>to</w:t>
      </w:r>
      <w:r w:rsidR="00D23ECC">
        <w:t xml:space="preserve"> </w:t>
      </w:r>
      <w:r>
        <w:t>run</w:t>
      </w:r>
      <w:r w:rsidR="00D23ECC">
        <w:t xml:space="preserve"> </w:t>
      </w:r>
      <w:r>
        <w:t>the</w:t>
      </w:r>
      <w:r w:rsidR="00D23ECC">
        <w:t xml:space="preserve"> </w:t>
      </w:r>
      <w:r>
        <w:t>Consumer</w:t>
      </w:r>
      <w:r w:rsidR="00D23ECC">
        <w:t xml:space="preserve"> </w:t>
      </w:r>
      <w:r>
        <w:t>Assistance</w:t>
      </w:r>
      <w:r w:rsidR="00D23ECC">
        <w:t xml:space="preserve"> </w:t>
      </w:r>
      <w:r>
        <w:t>and</w:t>
      </w:r>
      <w:r w:rsidR="00D72B9A">
        <w:t> </w:t>
      </w:r>
      <w:r>
        <w:t>Advocacy</w:t>
      </w:r>
      <w:r w:rsidR="00D23ECC">
        <w:t xml:space="preserve"> </w:t>
      </w:r>
      <w:r>
        <w:t>Program</w:t>
      </w:r>
      <w:r w:rsidR="00D23ECC">
        <w:t xml:space="preserve"> </w:t>
      </w:r>
      <w:r>
        <w:t>which</w:t>
      </w:r>
      <w:r w:rsidR="00D23ECC">
        <w:t xml:space="preserve"> </w:t>
      </w:r>
      <w:r>
        <w:t>provided</w:t>
      </w:r>
      <w:r w:rsidR="00D23ECC">
        <w:t xml:space="preserve"> </w:t>
      </w:r>
      <w:r>
        <w:t>advice,</w:t>
      </w:r>
      <w:r w:rsidR="00D23ECC">
        <w:t xml:space="preserve"> </w:t>
      </w:r>
      <w:r>
        <w:t>casework</w:t>
      </w:r>
      <w:r w:rsidR="00D23ECC">
        <w:t xml:space="preserve"> </w:t>
      </w:r>
      <w:r>
        <w:t>and</w:t>
      </w:r>
      <w:r w:rsidR="00D23ECC">
        <w:t xml:space="preserve"> </w:t>
      </w:r>
      <w:r>
        <w:t>campaign</w:t>
      </w:r>
      <w:r w:rsidR="00D23ECC">
        <w:t xml:space="preserve"> </w:t>
      </w:r>
      <w:r>
        <w:t>and</w:t>
      </w:r>
      <w:r w:rsidR="00D23ECC">
        <w:t xml:space="preserve"> </w:t>
      </w:r>
      <w:r>
        <w:t>advocacy</w:t>
      </w:r>
      <w:r w:rsidR="00D23ECC">
        <w:t xml:space="preserve"> </w:t>
      </w:r>
      <w:r>
        <w:t>services</w:t>
      </w:r>
      <w:r w:rsidR="00D23ECC">
        <w:t xml:space="preserve"> </w:t>
      </w:r>
      <w:r>
        <w:t>to</w:t>
      </w:r>
      <w:r w:rsidR="00D23ECC">
        <w:t xml:space="preserve"> </w:t>
      </w:r>
      <w:r>
        <w:t>Victorian</w:t>
      </w:r>
      <w:r w:rsidR="00D23ECC">
        <w:t xml:space="preserve"> </w:t>
      </w:r>
      <w:r>
        <w:t>consumers</w:t>
      </w:r>
      <w:r w:rsidR="00D23ECC">
        <w:t xml:space="preserve"> </w:t>
      </w:r>
      <w:r>
        <w:t>throughout</w:t>
      </w:r>
      <w:r w:rsidR="00D23ECC">
        <w:t xml:space="preserve"> </w:t>
      </w:r>
      <w:r>
        <w:t>the</w:t>
      </w:r>
      <w:r w:rsidR="00D23ECC">
        <w:t xml:space="preserve"> </w:t>
      </w:r>
      <w:r>
        <w:t>year.</w:t>
      </w:r>
      <w:r w:rsidR="00D23ECC">
        <w:t xml:space="preserve"> </w:t>
      </w:r>
      <w:r>
        <w:t>Consumer</w:t>
      </w:r>
      <w:r w:rsidR="00D23ECC">
        <w:t xml:space="preserve"> </w:t>
      </w:r>
      <w:r>
        <w:t>Action</w:t>
      </w:r>
      <w:r w:rsidR="00D23ECC">
        <w:t xml:space="preserve"> </w:t>
      </w:r>
      <w:r>
        <w:t>Law</w:t>
      </w:r>
      <w:r w:rsidR="00D23ECC">
        <w:t xml:space="preserve"> </w:t>
      </w:r>
      <w:r>
        <w:t>Centre</w:t>
      </w:r>
      <w:r w:rsidR="00D23ECC">
        <w:t xml:space="preserve"> </w:t>
      </w:r>
      <w:r>
        <w:t>provided</w:t>
      </w:r>
      <w:r w:rsidR="00D23ECC">
        <w:t xml:space="preserve"> </w:t>
      </w:r>
      <w:r>
        <w:t>casework</w:t>
      </w:r>
      <w:r w:rsidR="00D23ECC">
        <w:t xml:space="preserve"> </w:t>
      </w:r>
      <w:r>
        <w:t>support</w:t>
      </w:r>
      <w:r w:rsidR="00D23ECC">
        <w:t xml:space="preserve"> </w:t>
      </w:r>
      <w:r>
        <w:t>to</w:t>
      </w:r>
      <w:r w:rsidR="00D72B9A">
        <w:t> </w:t>
      </w:r>
      <w:r>
        <w:t>287</w:t>
      </w:r>
      <w:r w:rsidR="00D23ECC">
        <w:t xml:space="preserve"> </w:t>
      </w:r>
      <w:r>
        <w:t>vulnerable</w:t>
      </w:r>
      <w:r w:rsidR="00D23ECC">
        <w:t xml:space="preserve"> </w:t>
      </w:r>
      <w:r>
        <w:t>Victorians</w:t>
      </w:r>
      <w:r w:rsidR="00D23ECC">
        <w:t xml:space="preserve"> </w:t>
      </w:r>
      <w:r>
        <w:t>this</w:t>
      </w:r>
      <w:r w:rsidR="00D23ECC">
        <w:t xml:space="preserve"> </w:t>
      </w:r>
      <w:r>
        <w:t>year.</w:t>
      </w:r>
    </w:p>
    <w:p w14:paraId="0A28878C" w14:textId="26709B59" w:rsidR="00DE3B0D" w:rsidRDefault="00DE3B0D" w:rsidP="00D23ECC">
      <w:pPr>
        <w:pStyle w:val="BodyText"/>
      </w:pPr>
      <w:r>
        <w:t>CAV</w:t>
      </w:r>
      <w:r w:rsidR="00D23ECC">
        <w:t xml:space="preserve"> </w:t>
      </w:r>
      <w:r>
        <w:t>also</w:t>
      </w:r>
      <w:r w:rsidR="00D23ECC">
        <w:t xml:space="preserve"> </w:t>
      </w:r>
      <w:r>
        <w:t>provided</w:t>
      </w:r>
      <w:r w:rsidR="00D23ECC">
        <w:t xml:space="preserve"> </w:t>
      </w:r>
      <w:r>
        <w:t>support</w:t>
      </w:r>
      <w:r w:rsidR="00D23ECC">
        <w:t xml:space="preserve"> </w:t>
      </w:r>
      <w:r>
        <w:t>to</w:t>
      </w:r>
      <w:r w:rsidR="00D23ECC">
        <w:t xml:space="preserve"> </w:t>
      </w:r>
      <w:r>
        <w:t>vulnerable</w:t>
      </w:r>
      <w:r w:rsidR="00D23ECC">
        <w:t xml:space="preserve"> </w:t>
      </w:r>
      <w:r>
        <w:t>and</w:t>
      </w:r>
      <w:r w:rsidR="00D23ECC">
        <w:t xml:space="preserve"> </w:t>
      </w:r>
      <w:r>
        <w:t>disadvantaged</w:t>
      </w:r>
      <w:r w:rsidR="00D23ECC">
        <w:t xml:space="preserve"> </w:t>
      </w:r>
      <w:r>
        <w:t>homeowners</w:t>
      </w:r>
      <w:r w:rsidR="00D23ECC">
        <w:t xml:space="preserve"> </w:t>
      </w:r>
      <w:r>
        <w:t>by</w:t>
      </w:r>
      <w:r w:rsidR="00D23ECC">
        <w:t xml:space="preserve"> </w:t>
      </w:r>
      <w:r>
        <w:t>funding</w:t>
      </w:r>
      <w:r w:rsidR="00D23ECC">
        <w:t xml:space="preserve"> </w:t>
      </w:r>
      <w:r>
        <w:t>the</w:t>
      </w:r>
      <w:r w:rsidR="00D23ECC">
        <w:t xml:space="preserve"> </w:t>
      </w:r>
      <w:r>
        <w:t>Domestic</w:t>
      </w:r>
      <w:r w:rsidR="00D23ECC">
        <w:t xml:space="preserve"> </w:t>
      </w:r>
      <w:r>
        <w:t>Building</w:t>
      </w:r>
      <w:r w:rsidR="00D23ECC">
        <w:t xml:space="preserve"> </w:t>
      </w:r>
      <w:r>
        <w:t>Legal</w:t>
      </w:r>
      <w:r w:rsidR="00D23ECC">
        <w:t xml:space="preserve"> </w:t>
      </w:r>
      <w:r>
        <w:t>Service.</w:t>
      </w:r>
      <w:r w:rsidR="00D23ECC">
        <w:t xml:space="preserve"> </w:t>
      </w:r>
      <w:r>
        <w:t>The</w:t>
      </w:r>
      <w:r w:rsidR="00D23ECC">
        <w:t xml:space="preserve"> </w:t>
      </w:r>
      <w:r>
        <w:t>service</w:t>
      </w:r>
      <w:r w:rsidR="00D23ECC">
        <w:t xml:space="preserve"> </w:t>
      </w:r>
      <w:r>
        <w:t>assisted</w:t>
      </w:r>
      <w:r w:rsidR="00D23ECC">
        <w:t xml:space="preserve"> </w:t>
      </w:r>
      <w:r>
        <w:t>178</w:t>
      </w:r>
      <w:r w:rsidR="00D23ECC">
        <w:t xml:space="preserve"> </w:t>
      </w:r>
      <w:r>
        <w:t>homeowners,</w:t>
      </w:r>
      <w:r w:rsidR="00D23ECC">
        <w:t xml:space="preserve"> </w:t>
      </w:r>
      <w:r>
        <w:t>with</w:t>
      </w:r>
      <w:r w:rsidR="00D23ECC">
        <w:t xml:space="preserve"> </w:t>
      </w:r>
      <w:r>
        <w:t>more</w:t>
      </w:r>
      <w:r w:rsidR="00D23ECC">
        <w:t xml:space="preserve"> </w:t>
      </w:r>
      <w:r>
        <w:t>extensive</w:t>
      </w:r>
      <w:r w:rsidR="00D23ECC">
        <w:t xml:space="preserve"> </w:t>
      </w:r>
      <w:r>
        <w:t>support</w:t>
      </w:r>
      <w:r w:rsidR="00D23ECC">
        <w:t xml:space="preserve"> </w:t>
      </w:r>
      <w:r>
        <w:t>from</w:t>
      </w:r>
      <w:r w:rsidR="00D23ECC">
        <w:t xml:space="preserve"> </w:t>
      </w:r>
      <w:r>
        <w:t>pro-bono</w:t>
      </w:r>
      <w:r w:rsidR="00D23ECC">
        <w:t xml:space="preserve"> </w:t>
      </w:r>
      <w:r>
        <w:t>lawyers</w:t>
      </w:r>
      <w:r w:rsidR="00D23ECC">
        <w:t xml:space="preserve"> </w:t>
      </w:r>
      <w:r>
        <w:t>provided</w:t>
      </w:r>
      <w:r w:rsidR="00D23ECC">
        <w:t xml:space="preserve"> </w:t>
      </w:r>
      <w:r>
        <w:t>to</w:t>
      </w:r>
      <w:r w:rsidR="00D23ECC">
        <w:t xml:space="preserve"> </w:t>
      </w:r>
      <w:r>
        <w:t>15</w:t>
      </w:r>
      <w:r w:rsidR="00D23ECC">
        <w:t xml:space="preserve"> </w:t>
      </w:r>
      <w:r>
        <w:t>complex</w:t>
      </w:r>
      <w:r w:rsidR="00D23ECC">
        <w:t xml:space="preserve"> </w:t>
      </w:r>
      <w:r>
        <w:t>cases.</w:t>
      </w:r>
    </w:p>
    <w:p w14:paraId="15BAC931" w14:textId="77777777" w:rsidR="002F22DF" w:rsidRPr="002F22DF" w:rsidRDefault="002F22DF" w:rsidP="002F22DF">
      <w:pPr>
        <w:pStyle w:val="BodyText"/>
      </w:pPr>
      <w:r w:rsidRPr="002F22DF">
        <w:br w:type="page"/>
      </w:r>
    </w:p>
    <w:p w14:paraId="4FE4B716" w14:textId="0B60A586" w:rsidR="00DE3B0D" w:rsidRPr="00B04B74" w:rsidRDefault="00DE3B0D" w:rsidP="00B04B74">
      <w:pPr>
        <w:pStyle w:val="Heading3"/>
      </w:pPr>
      <w:bookmarkStart w:id="25" w:name="_Toc85912300"/>
      <w:r w:rsidRPr="00B04B74">
        <w:lastRenderedPageBreak/>
        <w:t>Outcome</w:t>
      </w:r>
      <w:r w:rsidR="00D23ECC" w:rsidRPr="00B04B74">
        <w:t xml:space="preserve"> </w:t>
      </w:r>
      <w:r w:rsidRPr="00B04B74">
        <w:t>3</w:t>
      </w:r>
      <w:r w:rsidR="00D23ECC" w:rsidRPr="00B04B74">
        <w:t xml:space="preserve"> </w:t>
      </w:r>
      <w:r w:rsidRPr="00B04B74">
        <w:t>–</w:t>
      </w:r>
      <w:r w:rsidR="00D23ECC" w:rsidRPr="00B04B74">
        <w:t xml:space="preserve"> </w:t>
      </w:r>
      <w:r w:rsidRPr="00B04B74">
        <w:t>A</w:t>
      </w:r>
      <w:r w:rsidR="00D23ECC" w:rsidRPr="00B04B74">
        <w:t xml:space="preserve"> </w:t>
      </w:r>
      <w:r w:rsidRPr="00B04B74">
        <w:t>fair</w:t>
      </w:r>
      <w:r w:rsidR="00D23ECC" w:rsidRPr="00B04B74">
        <w:t xml:space="preserve"> </w:t>
      </w:r>
      <w:r w:rsidRPr="00B04B74">
        <w:t>and</w:t>
      </w:r>
      <w:r w:rsidR="00D23ECC" w:rsidRPr="00B04B74">
        <w:t xml:space="preserve"> </w:t>
      </w:r>
      <w:r w:rsidRPr="00B04B74">
        <w:t>safe</w:t>
      </w:r>
      <w:r w:rsidR="00D23ECC" w:rsidRPr="00B04B74">
        <w:t xml:space="preserve"> </w:t>
      </w:r>
      <w:r w:rsidRPr="00B04B74">
        <w:t>rental</w:t>
      </w:r>
      <w:r w:rsidR="00D23ECC" w:rsidRPr="00B04B74">
        <w:t xml:space="preserve"> </w:t>
      </w:r>
      <w:r w:rsidRPr="00B04B74">
        <w:t>market</w:t>
      </w:r>
      <w:bookmarkEnd w:id="25"/>
    </w:p>
    <w:p w14:paraId="1450ADCC" w14:textId="757CB400" w:rsidR="00DE3B0D" w:rsidRDefault="00DE3B0D" w:rsidP="00D23ECC">
      <w:pPr>
        <w:pStyle w:val="BodyText"/>
      </w:pPr>
      <w:r>
        <w:t>As</w:t>
      </w:r>
      <w:r w:rsidR="00D23ECC">
        <w:t xml:space="preserve"> </w:t>
      </w:r>
      <w:r>
        <w:t>the</w:t>
      </w:r>
      <w:r w:rsidR="00D23ECC">
        <w:t xml:space="preserve"> </w:t>
      </w:r>
      <w:r>
        <w:t>Victorian</w:t>
      </w:r>
      <w:r w:rsidR="00D23ECC">
        <w:t xml:space="preserve"> </w:t>
      </w:r>
      <w:r>
        <w:t>regulator</w:t>
      </w:r>
      <w:r w:rsidR="00D23ECC">
        <w:t xml:space="preserve"> </w:t>
      </w:r>
      <w:r>
        <w:t>of</w:t>
      </w:r>
      <w:r w:rsidR="00D23ECC">
        <w:t xml:space="preserve"> </w:t>
      </w:r>
      <w:r>
        <w:t>rental</w:t>
      </w:r>
      <w:r w:rsidR="00D23ECC">
        <w:t xml:space="preserve"> </w:t>
      </w:r>
      <w:r>
        <w:t>laws,</w:t>
      </w:r>
      <w:r w:rsidR="00D23ECC">
        <w:t xml:space="preserve"> </w:t>
      </w:r>
      <w:r>
        <w:t>we</w:t>
      </w:r>
      <w:r w:rsidR="00D23ECC">
        <w:t xml:space="preserve"> </w:t>
      </w:r>
      <w:r>
        <w:t>work</w:t>
      </w:r>
      <w:r w:rsidR="00D23ECC">
        <w:t xml:space="preserve"> </w:t>
      </w:r>
      <w:r>
        <w:t>to</w:t>
      </w:r>
      <w:r w:rsidR="00D23ECC">
        <w:t xml:space="preserve"> </w:t>
      </w:r>
      <w:r>
        <w:t>achieve</w:t>
      </w:r>
      <w:r w:rsidR="00D23ECC">
        <w:t xml:space="preserve"> </w:t>
      </w:r>
      <w:r>
        <w:t>fair</w:t>
      </w:r>
      <w:r w:rsidR="00D23ECC">
        <w:t xml:space="preserve"> </w:t>
      </w:r>
      <w:r>
        <w:t>and</w:t>
      </w:r>
      <w:r w:rsidR="00D23ECC">
        <w:t xml:space="preserve"> </w:t>
      </w:r>
      <w:r>
        <w:t>safe</w:t>
      </w:r>
      <w:r w:rsidR="00D23ECC">
        <w:t xml:space="preserve"> </w:t>
      </w:r>
      <w:r>
        <w:t>rental</w:t>
      </w:r>
      <w:r w:rsidR="00D23ECC">
        <w:t xml:space="preserve"> </w:t>
      </w:r>
      <w:r>
        <w:t>housing.</w:t>
      </w:r>
      <w:r w:rsidR="00D23ECC">
        <w:t xml:space="preserve"> </w:t>
      </w:r>
      <w:r>
        <w:t>This</w:t>
      </w:r>
      <w:r w:rsidR="00D23ECC">
        <w:t xml:space="preserve"> </w:t>
      </w:r>
      <w:r>
        <w:t>includes</w:t>
      </w:r>
      <w:r w:rsidR="00D23ECC">
        <w:t xml:space="preserve"> </w:t>
      </w:r>
      <w:r>
        <w:t>increased</w:t>
      </w:r>
      <w:r w:rsidR="00D23ECC">
        <w:t xml:space="preserve"> </w:t>
      </w:r>
      <w:r>
        <w:t>collaboration</w:t>
      </w:r>
      <w:r w:rsidR="00D23ECC">
        <w:t xml:space="preserve"> </w:t>
      </w:r>
      <w:r>
        <w:t>with</w:t>
      </w:r>
      <w:r w:rsidR="00D23ECC">
        <w:t xml:space="preserve"> </w:t>
      </w:r>
      <w:r>
        <w:t>partners</w:t>
      </w:r>
      <w:r w:rsidR="00D23ECC">
        <w:t xml:space="preserve"> </w:t>
      </w:r>
      <w:r>
        <w:t>so</w:t>
      </w:r>
      <w:r w:rsidR="00D23ECC">
        <w:t xml:space="preserve"> </w:t>
      </w:r>
      <w:r>
        <w:t>we</w:t>
      </w:r>
      <w:r w:rsidR="00D23ECC">
        <w:t xml:space="preserve"> </w:t>
      </w:r>
      <w:r>
        <w:t>can</w:t>
      </w:r>
      <w:r w:rsidR="00D23ECC">
        <w:t xml:space="preserve"> </w:t>
      </w:r>
      <w:r>
        <w:t>continue</w:t>
      </w:r>
      <w:r w:rsidR="00D23ECC">
        <w:t xml:space="preserve"> </w:t>
      </w:r>
      <w:r>
        <w:t>to</w:t>
      </w:r>
      <w:r w:rsidR="00D23ECC">
        <w:t xml:space="preserve"> </w:t>
      </w:r>
      <w:r>
        <w:t>improve</w:t>
      </w:r>
      <w:r w:rsidR="00D23ECC">
        <w:t xml:space="preserve"> </w:t>
      </w:r>
      <w:r>
        <w:t>our</w:t>
      </w:r>
      <w:r w:rsidR="00D23ECC">
        <w:t xml:space="preserve"> </w:t>
      </w:r>
      <w:r>
        <w:t>understanding</w:t>
      </w:r>
      <w:r w:rsidR="00D23ECC">
        <w:t xml:space="preserve"> </w:t>
      </w:r>
      <w:r>
        <w:t>of</w:t>
      </w:r>
      <w:r w:rsidR="00D23ECC">
        <w:t xml:space="preserve"> </w:t>
      </w:r>
      <w:r>
        <w:t>the</w:t>
      </w:r>
      <w:r w:rsidR="00D23ECC">
        <w:t xml:space="preserve"> </w:t>
      </w:r>
      <w:r>
        <w:t>needs</w:t>
      </w:r>
      <w:r w:rsidR="00D23ECC">
        <w:t xml:space="preserve"> </w:t>
      </w:r>
      <w:r>
        <w:t>of</w:t>
      </w:r>
      <w:r w:rsidR="00D23ECC">
        <w:t xml:space="preserve"> </w:t>
      </w:r>
      <w:r>
        <w:t>a</w:t>
      </w:r>
      <w:r w:rsidR="00D23ECC">
        <w:t xml:space="preserve"> </w:t>
      </w:r>
      <w:r>
        <w:t>modern</w:t>
      </w:r>
      <w:r w:rsidR="00D23ECC">
        <w:t xml:space="preserve"> </w:t>
      </w:r>
      <w:r>
        <w:t>market</w:t>
      </w:r>
      <w:r w:rsidR="00D23ECC">
        <w:t xml:space="preserve"> </w:t>
      </w:r>
      <w:r>
        <w:t>and</w:t>
      </w:r>
      <w:r w:rsidR="00D23ECC">
        <w:t xml:space="preserve"> </w:t>
      </w:r>
      <w:r>
        <w:t>make</w:t>
      </w:r>
      <w:r w:rsidR="00D23ECC">
        <w:t xml:space="preserve"> </w:t>
      </w:r>
      <w:r>
        <w:t>positive</w:t>
      </w:r>
      <w:r w:rsidR="00D23ECC">
        <w:t xml:space="preserve"> </w:t>
      </w:r>
      <w:r>
        <w:t>changes</w:t>
      </w:r>
      <w:r w:rsidR="00D23ECC">
        <w:t xml:space="preserve"> </w:t>
      </w:r>
      <w:r>
        <w:t>across</w:t>
      </w:r>
      <w:r w:rsidR="00D23ECC">
        <w:t xml:space="preserve"> </w:t>
      </w:r>
      <w:r>
        <w:t>the</w:t>
      </w:r>
      <w:r w:rsidR="00D23ECC">
        <w:t xml:space="preserve"> </w:t>
      </w:r>
      <w:r>
        <w:t>sector.</w:t>
      </w:r>
    </w:p>
    <w:p w14:paraId="762826AD" w14:textId="7765BF5B" w:rsidR="00DE3B0D" w:rsidRDefault="00DE3B0D" w:rsidP="00A95E63">
      <w:pPr>
        <w:pStyle w:val="Caption"/>
      </w:pPr>
      <w:r>
        <w:rPr>
          <w:color w:val="000000"/>
        </w:rPr>
        <w:t>Table</w:t>
      </w:r>
      <w:r w:rsidR="00D23ECC">
        <w:rPr>
          <w:color w:val="000000"/>
        </w:rPr>
        <w:t xml:space="preserve"> </w:t>
      </w:r>
      <w:r>
        <w:rPr>
          <w:color w:val="000000"/>
        </w:rPr>
        <w:t>5:</w:t>
      </w:r>
      <w:r w:rsidR="00D23ECC">
        <w:rPr>
          <w:color w:val="000000"/>
        </w:rPr>
        <w:t xml:space="preserve"> </w:t>
      </w:r>
      <w:r>
        <w:rPr>
          <w:color w:val="000000"/>
        </w:rPr>
        <w:t>Information,</w:t>
      </w:r>
      <w:r w:rsidR="00D23ECC">
        <w:rPr>
          <w:color w:val="000000"/>
        </w:rPr>
        <w:t xml:space="preserve"> </w:t>
      </w:r>
      <w:r>
        <w:rPr>
          <w:color w:val="000000"/>
        </w:rPr>
        <w:t>advice</w:t>
      </w:r>
      <w:r w:rsidR="00D23ECC">
        <w:rPr>
          <w:color w:val="000000"/>
        </w:rPr>
        <w:t xml:space="preserve"> </w:t>
      </w:r>
      <w:r>
        <w:rPr>
          <w:color w:val="000000"/>
        </w:rPr>
        <w:t>and</w:t>
      </w:r>
      <w:r w:rsidR="00D23ECC">
        <w:rPr>
          <w:color w:val="000000"/>
        </w:rPr>
        <w:t xml:space="preserve"> </w:t>
      </w:r>
      <w:r>
        <w:rPr>
          <w:color w:val="000000"/>
        </w:rPr>
        <w:t>service</w:t>
      </w:r>
      <w:r w:rsidR="00D23ECC">
        <w:rPr>
          <w:color w:val="000000"/>
        </w:rPr>
        <w:t xml:space="preserve"> </w:t>
      </w:r>
      <w:r>
        <w:rPr>
          <w:color w:val="000000"/>
        </w:rPr>
        <w:t>delivery</w:t>
      </w:r>
      <w:r w:rsidR="00D23ECC">
        <w:rPr>
          <w:color w:val="000000"/>
        </w:rPr>
        <w:t xml:space="preserve"> </w:t>
      </w:r>
      <w:r>
        <w:rPr>
          <w:color w:val="000000"/>
        </w:rPr>
        <w:t>to</w:t>
      </w:r>
      <w:r w:rsidR="00D23ECC">
        <w:rPr>
          <w:color w:val="000000"/>
        </w:rPr>
        <w:t xml:space="preserve"> </w:t>
      </w:r>
      <w:r>
        <w:rPr>
          <w:color w:val="000000"/>
        </w:rPr>
        <w:t>tenants,</w:t>
      </w:r>
      <w:r w:rsidR="00D23ECC">
        <w:rPr>
          <w:color w:val="000000"/>
        </w:rPr>
        <w:t xml:space="preserve"> </w:t>
      </w:r>
      <w:r>
        <w:rPr>
          <w:color w:val="000000"/>
        </w:rPr>
        <w:t>landlords</w:t>
      </w:r>
      <w:r w:rsidR="00D23ECC">
        <w:rPr>
          <w:color w:val="000000"/>
        </w:rPr>
        <w:t xml:space="preserve"> </w:t>
      </w:r>
      <w:r>
        <w:rPr>
          <w:color w:val="000000"/>
        </w:rPr>
        <w:t>and</w:t>
      </w:r>
      <w:r w:rsidR="00D23ECC">
        <w:rPr>
          <w:color w:val="000000"/>
        </w:rPr>
        <w:t xml:space="preserve"> </w:t>
      </w:r>
      <w:r>
        <w:rPr>
          <w:color w:val="000000"/>
        </w:rPr>
        <w:t>agents</w:t>
      </w:r>
    </w:p>
    <w:tbl>
      <w:tblPr>
        <w:tblStyle w:val="TableGrid"/>
        <w:tblW w:w="9072" w:type="dxa"/>
        <w:tblLayout w:type="fixed"/>
        <w:tblLook w:val="00A0" w:firstRow="1" w:lastRow="0" w:firstColumn="1" w:lastColumn="0" w:noHBand="0" w:noVBand="0"/>
      </w:tblPr>
      <w:tblGrid>
        <w:gridCol w:w="4989"/>
        <w:gridCol w:w="1361"/>
        <w:gridCol w:w="1361"/>
        <w:gridCol w:w="1361"/>
      </w:tblGrid>
      <w:tr w:rsidR="00DE3B0D" w14:paraId="16F091F0" w14:textId="77777777" w:rsidTr="00373B3B">
        <w:trPr>
          <w:cnfStyle w:val="100000000000" w:firstRow="1" w:lastRow="0" w:firstColumn="0" w:lastColumn="0" w:oddVBand="0" w:evenVBand="0" w:oddHBand="0" w:evenHBand="0" w:firstRowFirstColumn="0" w:firstRowLastColumn="0" w:lastRowFirstColumn="0" w:lastRowLastColumn="0"/>
          <w:trHeight w:val="60"/>
          <w:tblHeader/>
        </w:trPr>
        <w:tc>
          <w:tcPr>
            <w:tcW w:w="4990" w:type="dxa"/>
          </w:tcPr>
          <w:p w14:paraId="7D60A432" w14:textId="77777777" w:rsidR="00DE3B0D" w:rsidRDefault="00DE3B0D" w:rsidP="00F22B33">
            <w:pPr>
              <w:pStyle w:val="TableColHead"/>
            </w:pPr>
          </w:p>
        </w:tc>
        <w:tc>
          <w:tcPr>
            <w:tcW w:w="1361" w:type="dxa"/>
          </w:tcPr>
          <w:p w14:paraId="7F87FAFC" w14:textId="77777777" w:rsidR="00DE3B0D" w:rsidRDefault="00DE3B0D" w:rsidP="00A95E63">
            <w:pPr>
              <w:pStyle w:val="TableColHeadRight"/>
            </w:pPr>
            <w:r>
              <w:t>2018–19</w:t>
            </w:r>
          </w:p>
        </w:tc>
        <w:tc>
          <w:tcPr>
            <w:tcW w:w="1361" w:type="dxa"/>
          </w:tcPr>
          <w:p w14:paraId="1EB49A3F" w14:textId="77777777" w:rsidR="00DE3B0D" w:rsidRDefault="00DE3B0D" w:rsidP="00A95E63">
            <w:pPr>
              <w:pStyle w:val="TableColHeadRight"/>
            </w:pPr>
            <w:r>
              <w:t>2019–20</w:t>
            </w:r>
          </w:p>
        </w:tc>
        <w:tc>
          <w:tcPr>
            <w:tcW w:w="1361" w:type="dxa"/>
          </w:tcPr>
          <w:p w14:paraId="118E30BE" w14:textId="77777777" w:rsidR="00DE3B0D" w:rsidRDefault="00DE3B0D" w:rsidP="00A95E63">
            <w:pPr>
              <w:pStyle w:val="TableColHeadRight"/>
            </w:pPr>
            <w:r>
              <w:t>2020–21</w:t>
            </w:r>
          </w:p>
        </w:tc>
      </w:tr>
      <w:tr w:rsidR="00DE3B0D" w14:paraId="03019ACB" w14:textId="77777777" w:rsidTr="002F22DF">
        <w:trPr>
          <w:trHeight w:val="60"/>
        </w:trPr>
        <w:tc>
          <w:tcPr>
            <w:tcW w:w="4990" w:type="dxa"/>
            <w:gridSpan w:val="4"/>
            <w:shd w:val="clear" w:color="auto" w:fill="B2D5F0"/>
          </w:tcPr>
          <w:p w14:paraId="261B5E69" w14:textId="0A213506" w:rsidR="00DE3B0D" w:rsidRDefault="00DE3B0D" w:rsidP="00A95E63">
            <w:pPr>
              <w:pStyle w:val="TableTextBold"/>
            </w:pPr>
            <w:r>
              <w:t>Information</w:t>
            </w:r>
            <w:r w:rsidR="00D23ECC">
              <w:t xml:space="preserve"> </w:t>
            </w:r>
            <w:r>
              <w:t>and</w:t>
            </w:r>
            <w:r w:rsidR="00D23ECC">
              <w:t xml:space="preserve"> </w:t>
            </w:r>
            <w:r>
              <w:t>advice</w:t>
            </w:r>
          </w:p>
        </w:tc>
      </w:tr>
      <w:tr w:rsidR="00DE3B0D" w14:paraId="110DAC13" w14:textId="77777777" w:rsidTr="00373B3B">
        <w:trPr>
          <w:trHeight w:val="60"/>
        </w:trPr>
        <w:tc>
          <w:tcPr>
            <w:tcW w:w="4990" w:type="dxa"/>
          </w:tcPr>
          <w:p w14:paraId="6F9C1D82" w14:textId="167FD15F" w:rsidR="00DE3B0D" w:rsidRDefault="00DE3B0D" w:rsidP="00A95E63">
            <w:pPr>
              <w:pStyle w:val="TableText"/>
            </w:pPr>
            <w:r>
              <w:t>Website</w:t>
            </w:r>
            <w:r w:rsidR="00D23ECC">
              <w:t xml:space="preserve"> </w:t>
            </w:r>
            <w:r>
              <w:t>page</w:t>
            </w:r>
            <w:r w:rsidR="00D23ECC">
              <w:t xml:space="preserve"> </w:t>
            </w:r>
            <w:r>
              <w:t>views</w:t>
            </w:r>
            <w:r w:rsidR="00D23ECC">
              <w:t xml:space="preserve"> </w:t>
            </w:r>
            <w:r>
              <w:t>–</w:t>
            </w:r>
            <w:r w:rsidR="00D23ECC">
              <w:t xml:space="preserve"> </w:t>
            </w:r>
            <w:r>
              <w:t>renting</w:t>
            </w:r>
            <w:r w:rsidR="00D23ECC">
              <w:t xml:space="preserve"> </w:t>
            </w:r>
            <w:r>
              <w:t>section</w:t>
            </w:r>
          </w:p>
        </w:tc>
        <w:tc>
          <w:tcPr>
            <w:tcW w:w="1361" w:type="dxa"/>
          </w:tcPr>
          <w:p w14:paraId="5324F42C" w14:textId="77777777" w:rsidR="00DE3B0D" w:rsidRDefault="00DE3B0D" w:rsidP="00A95E63">
            <w:pPr>
              <w:pStyle w:val="TableTextRight"/>
            </w:pPr>
            <w:r>
              <w:t>2,238,743</w:t>
            </w:r>
          </w:p>
        </w:tc>
        <w:tc>
          <w:tcPr>
            <w:tcW w:w="1361" w:type="dxa"/>
          </w:tcPr>
          <w:p w14:paraId="4BB814C6" w14:textId="77777777" w:rsidR="00DE3B0D" w:rsidRDefault="00DE3B0D" w:rsidP="00A95E63">
            <w:pPr>
              <w:pStyle w:val="TableTextRight"/>
            </w:pPr>
            <w:r>
              <w:t>2,724,521</w:t>
            </w:r>
          </w:p>
        </w:tc>
        <w:tc>
          <w:tcPr>
            <w:tcW w:w="1361" w:type="dxa"/>
          </w:tcPr>
          <w:p w14:paraId="7001D322" w14:textId="77777777" w:rsidR="00DE3B0D" w:rsidRDefault="00DE3B0D" w:rsidP="00A95E63">
            <w:pPr>
              <w:pStyle w:val="TableTextRight"/>
            </w:pPr>
            <w:r>
              <w:t>3,870,748</w:t>
            </w:r>
          </w:p>
        </w:tc>
      </w:tr>
      <w:tr w:rsidR="00DE3B0D" w14:paraId="7F0B7728" w14:textId="77777777" w:rsidTr="00373B3B">
        <w:trPr>
          <w:trHeight w:val="60"/>
        </w:trPr>
        <w:tc>
          <w:tcPr>
            <w:tcW w:w="4990" w:type="dxa"/>
          </w:tcPr>
          <w:p w14:paraId="548F1DF5" w14:textId="169D6612" w:rsidR="00DE3B0D" w:rsidRDefault="00DE3B0D" w:rsidP="00A95E63">
            <w:pPr>
              <w:pStyle w:val="TableText"/>
            </w:pPr>
            <w:r>
              <w:t>Calls</w:t>
            </w:r>
            <w:r w:rsidR="00D23ECC">
              <w:t xml:space="preserve"> </w:t>
            </w:r>
            <w:r>
              <w:t>answered</w:t>
            </w:r>
            <w:r w:rsidR="00D23ECC">
              <w:t xml:space="preserve"> </w:t>
            </w:r>
            <w:r>
              <w:t>–</w:t>
            </w:r>
            <w:r w:rsidR="00D23ECC">
              <w:t xml:space="preserve"> </w:t>
            </w:r>
            <w:r>
              <w:t>residential</w:t>
            </w:r>
            <w:r w:rsidR="00D23ECC">
              <w:t xml:space="preserve"> </w:t>
            </w:r>
            <w:r>
              <w:t>tenancies</w:t>
            </w:r>
          </w:p>
        </w:tc>
        <w:tc>
          <w:tcPr>
            <w:tcW w:w="1361" w:type="dxa"/>
          </w:tcPr>
          <w:p w14:paraId="117D1DAB" w14:textId="77777777" w:rsidR="00DE3B0D" w:rsidRDefault="00DE3B0D" w:rsidP="00A95E63">
            <w:pPr>
              <w:pStyle w:val="TableTextRight"/>
            </w:pPr>
            <w:r>
              <w:t>64,118</w:t>
            </w:r>
          </w:p>
        </w:tc>
        <w:tc>
          <w:tcPr>
            <w:tcW w:w="1361" w:type="dxa"/>
          </w:tcPr>
          <w:p w14:paraId="07E7DE8C" w14:textId="77777777" w:rsidR="00DE3B0D" w:rsidRDefault="00DE3B0D" w:rsidP="00A95E63">
            <w:pPr>
              <w:pStyle w:val="TableTextRight"/>
            </w:pPr>
            <w:r>
              <w:t>67,678</w:t>
            </w:r>
          </w:p>
        </w:tc>
        <w:tc>
          <w:tcPr>
            <w:tcW w:w="1361" w:type="dxa"/>
          </w:tcPr>
          <w:p w14:paraId="655167E4" w14:textId="77777777" w:rsidR="00DE3B0D" w:rsidRDefault="00DE3B0D" w:rsidP="00A95E63">
            <w:pPr>
              <w:pStyle w:val="TableTextRight"/>
            </w:pPr>
            <w:r>
              <w:t>93,153</w:t>
            </w:r>
          </w:p>
        </w:tc>
      </w:tr>
      <w:tr w:rsidR="00DE3B0D" w14:paraId="6EFF1740" w14:textId="77777777" w:rsidTr="00373B3B">
        <w:trPr>
          <w:trHeight w:val="60"/>
        </w:trPr>
        <w:tc>
          <w:tcPr>
            <w:tcW w:w="4990" w:type="dxa"/>
          </w:tcPr>
          <w:p w14:paraId="75E737DB" w14:textId="5B887D5C" w:rsidR="00DE3B0D" w:rsidRDefault="00DE3B0D" w:rsidP="00A95E63">
            <w:pPr>
              <w:pStyle w:val="TableText"/>
            </w:pPr>
            <w:r>
              <w:t>Calls</w:t>
            </w:r>
            <w:r w:rsidR="00D23ECC">
              <w:t xml:space="preserve"> </w:t>
            </w:r>
            <w:r>
              <w:t>answered</w:t>
            </w:r>
            <w:r w:rsidR="00D23ECC">
              <w:t xml:space="preserve"> </w:t>
            </w:r>
            <w:r>
              <w:t>–</w:t>
            </w:r>
            <w:r w:rsidR="00D23ECC">
              <w:t xml:space="preserve"> </w:t>
            </w:r>
            <w:r>
              <w:t>RTBA</w:t>
            </w:r>
          </w:p>
        </w:tc>
        <w:tc>
          <w:tcPr>
            <w:tcW w:w="1361" w:type="dxa"/>
          </w:tcPr>
          <w:p w14:paraId="4256D65A" w14:textId="77777777" w:rsidR="00DE3B0D" w:rsidRDefault="00DE3B0D" w:rsidP="00A95E63">
            <w:pPr>
              <w:pStyle w:val="TableTextRight"/>
            </w:pPr>
            <w:r>
              <w:t>73,446</w:t>
            </w:r>
          </w:p>
        </w:tc>
        <w:tc>
          <w:tcPr>
            <w:tcW w:w="1361" w:type="dxa"/>
          </w:tcPr>
          <w:p w14:paraId="186A1609" w14:textId="77777777" w:rsidR="00DE3B0D" w:rsidRDefault="00DE3B0D" w:rsidP="00A95E63">
            <w:pPr>
              <w:pStyle w:val="TableTextRight"/>
            </w:pPr>
            <w:r>
              <w:t>55,225</w:t>
            </w:r>
          </w:p>
        </w:tc>
        <w:tc>
          <w:tcPr>
            <w:tcW w:w="1361" w:type="dxa"/>
          </w:tcPr>
          <w:p w14:paraId="38DC1ADB" w14:textId="77777777" w:rsidR="00DE3B0D" w:rsidRDefault="00DE3B0D" w:rsidP="00A95E63">
            <w:pPr>
              <w:pStyle w:val="TableTextRight"/>
            </w:pPr>
            <w:r>
              <w:t>32,855</w:t>
            </w:r>
          </w:p>
        </w:tc>
      </w:tr>
      <w:tr w:rsidR="00DE3B0D" w14:paraId="6F6304EC" w14:textId="77777777" w:rsidTr="002F22DF">
        <w:trPr>
          <w:trHeight w:val="60"/>
        </w:trPr>
        <w:tc>
          <w:tcPr>
            <w:tcW w:w="4990" w:type="dxa"/>
            <w:gridSpan w:val="4"/>
            <w:shd w:val="clear" w:color="auto" w:fill="B2D5F0"/>
          </w:tcPr>
          <w:p w14:paraId="4B2BEE55" w14:textId="77777777" w:rsidR="00DE3B0D" w:rsidRDefault="00DE3B0D" w:rsidP="00A95E63">
            <w:pPr>
              <w:pStyle w:val="TableTextBold"/>
            </w:pPr>
            <w:r>
              <w:t>Compliance</w:t>
            </w:r>
          </w:p>
        </w:tc>
      </w:tr>
      <w:tr w:rsidR="00DE3B0D" w14:paraId="33834D7C" w14:textId="77777777" w:rsidTr="00373B3B">
        <w:trPr>
          <w:trHeight w:val="60"/>
        </w:trPr>
        <w:tc>
          <w:tcPr>
            <w:tcW w:w="4990" w:type="dxa"/>
          </w:tcPr>
          <w:p w14:paraId="44C0CDF7" w14:textId="57E5956A" w:rsidR="00DE3B0D" w:rsidRDefault="00DE3B0D" w:rsidP="00A95E63">
            <w:pPr>
              <w:pStyle w:val="TableText"/>
            </w:pPr>
            <w:r>
              <w:t>Rooming</w:t>
            </w:r>
            <w:r w:rsidR="00D23ECC">
              <w:t xml:space="preserve"> </w:t>
            </w:r>
            <w:r>
              <w:t>house</w:t>
            </w:r>
            <w:r w:rsidR="00D23ECC">
              <w:t xml:space="preserve"> </w:t>
            </w:r>
            <w:r>
              <w:t>inspections</w:t>
            </w:r>
            <w:r w:rsidR="00D23ECC">
              <w:t xml:space="preserve"> </w:t>
            </w:r>
            <w:r>
              <w:t>(including</w:t>
            </w:r>
            <w:r w:rsidR="00D23ECC">
              <w:t xml:space="preserve"> </w:t>
            </w:r>
            <w:r>
              <w:t>repeat</w:t>
            </w:r>
            <w:r w:rsidR="00D23ECC">
              <w:t xml:space="preserve"> </w:t>
            </w:r>
            <w:r>
              <w:t>visits)</w:t>
            </w:r>
          </w:p>
        </w:tc>
        <w:tc>
          <w:tcPr>
            <w:tcW w:w="1361" w:type="dxa"/>
          </w:tcPr>
          <w:p w14:paraId="33AA5CDD" w14:textId="77777777" w:rsidR="00DE3B0D" w:rsidRDefault="00DE3B0D" w:rsidP="00A95E63">
            <w:pPr>
              <w:pStyle w:val="TableTextRight"/>
            </w:pPr>
            <w:r>
              <w:t>406</w:t>
            </w:r>
          </w:p>
        </w:tc>
        <w:tc>
          <w:tcPr>
            <w:tcW w:w="1361" w:type="dxa"/>
          </w:tcPr>
          <w:p w14:paraId="29B965D9" w14:textId="77777777" w:rsidR="00DE3B0D" w:rsidRDefault="00DE3B0D" w:rsidP="00A95E63">
            <w:pPr>
              <w:pStyle w:val="TableTextRight"/>
            </w:pPr>
            <w:r>
              <w:t>267</w:t>
            </w:r>
          </w:p>
        </w:tc>
        <w:tc>
          <w:tcPr>
            <w:tcW w:w="1361" w:type="dxa"/>
          </w:tcPr>
          <w:p w14:paraId="48850E52" w14:textId="77777777" w:rsidR="00DE3B0D" w:rsidRDefault="00DE3B0D" w:rsidP="00A95E63">
            <w:pPr>
              <w:pStyle w:val="TableTextRight"/>
            </w:pPr>
            <w:r>
              <w:t>187</w:t>
            </w:r>
          </w:p>
        </w:tc>
      </w:tr>
      <w:tr w:rsidR="00DE3B0D" w14:paraId="6A76AD21" w14:textId="77777777" w:rsidTr="00373B3B">
        <w:trPr>
          <w:trHeight w:val="60"/>
        </w:trPr>
        <w:tc>
          <w:tcPr>
            <w:tcW w:w="4990" w:type="dxa"/>
          </w:tcPr>
          <w:p w14:paraId="4F4064E3" w14:textId="5CAFD4B2" w:rsidR="00DE3B0D" w:rsidRDefault="00DE3B0D" w:rsidP="00A95E63">
            <w:pPr>
              <w:pStyle w:val="TableText"/>
            </w:pPr>
            <w:r>
              <w:t>Rooming</w:t>
            </w:r>
            <w:r w:rsidR="00D23ECC">
              <w:t xml:space="preserve"> </w:t>
            </w:r>
            <w:r>
              <w:t>houses</w:t>
            </w:r>
            <w:r w:rsidR="00D23ECC">
              <w:t xml:space="preserve"> </w:t>
            </w:r>
            <w:r>
              <w:t>registered</w:t>
            </w:r>
          </w:p>
        </w:tc>
        <w:tc>
          <w:tcPr>
            <w:tcW w:w="1361" w:type="dxa"/>
          </w:tcPr>
          <w:p w14:paraId="746B464F" w14:textId="77777777" w:rsidR="00DE3B0D" w:rsidRDefault="00DE3B0D" w:rsidP="00A95E63">
            <w:pPr>
              <w:pStyle w:val="TableTextRight"/>
            </w:pPr>
            <w:r>
              <w:t>1,340</w:t>
            </w:r>
          </w:p>
        </w:tc>
        <w:tc>
          <w:tcPr>
            <w:tcW w:w="1361" w:type="dxa"/>
          </w:tcPr>
          <w:p w14:paraId="5275297A" w14:textId="77777777" w:rsidR="00DE3B0D" w:rsidRDefault="00DE3B0D" w:rsidP="00A95E63">
            <w:pPr>
              <w:pStyle w:val="TableTextRight"/>
            </w:pPr>
            <w:r>
              <w:t>1,400</w:t>
            </w:r>
          </w:p>
        </w:tc>
        <w:tc>
          <w:tcPr>
            <w:tcW w:w="1361" w:type="dxa"/>
          </w:tcPr>
          <w:p w14:paraId="73C512FF" w14:textId="77777777" w:rsidR="00DE3B0D" w:rsidRDefault="00DE3B0D" w:rsidP="00A95E63">
            <w:pPr>
              <w:pStyle w:val="TableTextRight"/>
            </w:pPr>
            <w:r>
              <w:t>1,419</w:t>
            </w:r>
          </w:p>
        </w:tc>
      </w:tr>
      <w:tr w:rsidR="00DE3B0D" w14:paraId="6282E770" w14:textId="77777777" w:rsidTr="002F22DF">
        <w:trPr>
          <w:trHeight w:val="60"/>
        </w:trPr>
        <w:tc>
          <w:tcPr>
            <w:tcW w:w="4990" w:type="dxa"/>
            <w:gridSpan w:val="4"/>
            <w:shd w:val="clear" w:color="auto" w:fill="B2D5F0"/>
          </w:tcPr>
          <w:p w14:paraId="65DCCBCA" w14:textId="77777777" w:rsidR="00DE3B0D" w:rsidRDefault="00DE3B0D" w:rsidP="00A95E63">
            <w:pPr>
              <w:pStyle w:val="TableTextBold"/>
            </w:pPr>
            <w:r>
              <w:t>Transactions</w:t>
            </w:r>
          </w:p>
        </w:tc>
      </w:tr>
      <w:tr w:rsidR="00DE3B0D" w14:paraId="7895B16A" w14:textId="77777777" w:rsidTr="00373B3B">
        <w:trPr>
          <w:trHeight w:val="60"/>
        </w:trPr>
        <w:tc>
          <w:tcPr>
            <w:tcW w:w="4990" w:type="dxa"/>
          </w:tcPr>
          <w:p w14:paraId="52F59279" w14:textId="1B80968B" w:rsidR="00DE3B0D" w:rsidRDefault="00DE3B0D" w:rsidP="00A95E63">
            <w:pPr>
              <w:pStyle w:val="TableText"/>
            </w:pPr>
            <w:r>
              <w:t>Bonds</w:t>
            </w:r>
            <w:r w:rsidR="00D23ECC">
              <w:t xml:space="preserve"> </w:t>
            </w:r>
            <w:r>
              <w:t>lodged</w:t>
            </w:r>
          </w:p>
        </w:tc>
        <w:tc>
          <w:tcPr>
            <w:tcW w:w="1361" w:type="dxa"/>
          </w:tcPr>
          <w:p w14:paraId="3200FD2E" w14:textId="77777777" w:rsidR="00DE3B0D" w:rsidRDefault="00DE3B0D" w:rsidP="00A95E63">
            <w:pPr>
              <w:pStyle w:val="TableTextRight"/>
            </w:pPr>
            <w:r>
              <w:t>244,756</w:t>
            </w:r>
          </w:p>
        </w:tc>
        <w:tc>
          <w:tcPr>
            <w:tcW w:w="1361" w:type="dxa"/>
          </w:tcPr>
          <w:p w14:paraId="6AFDA3A7" w14:textId="77777777" w:rsidR="00DE3B0D" w:rsidRDefault="00DE3B0D" w:rsidP="00A95E63">
            <w:pPr>
              <w:pStyle w:val="TableTextRight"/>
            </w:pPr>
            <w:r>
              <w:t>253,650</w:t>
            </w:r>
          </w:p>
        </w:tc>
        <w:tc>
          <w:tcPr>
            <w:tcW w:w="1361" w:type="dxa"/>
          </w:tcPr>
          <w:p w14:paraId="1F7C249F" w14:textId="77777777" w:rsidR="00DE3B0D" w:rsidRDefault="00DE3B0D" w:rsidP="00A95E63">
            <w:pPr>
              <w:pStyle w:val="TableTextRight"/>
            </w:pPr>
            <w:r>
              <w:t>250,170</w:t>
            </w:r>
          </w:p>
        </w:tc>
      </w:tr>
      <w:tr w:rsidR="00DE3B0D" w14:paraId="1B2F34EF" w14:textId="77777777" w:rsidTr="00373B3B">
        <w:trPr>
          <w:trHeight w:val="60"/>
        </w:trPr>
        <w:tc>
          <w:tcPr>
            <w:tcW w:w="4990" w:type="dxa"/>
          </w:tcPr>
          <w:p w14:paraId="21C41E8E" w14:textId="652304D4" w:rsidR="00DE3B0D" w:rsidRDefault="00DE3B0D" w:rsidP="00A95E63">
            <w:pPr>
              <w:pStyle w:val="TableText"/>
            </w:pPr>
            <w:r>
              <w:t>Bond</w:t>
            </w:r>
            <w:r w:rsidR="00D23ECC">
              <w:t xml:space="preserve"> </w:t>
            </w:r>
            <w:r>
              <w:t>repayments</w:t>
            </w:r>
          </w:p>
        </w:tc>
        <w:tc>
          <w:tcPr>
            <w:tcW w:w="1361" w:type="dxa"/>
          </w:tcPr>
          <w:p w14:paraId="7BD4E88D" w14:textId="77777777" w:rsidR="00DE3B0D" w:rsidRDefault="00DE3B0D" w:rsidP="00A95E63">
            <w:pPr>
              <w:pStyle w:val="TableTextRight"/>
            </w:pPr>
            <w:r>
              <w:t>219,297</w:t>
            </w:r>
          </w:p>
        </w:tc>
        <w:tc>
          <w:tcPr>
            <w:tcW w:w="1361" w:type="dxa"/>
          </w:tcPr>
          <w:p w14:paraId="31EA678E" w14:textId="77777777" w:rsidR="00DE3B0D" w:rsidRDefault="00DE3B0D" w:rsidP="00A95E63">
            <w:pPr>
              <w:pStyle w:val="TableTextRight"/>
            </w:pPr>
            <w:r>
              <w:t>239,175</w:t>
            </w:r>
          </w:p>
        </w:tc>
        <w:tc>
          <w:tcPr>
            <w:tcW w:w="1361" w:type="dxa"/>
          </w:tcPr>
          <w:p w14:paraId="08936FA8" w14:textId="77777777" w:rsidR="00DE3B0D" w:rsidRDefault="00DE3B0D" w:rsidP="00A95E63">
            <w:pPr>
              <w:pStyle w:val="TableTextRight"/>
            </w:pPr>
            <w:r>
              <w:t>248,166</w:t>
            </w:r>
          </w:p>
        </w:tc>
      </w:tr>
      <w:tr w:rsidR="00DE3B0D" w14:paraId="15D51395" w14:textId="77777777" w:rsidTr="00373B3B">
        <w:trPr>
          <w:trHeight w:val="60"/>
        </w:trPr>
        <w:tc>
          <w:tcPr>
            <w:tcW w:w="4990" w:type="dxa"/>
          </w:tcPr>
          <w:p w14:paraId="7D0E7170" w14:textId="5B570A0D" w:rsidR="00DE3B0D" w:rsidRDefault="00DE3B0D" w:rsidP="00A95E63">
            <w:pPr>
              <w:pStyle w:val="TableText"/>
            </w:pPr>
            <w:r>
              <w:t>Bonds</w:t>
            </w:r>
            <w:r w:rsidR="00D23ECC">
              <w:t xml:space="preserve"> </w:t>
            </w:r>
            <w:r>
              <w:t>transferred</w:t>
            </w:r>
          </w:p>
        </w:tc>
        <w:tc>
          <w:tcPr>
            <w:tcW w:w="1361" w:type="dxa"/>
          </w:tcPr>
          <w:p w14:paraId="2E22D3DE" w14:textId="77777777" w:rsidR="00DE3B0D" w:rsidRDefault="00DE3B0D" w:rsidP="00A95E63">
            <w:pPr>
              <w:pStyle w:val="TableTextRight"/>
            </w:pPr>
            <w:r>
              <w:t>81,698</w:t>
            </w:r>
          </w:p>
        </w:tc>
        <w:tc>
          <w:tcPr>
            <w:tcW w:w="1361" w:type="dxa"/>
          </w:tcPr>
          <w:p w14:paraId="0926C0FF" w14:textId="77777777" w:rsidR="00DE3B0D" w:rsidRDefault="00DE3B0D" w:rsidP="00A95E63">
            <w:pPr>
              <w:pStyle w:val="TableTextRight"/>
            </w:pPr>
            <w:r>
              <w:t>83,305</w:t>
            </w:r>
          </w:p>
        </w:tc>
        <w:tc>
          <w:tcPr>
            <w:tcW w:w="1361" w:type="dxa"/>
          </w:tcPr>
          <w:p w14:paraId="2EC6A5D8" w14:textId="77777777" w:rsidR="00DE3B0D" w:rsidRDefault="00DE3B0D" w:rsidP="00A95E63">
            <w:pPr>
              <w:pStyle w:val="TableTextRight"/>
            </w:pPr>
            <w:r>
              <w:t>75,172</w:t>
            </w:r>
          </w:p>
        </w:tc>
      </w:tr>
      <w:tr w:rsidR="00DE3B0D" w14:paraId="3CE36C46" w14:textId="77777777" w:rsidTr="00373B3B">
        <w:trPr>
          <w:trHeight w:val="60"/>
        </w:trPr>
        <w:tc>
          <w:tcPr>
            <w:tcW w:w="4990" w:type="dxa"/>
          </w:tcPr>
          <w:p w14:paraId="2A5CF2E1" w14:textId="15EFE908" w:rsidR="00DE3B0D" w:rsidRDefault="00DE3B0D" w:rsidP="00A95E63">
            <w:pPr>
              <w:pStyle w:val="TableText"/>
            </w:pPr>
            <w:r>
              <w:t>Bonds</w:t>
            </w:r>
            <w:r w:rsidR="00D23ECC">
              <w:t xml:space="preserve"> </w:t>
            </w:r>
            <w:r>
              <w:t>held</w:t>
            </w:r>
          </w:p>
        </w:tc>
        <w:tc>
          <w:tcPr>
            <w:tcW w:w="1361" w:type="dxa"/>
          </w:tcPr>
          <w:p w14:paraId="4ADE5A9C" w14:textId="77777777" w:rsidR="00DE3B0D" w:rsidRDefault="00DE3B0D" w:rsidP="00A95E63">
            <w:pPr>
              <w:pStyle w:val="TableTextRight"/>
            </w:pPr>
            <w:r>
              <w:t>669,688</w:t>
            </w:r>
          </w:p>
        </w:tc>
        <w:tc>
          <w:tcPr>
            <w:tcW w:w="1361" w:type="dxa"/>
          </w:tcPr>
          <w:p w14:paraId="4F46E757" w14:textId="77777777" w:rsidR="00DE3B0D" w:rsidRDefault="00DE3B0D" w:rsidP="00A95E63">
            <w:pPr>
              <w:pStyle w:val="TableTextRight"/>
            </w:pPr>
            <w:r>
              <w:t>684,163</w:t>
            </w:r>
          </w:p>
        </w:tc>
        <w:tc>
          <w:tcPr>
            <w:tcW w:w="1361" w:type="dxa"/>
          </w:tcPr>
          <w:p w14:paraId="6E25D82F" w14:textId="77777777" w:rsidR="00DE3B0D" w:rsidRDefault="00DE3B0D" w:rsidP="00A95E63">
            <w:pPr>
              <w:pStyle w:val="TableTextRight"/>
            </w:pPr>
            <w:r>
              <w:t>686,167</w:t>
            </w:r>
          </w:p>
        </w:tc>
      </w:tr>
      <w:tr w:rsidR="00DE3B0D" w14:paraId="1B91393E" w14:textId="77777777" w:rsidTr="00373B3B">
        <w:trPr>
          <w:trHeight w:val="60"/>
        </w:trPr>
        <w:tc>
          <w:tcPr>
            <w:tcW w:w="4990" w:type="dxa"/>
          </w:tcPr>
          <w:p w14:paraId="7BBD942A" w14:textId="3280544E" w:rsidR="00DE3B0D" w:rsidRDefault="00DE3B0D" w:rsidP="00A95E63">
            <w:pPr>
              <w:pStyle w:val="TableText"/>
            </w:pPr>
            <w:r>
              <w:t>Value</w:t>
            </w:r>
            <w:r w:rsidR="00D23ECC">
              <w:t xml:space="preserve"> </w:t>
            </w:r>
            <w:r>
              <w:t>held</w:t>
            </w:r>
          </w:p>
        </w:tc>
        <w:tc>
          <w:tcPr>
            <w:tcW w:w="1361" w:type="dxa"/>
          </w:tcPr>
          <w:p w14:paraId="32EA0E30" w14:textId="252C0975" w:rsidR="00DE3B0D" w:rsidRDefault="00DE3B0D" w:rsidP="00A95E63">
            <w:pPr>
              <w:pStyle w:val="TableTextRight"/>
            </w:pPr>
            <w:r>
              <w:t>$1.22</w:t>
            </w:r>
            <w:r w:rsidR="00D23ECC">
              <w:t xml:space="preserve"> </w:t>
            </w:r>
            <w:r>
              <w:t>billion</w:t>
            </w:r>
          </w:p>
        </w:tc>
        <w:tc>
          <w:tcPr>
            <w:tcW w:w="1361" w:type="dxa"/>
          </w:tcPr>
          <w:p w14:paraId="582F15E3" w14:textId="5D94E14E" w:rsidR="00DE3B0D" w:rsidRDefault="00DE3B0D" w:rsidP="00A95E63">
            <w:pPr>
              <w:pStyle w:val="TableTextRight"/>
            </w:pPr>
            <w:r>
              <w:t>$1.27</w:t>
            </w:r>
            <w:r w:rsidR="00D23ECC">
              <w:t xml:space="preserve"> </w:t>
            </w:r>
            <w:r>
              <w:t>billion</w:t>
            </w:r>
          </w:p>
        </w:tc>
        <w:tc>
          <w:tcPr>
            <w:tcW w:w="1361" w:type="dxa"/>
          </w:tcPr>
          <w:p w14:paraId="21678620" w14:textId="5E46EF4E" w:rsidR="00DE3B0D" w:rsidRDefault="00DE3B0D" w:rsidP="00A95E63">
            <w:pPr>
              <w:pStyle w:val="TableTextRight"/>
            </w:pPr>
            <w:r>
              <w:t>$1.24</w:t>
            </w:r>
            <w:r w:rsidR="00D23ECC">
              <w:t xml:space="preserve"> </w:t>
            </w:r>
            <w:r>
              <w:t>billion</w:t>
            </w:r>
          </w:p>
        </w:tc>
      </w:tr>
      <w:tr w:rsidR="00DE3B0D" w14:paraId="124424EC" w14:textId="77777777" w:rsidTr="00373B3B">
        <w:trPr>
          <w:trHeight w:val="60"/>
        </w:trPr>
        <w:tc>
          <w:tcPr>
            <w:tcW w:w="4990" w:type="dxa"/>
          </w:tcPr>
          <w:p w14:paraId="2D4DBB2B" w14:textId="78FA4081" w:rsidR="00DE3B0D" w:rsidRDefault="00DE3B0D" w:rsidP="00A95E63">
            <w:pPr>
              <w:pStyle w:val="TableText"/>
            </w:pPr>
            <w:r>
              <w:t>Total</w:t>
            </w:r>
            <w:r w:rsidR="00D23ECC">
              <w:t xml:space="preserve"> </w:t>
            </w:r>
            <w:r>
              <w:t>transactions</w:t>
            </w:r>
            <w:r w:rsidR="00D23ECC">
              <w:t xml:space="preserve"> </w:t>
            </w:r>
            <w:r>
              <w:t>(bonds</w:t>
            </w:r>
            <w:r w:rsidR="00D23ECC">
              <w:t xml:space="preserve"> </w:t>
            </w:r>
            <w:r>
              <w:t>lodged</w:t>
            </w:r>
            <w:r w:rsidR="00D23ECC">
              <w:t xml:space="preserve"> </w:t>
            </w:r>
            <w:r>
              <w:t>and</w:t>
            </w:r>
            <w:r w:rsidR="00D23ECC">
              <w:t xml:space="preserve"> </w:t>
            </w:r>
            <w:r>
              <w:t>repaid)</w:t>
            </w:r>
            <w:r w:rsidR="00D23ECC">
              <w:t xml:space="preserve"> </w:t>
            </w:r>
            <w:r>
              <w:t>–</w:t>
            </w:r>
            <w:r w:rsidR="00D23ECC">
              <w:t xml:space="preserve"> </w:t>
            </w:r>
            <w:r>
              <w:t>RTBA</w:t>
            </w:r>
          </w:p>
        </w:tc>
        <w:tc>
          <w:tcPr>
            <w:tcW w:w="1361" w:type="dxa"/>
          </w:tcPr>
          <w:p w14:paraId="1A122A94" w14:textId="77777777" w:rsidR="00DE3B0D" w:rsidRDefault="00DE3B0D" w:rsidP="00A95E63">
            <w:pPr>
              <w:pStyle w:val="TableTextRight"/>
            </w:pPr>
            <w:r>
              <w:t>464,053</w:t>
            </w:r>
          </w:p>
        </w:tc>
        <w:tc>
          <w:tcPr>
            <w:tcW w:w="1361" w:type="dxa"/>
          </w:tcPr>
          <w:p w14:paraId="45F82DF5" w14:textId="77777777" w:rsidR="00DE3B0D" w:rsidRDefault="00DE3B0D" w:rsidP="00A95E63">
            <w:pPr>
              <w:pStyle w:val="TableTextRight"/>
            </w:pPr>
            <w:r>
              <w:t>492,822</w:t>
            </w:r>
          </w:p>
        </w:tc>
        <w:tc>
          <w:tcPr>
            <w:tcW w:w="1361" w:type="dxa"/>
          </w:tcPr>
          <w:p w14:paraId="5D07E0B3" w14:textId="77777777" w:rsidR="00DE3B0D" w:rsidRDefault="00DE3B0D" w:rsidP="00A95E63">
            <w:pPr>
              <w:pStyle w:val="TableTextRight"/>
            </w:pPr>
            <w:r>
              <w:t>498,336</w:t>
            </w:r>
          </w:p>
        </w:tc>
      </w:tr>
      <w:tr w:rsidR="00DE3B0D" w14:paraId="20AF5415" w14:textId="77777777" w:rsidTr="002F22DF">
        <w:trPr>
          <w:trHeight w:val="60"/>
        </w:trPr>
        <w:tc>
          <w:tcPr>
            <w:tcW w:w="4990" w:type="dxa"/>
            <w:gridSpan w:val="4"/>
            <w:shd w:val="clear" w:color="auto" w:fill="B2D5F0"/>
          </w:tcPr>
          <w:p w14:paraId="5B4928CE" w14:textId="67FB54BC" w:rsidR="00DE3B0D" w:rsidRDefault="00DE3B0D" w:rsidP="00A95E63">
            <w:pPr>
              <w:pStyle w:val="TableTextBold"/>
            </w:pPr>
            <w:r>
              <w:t>Face-to-face</w:t>
            </w:r>
            <w:r w:rsidR="00D23ECC">
              <w:t xml:space="preserve"> </w:t>
            </w:r>
            <w:r>
              <w:t>or</w:t>
            </w:r>
            <w:r w:rsidR="00D23ECC">
              <w:t xml:space="preserve"> </w:t>
            </w:r>
            <w:r>
              <w:t>intensive</w:t>
            </w:r>
            <w:r w:rsidR="00D23ECC">
              <w:t xml:space="preserve"> </w:t>
            </w:r>
            <w:r>
              <w:t>assistance</w:t>
            </w:r>
          </w:p>
        </w:tc>
      </w:tr>
      <w:tr w:rsidR="00DE3B0D" w14:paraId="157E2F64" w14:textId="77777777" w:rsidTr="002F22DF">
        <w:trPr>
          <w:trHeight w:val="60"/>
        </w:trPr>
        <w:tc>
          <w:tcPr>
            <w:tcW w:w="4990" w:type="dxa"/>
            <w:gridSpan w:val="4"/>
            <w:shd w:val="clear" w:color="auto" w:fill="CCE3F5"/>
          </w:tcPr>
          <w:p w14:paraId="01397D07" w14:textId="31619DF4" w:rsidR="00DE3B0D" w:rsidRPr="002F22DF" w:rsidRDefault="00DE3B0D" w:rsidP="002F22DF">
            <w:pPr>
              <w:pStyle w:val="TableTextBold"/>
            </w:pPr>
            <w:r w:rsidRPr="002F22DF">
              <w:t>Funded</w:t>
            </w:r>
            <w:r w:rsidR="00D23ECC" w:rsidRPr="002F22DF">
              <w:t xml:space="preserve"> </w:t>
            </w:r>
            <w:r w:rsidRPr="002F22DF">
              <w:t>community</w:t>
            </w:r>
            <w:r w:rsidR="00D23ECC" w:rsidRPr="002F22DF">
              <w:t xml:space="preserve"> </w:t>
            </w:r>
            <w:r w:rsidRPr="002F22DF">
              <w:t>services</w:t>
            </w:r>
          </w:p>
        </w:tc>
      </w:tr>
      <w:tr w:rsidR="00DE3B0D" w14:paraId="53E3E8D8" w14:textId="77777777" w:rsidTr="00373B3B">
        <w:trPr>
          <w:trHeight w:val="60"/>
        </w:trPr>
        <w:tc>
          <w:tcPr>
            <w:tcW w:w="4990" w:type="dxa"/>
          </w:tcPr>
          <w:p w14:paraId="24ECCB80" w14:textId="7F529EE6" w:rsidR="00DE3B0D" w:rsidRDefault="00DE3B0D" w:rsidP="00A95E63">
            <w:pPr>
              <w:pStyle w:val="TableText"/>
            </w:pPr>
            <w:r>
              <w:t>Tenants</w:t>
            </w:r>
            <w:r w:rsidR="00D23ECC">
              <w:t xml:space="preserve"> </w:t>
            </w:r>
            <w:r>
              <w:t>assisted</w:t>
            </w:r>
            <w:r w:rsidR="00D23ECC">
              <w:t xml:space="preserve"> </w:t>
            </w:r>
            <w:r>
              <w:t>under</w:t>
            </w:r>
            <w:r w:rsidR="00D23ECC">
              <w:t xml:space="preserve"> </w:t>
            </w:r>
            <w:r>
              <w:t>the</w:t>
            </w:r>
            <w:r w:rsidR="00D23ECC">
              <w:t xml:space="preserve"> </w:t>
            </w:r>
            <w:r>
              <w:t>Tenancy</w:t>
            </w:r>
            <w:r w:rsidR="00D23ECC">
              <w:t xml:space="preserve"> </w:t>
            </w:r>
            <w:r>
              <w:t>Assistance</w:t>
            </w:r>
            <w:r w:rsidR="00D23ECC">
              <w:t xml:space="preserve"> </w:t>
            </w:r>
            <w:r>
              <w:t>and</w:t>
            </w:r>
            <w:r w:rsidR="00D23ECC">
              <w:t xml:space="preserve"> </w:t>
            </w:r>
            <w:r>
              <w:t>Advocacy</w:t>
            </w:r>
            <w:r w:rsidR="00D23ECC">
              <w:t xml:space="preserve"> </w:t>
            </w:r>
            <w:r>
              <w:t>Program</w:t>
            </w:r>
          </w:p>
        </w:tc>
        <w:tc>
          <w:tcPr>
            <w:tcW w:w="1361" w:type="dxa"/>
          </w:tcPr>
          <w:p w14:paraId="2B47A702" w14:textId="77777777" w:rsidR="00DE3B0D" w:rsidRDefault="00DE3B0D" w:rsidP="00A95E63">
            <w:pPr>
              <w:pStyle w:val="TableTextRight"/>
            </w:pPr>
            <w:r>
              <w:t>8,195</w:t>
            </w:r>
          </w:p>
        </w:tc>
        <w:tc>
          <w:tcPr>
            <w:tcW w:w="1361" w:type="dxa"/>
          </w:tcPr>
          <w:p w14:paraId="76DECE14" w14:textId="77777777" w:rsidR="00DE3B0D" w:rsidRDefault="00DE3B0D" w:rsidP="00A95E63">
            <w:pPr>
              <w:pStyle w:val="TableTextRight"/>
            </w:pPr>
            <w:r>
              <w:t>8,067</w:t>
            </w:r>
          </w:p>
        </w:tc>
        <w:tc>
          <w:tcPr>
            <w:tcW w:w="1361" w:type="dxa"/>
          </w:tcPr>
          <w:p w14:paraId="5C94CF5C" w14:textId="77777777" w:rsidR="00DE3B0D" w:rsidRDefault="00DE3B0D" w:rsidP="00A95E63">
            <w:pPr>
              <w:pStyle w:val="TableTextRight"/>
            </w:pPr>
            <w:r>
              <w:t>6,650</w:t>
            </w:r>
          </w:p>
        </w:tc>
      </w:tr>
      <w:tr w:rsidR="00DE3B0D" w14:paraId="681AD35D" w14:textId="77777777" w:rsidTr="002F22DF">
        <w:trPr>
          <w:trHeight w:val="60"/>
        </w:trPr>
        <w:tc>
          <w:tcPr>
            <w:tcW w:w="4990" w:type="dxa"/>
            <w:gridSpan w:val="4"/>
            <w:shd w:val="clear" w:color="auto" w:fill="CCE3F5"/>
          </w:tcPr>
          <w:p w14:paraId="696879F0" w14:textId="32EE18FE" w:rsidR="00DE3B0D" w:rsidRPr="002F22DF" w:rsidRDefault="00DE3B0D" w:rsidP="00A95E63">
            <w:pPr>
              <w:pStyle w:val="TableTextBold"/>
            </w:pPr>
            <w:r w:rsidRPr="002F22DF">
              <w:t>Residential</w:t>
            </w:r>
            <w:r w:rsidR="00D23ECC" w:rsidRPr="002F22DF">
              <w:t xml:space="preserve"> </w:t>
            </w:r>
            <w:r w:rsidRPr="002F22DF">
              <w:t>tenancy</w:t>
            </w:r>
            <w:r w:rsidR="00D23ECC" w:rsidRPr="002F22DF">
              <w:t xml:space="preserve"> </w:t>
            </w:r>
            <w:r w:rsidRPr="002F22DF">
              <w:t>inspection</w:t>
            </w:r>
            <w:r w:rsidR="00D23ECC" w:rsidRPr="002F22DF">
              <w:t xml:space="preserve"> </w:t>
            </w:r>
            <w:r w:rsidRPr="002F22DF">
              <w:t>advice</w:t>
            </w:r>
            <w:r w:rsidR="00D23ECC" w:rsidRPr="002F22DF">
              <w:t xml:space="preserve"> </w:t>
            </w:r>
            <w:r w:rsidRPr="002F22DF">
              <w:t>provided</w:t>
            </w:r>
          </w:p>
        </w:tc>
      </w:tr>
      <w:tr w:rsidR="00DE3B0D" w14:paraId="1E6EF2D5" w14:textId="77777777" w:rsidTr="00373B3B">
        <w:trPr>
          <w:trHeight w:val="60"/>
        </w:trPr>
        <w:tc>
          <w:tcPr>
            <w:tcW w:w="4990" w:type="dxa"/>
          </w:tcPr>
          <w:p w14:paraId="682B7531" w14:textId="3509A5D5" w:rsidR="00DE3B0D" w:rsidRDefault="00DE3B0D" w:rsidP="00A95E63">
            <w:pPr>
              <w:pStyle w:val="TableText"/>
            </w:pPr>
            <w:r>
              <w:t>Repair</w:t>
            </w:r>
            <w:r w:rsidR="00D23ECC">
              <w:t xml:space="preserve"> </w:t>
            </w:r>
            <w:r>
              <w:t>reports</w:t>
            </w:r>
          </w:p>
        </w:tc>
        <w:tc>
          <w:tcPr>
            <w:tcW w:w="1361" w:type="dxa"/>
          </w:tcPr>
          <w:p w14:paraId="663BD3E8" w14:textId="77777777" w:rsidR="00DE3B0D" w:rsidRDefault="00DE3B0D" w:rsidP="00A95E63">
            <w:pPr>
              <w:pStyle w:val="TableTextRight"/>
            </w:pPr>
            <w:r>
              <w:t>1,049</w:t>
            </w:r>
          </w:p>
        </w:tc>
        <w:tc>
          <w:tcPr>
            <w:tcW w:w="1361" w:type="dxa"/>
          </w:tcPr>
          <w:p w14:paraId="203D55D5" w14:textId="77777777" w:rsidR="00DE3B0D" w:rsidRDefault="00DE3B0D" w:rsidP="00A95E63">
            <w:pPr>
              <w:pStyle w:val="TableTextRight"/>
            </w:pPr>
            <w:r>
              <w:t>910</w:t>
            </w:r>
          </w:p>
        </w:tc>
        <w:tc>
          <w:tcPr>
            <w:tcW w:w="1361" w:type="dxa"/>
          </w:tcPr>
          <w:p w14:paraId="6C128B17" w14:textId="77777777" w:rsidR="00DE3B0D" w:rsidRDefault="00DE3B0D" w:rsidP="00A95E63">
            <w:pPr>
              <w:pStyle w:val="TableTextRight"/>
            </w:pPr>
            <w:r>
              <w:t>2,063</w:t>
            </w:r>
          </w:p>
        </w:tc>
      </w:tr>
      <w:tr w:rsidR="00DE3B0D" w14:paraId="5075EBAC" w14:textId="77777777" w:rsidTr="00373B3B">
        <w:trPr>
          <w:trHeight w:val="60"/>
        </w:trPr>
        <w:tc>
          <w:tcPr>
            <w:tcW w:w="4990" w:type="dxa"/>
          </w:tcPr>
          <w:p w14:paraId="2166AA6D" w14:textId="0600BC7C" w:rsidR="00DE3B0D" w:rsidRDefault="00DE3B0D" w:rsidP="00A95E63">
            <w:pPr>
              <w:pStyle w:val="TableText"/>
            </w:pPr>
            <w:r>
              <w:t>Goods</w:t>
            </w:r>
            <w:r w:rsidR="00D23ECC">
              <w:t xml:space="preserve"> </w:t>
            </w:r>
            <w:r>
              <w:t>left</w:t>
            </w:r>
            <w:r w:rsidR="00D23ECC">
              <w:t xml:space="preserve"> </w:t>
            </w:r>
            <w:r>
              <w:t>behind</w:t>
            </w:r>
            <w:r w:rsidR="00D23ECC">
              <w:t xml:space="preserve"> </w:t>
            </w:r>
            <w:r>
              <w:t>reports</w:t>
            </w:r>
          </w:p>
        </w:tc>
        <w:tc>
          <w:tcPr>
            <w:tcW w:w="1361" w:type="dxa"/>
          </w:tcPr>
          <w:p w14:paraId="7AA4D14A" w14:textId="77777777" w:rsidR="00DE3B0D" w:rsidRDefault="00DE3B0D" w:rsidP="00A95E63">
            <w:pPr>
              <w:pStyle w:val="TableTextRight"/>
            </w:pPr>
            <w:r>
              <w:t>3,133</w:t>
            </w:r>
          </w:p>
        </w:tc>
        <w:tc>
          <w:tcPr>
            <w:tcW w:w="1361" w:type="dxa"/>
          </w:tcPr>
          <w:p w14:paraId="1FFDFED8" w14:textId="77777777" w:rsidR="00DE3B0D" w:rsidRDefault="00DE3B0D" w:rsidP="00A95E63">
            <w:pPr>
              <w:pStyle w:val="TableTextRight"/>
            </w:pPr>
            <w:r>
              <w:t>2,336</w:t>
            </w:r>
          </w:p>
        </w:tc>
        <w:tc>
          <w:tcPr>
            <w:tcW w:w="1361" w:type="dxa"/>
          </w:tcPr>
          <w:p w14:paraId="6E265ACA" w14:textId="77777777" w:rsidR="00DE3B0D" w:rsidRDefault="00DE3B0D" w:rsidP="00A95E63">
            <w:pPr>
              <w:pStyle w:val="TableTextRight"/>
            </w:pPr>
            <w:r>
              <w:t>1,531</w:t>
            </w:r>
          </w:p>
        </w:tc>
      </w:tr>
      <w:tr w:rsidR="00DE3B0D" w14:paraId="62D4C4BF" w14:textId="77777777" w:rsidTr="00373B3B">
        <w:trPr>
          <w:trHeight w:val="60"/>
        </w:trPr>
        <w:tc>
          <w:tcPr>
            <w:tcW w:w="4990" w:type="dxa"/>
          </w:tcPr>
          <w:p w14:paraId="56DEFBBA" w14:textId="20EF3A72" w:rsidR="00DE3B0D" w:rsidRDefault="00DE3B0D" w:rsidP="00A95E63">
            <w:pPr>
              <w:pStyle w:val="TableText"/>
            </w:pPr>
            <w:r>
              <w:t>Rental</w:t>
            </w:r>
            <w:r w:rsidR="00D23ECC">
              <w:t xml:space="preserve"> </w:t>
            </w:r>
            <w:r>
              <w:t>reports</w:t>
            </w:r>
          </w:p>
        </w:tc>
        <w:tc>
          <w:tcPr>
            <w:tcW w:w="1361" w:type="dxa"/>
          </w:tcPr>
          <w:p w14:paraId="436BEB08" w14:textId="77777777" w:rsidR="00DE3B0D" w:rsidRDefault="00DE3B0D" w:rsidP="00A95E63">
            <w:pPr>
              <w:pStyle w:val="TableTextRight"/>
            </w:pPr>
            <w:r>
              <w:t>1,518</w:t>
            </w:r>
          </w:p>
        </w:tc>
        <w:tc>
          <w:tcPr>
            <w:tcW w:w="1361" w:type="dxa"/>
          </w:tcPr>
          <w:p w14:paraId="1E24714B" w14:textId="77777777" w:rsidR="00DE3B0D" w:rsidRDefault="00DE3B0D" w:rsidP="00A95E63">
            <w:pPr>
              <w:pStyle w:val="TableTextRight"/>
            </w:pPr>
            <w:r>
              <w:t>1,258</w:t>
            </w:r>
          </w:p>
        </w:tc>
        <w:tc>
          <w:tcPr>
            <w:tcW w:w="1361" w:type="dxa"/>
          </w:tcPr>
          <w:p w14:paraId="771B067C" w14:textId="77777777" w:rsidR="00DE3B0D" w:rsidRDefault="00DE3B0D" w:rsidP="00A95E63">
            <w:pPr>
              <w:pStyle w:val="TableTextRight"/>
            </w:pPr>
            <w:r>
              <w:t>752</w:t>
            </w:r>
          </w:p>
        </w:tc>
      </w:tr>
    </w:tbl>
    <w:p w14:paraId="133757D3" w14:textId="77777777" w:rsidR="002F22DF" w:rsidRPr="002F22DF" w:rsidRDefault="002F22DF" w:rsidP="002F22DF">
      <w:pPr>
        <w:pStyle w:val="BodyText"/>
      </w:pPr>
      <w:bookmarkStart w:id="26" w:name="_Emergency_measures_for"/>
      <w:bookmarkStart w:id="27" w:name="_Ref85910839"/>
      <w:bookmarkEnd w:id="26"/>
      <w:r w:rsidRPr="002F22DF">
        <w:br w:type="page"/>
      </w:r>
    </w:p>
    <w:p w14:paraId="0D4B3FD0" w14:textId="2B05A929" w:rsidR="00DE3B0D" w:rsidRDefault="00DE3B0D" w:rsidP="00AE374E">
      <w:pPr>
        <w:pStyle w:val="Heading4"/>
      </w:pPr>
      <w:r>
        <w:rPr>
          <w:color w:val="000000"/>
        </w:rPr>
        <w:lastRenderedPageBreak/>
        <w:t>Emergency</w:t>
      </w:r>
      <w:r w:rsidR="00D23ECC">
        <w:rPr>
          <w:color w:val="000000"/>
        </w:rPr>
        <w:t xml:space="preserve"> </w:t>
      </w:r>
      <w:r>
        <w:rPr>
          <w:color w:val="000000"/>
        </w:rPr>
        <w:t>measures</w:t>
      </w:r>
      <w:r w:rsidR="00D23ECC">
        <w:rPr>
          <w:color w:val="000000"/>
        </w:rPr>
        <w:t xml:space="preserve"> </w:t>
      </w:r>
      <w:r>
        <w:rPr>
          <w:color w:val="000000"/>
        </w:rPr>
        <w:t>for</w:t>
      </w:r>
      <w:r w:rsidR="00D23ECC">
        <w:rPr>
          <w:color w:val="000000"/>
        </w:rPr>
        <w:t xml:space="preserve"> </w:t>
      </w:r>
      <w:r>
        <w:rPr>
          <w:color w:val="000000"/>
        </w:rPr>
        <w:t>tenancy</w:t>
      </w:r>
      <w:r w:rsidR="00D23ECC">
        <w:rPr>
          <w:color w:val="000000"/>
        </w:rPr>
        <w:t xml:space="preserve"> </w:t>
      </w:r>
      <w:r>
        <w:rPr>
          <w:color w:val="000000"/>
        </w:rPr>
        <w:t>disputes</w:t>
      </w:r>
      <w:bookmarkEnd w:id="27"/>
    </w:p>
    <w:p w14:paraId="1ADBB9CC" w14:textId="6CCADED6" w:rsidR="00DE3B0D" w:rsidRDefault="00DE3B0D" w:rsidP="00D23ECC">
      <w:pPr>
        <w:pStyle w:val="BodyText"/>
      </w:pPr>
      <w:r>
        <w:t>The</w:t>
      </w:r>
      <w:r w:rsidR="00D23ECC">
        <w:t xml:space="preserve"> </w:t>
      </w:r>
      <w:r w:rsidRPr="00ED78BD">
        <w:rPr>
          <w:rStyle w:val="Emphasis"/>
        </w:rPr>
        <w:t>COVID-19</w:t>
      </w:r>
      <w:r w:rsidR="00D23ECC" w:rsidRPr="00ED78BD">
        <w:rPr>
          <w:rStyle w:val="Emphasis"/>
        </w:rPr>
        <w:t xml:space="preserve"> </w:t>
      </w:r>
      <w:r w:rsidRPr="00ED78BD">
        <w:rPr>
          <w:rStyle w:val="Emphasis"/>
        </w:rPr>
        <w:t>Omnibus</w:t>
      </w:r>
      <w:r w:rsidR="00D23ECC" w:rsidRPr="00ED78BD">
        <w:rPr>
          <w:rStyle w:val="Emphasis"/>
        </w:rPr>
        <w:t xml:space="preserve"> </w:t>
      </w:r>
      <w:r w:rsidRPr="00ED78BD">
        <w:rPr>
          <w:rStyle w:val="Emphasis"/>
        </w:rPr>
        <w:t>(Emergency</w:t>
      </w:r>
      <w:r w:rsidR="00D23ECC" w:rsidRPr="00ED78BD">
        <w:rPr>
          <w:rStyle w:val="Emphasis"/>
        </w:rPr>
        <w:t xml:space="preserve"> </w:t>
      </w:r>
      <w:r w:rsidRPr="00ED78BD">
        <w:rPr>
          <w:rStyle w:val="Emphasis"/>
        </w:rPr>
        <w:t>Measures)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2020</w:t>
      </w:r>
      <w:r w:rsidR="00D23ECC">
        <w:t xml:space="preserve"> </w:t>
      </w:r>
      <w:r>
        <w:t>introduced</w:t>
      </w:r>
      <w:r w:rsidR="00D23ECC">
        <w:t xml:space="preserve"> </w:t>
      </w:r>
      <w:r>
        <w:t>on</w:t>
      </w:r>
      <w:r w:rsidR="00D23ECC">
        <w:t xml:space="preserve"> </w:t>
      </w:r>
      <w:r>
        <w:t>25</w:t>
      </w:r>
      <w:r w:rsidR="00D23ECC">
        <w:t xml:space="preserve"> </w:t>
      </w:r>
      <w:r>
        <w:t>April</w:t>
      </w:r>
      <w:r w:rsidR="00D23ECC">
        <w:t xml:space="preserve"> </w:t>
      </w:r>
      <w:r>
        <w:t>2020</w:t>
      </w:r>
      <w:r w:rsidR="00D23ECC">
        <w:t xml:space="preserve"> </w:t>
      </w:r>
      <w:r>
        <w:t>created</w:t>
      </w:r>
      <w:r w:rsidR="00D23ECC">
        <w:t xml:space="preserve"> </w:t>
      </w:r>
      <w:r>
        <w:t>several</w:t>
      </w:r>
      <w:r w:rsidR="00D23ECC">
        <w:t xml:space="preserve"> </w:t>
      </w:r>
      <w:r>
        <w:t>emergency</w:t>
      </w:r>
      <w:r w:rsidR="00D23ECC">
        <w:t xml:space="preserve"> </w:t>
      </w:r>
      <w:r>
        <w:t>rental</w:t>
      </w:r>
      <w:r w:rsidR="00D23ECC">
        <w:t xml:space="preserve"> </w:t>
      </w:r>
      <w:r>
        <w:t>measures</w:t>
      </w:r>
      <w:r w:rsidR="00D23ECC">
        <w:t xml:space="preserve"> </w:t>
      </w:r>
      <w:r>
        <w:t>designed</w:t>
      </w:r>
      <w:r w:rsidR="00D23ECC">
        <w:t xml:space="preserve"> </w:t>
      </w:r>
      <w:r>
        <w:t>to</w:t>
      </w:r>
      <w:r w:rsidR="00D23ECC">
        <w:t xml:space="preserve"> </w:t>
      </w:r>
      <w:r>
        <w:t>keep</w:t>
      </w:r>
      <w:r w:rsidR="00D23ECC">
        <w:t xml:space="preserve"> </w:t>
      </w:r>
      <w:r>
        <w:t>people</w:t>
      </w:r>
      <w:r w:rsidR="00D23ECC">
        <w:t xml:space="preserve"> </w:t>
      </w:r>
      <w:r>
        <w:t>safe</w:t>
      </w:r>
      <w:r w:rsidR="00D23ECC">
        <w:t xml:space="preserve"> </w:t>
      </w:r>
      <w:r>
        <w:t>and</w:t>
      </w:r>
      <w:r w:rsidR="00D23ECC">
        <w:t xml:space="preserve"> </w:t>
      </w:r>
      <w:r>
        <w:t>in</w:t>
      </w:r>
      <w:r w:rsidR="00D23ECC">
        <w:t xml:space="preserve"> </w:t>
      </w:r>
      <w:r>
        <w:t>a</w:t>
      </w:r>
      <w:r w:rsidR="00D23ECC">
        <w:t xml:space="preserve"> </w:t>
      </w:r>
      <w:r>
        <w:t>home</w:t>
      </w:r>
      <w:r w:rsidR="00D23ECC">
        <w:t xml:space="preserve"> </w:t>
      </w:r>
      <w:r>
        <w:t>during</w:t>
      </w:r>
      <w:r w:rsidR="00D23ECC">
        <w:t xml:space="preserve"> </w:t>
      </w:r>
      <w:r>
        <w:t>the</w:t>
      </w:r>
      <w:r w:rsidR="00D23ECC">
        <w:t xml:space="preserve"> </w:t>
      </w:r>
      <w:r w:rsidR="00876740">
        <w:br/>
      </w:r>
      <w:r>
        <w:t>COVID-19</w:t>
      </w:r>
      <w:r w:rsidR="00D23ECC">
        <w:t xml:space="preserve"> </w:t>
      </w:r>
      <w:r>
        <w:t>pandemic.</w:t>
      </w:r>
      <w:r w:rsidR="00D23ECC">
        <w:t xml:space="preserve"> </w:t>
      </w:r>
      <w:r>
        <w:t>These</w:t>
      </w:r>
      <w:r w:rsidR="00D23ECC">
        <w:t xml:space="preserve"> </w:t>
      </w:r>
      <w:r>
        <w:t>included</w:t>
      </w:r>
      <w:r w:rsidR="00D23ECC">
        <w:t xml:space="preserve"> </w:t>
      </w:r>
      <w:r>
        <w:t>a</w:t>
      </w:r>
      <w:r w:rsidR="00D23ECC">
        <w:t xml:space="preserve"> </w:t>
      </w:r>
      <w:r>
        <w:t>moratorium</w:t>
      </w:r>
      <w:r w:rsidR="00D23ECC">
        <w:t xml:space="preserve"> </w:t>
      </w:r>
      <w:r>
        <w:t>on</w:t>
      </w:r>
      <w:r w:rsidR="00D23ECC">
        <w:t xml:space="preserve"> </w:t>
      </w:r>
      <w:r>
        <w:t>evictions,</w:t>
      </w:r>
      <w:r w:rsidR="00D23ECC">
        <w:t xml:space="preserve"> </w:t>
      </w:r>
      <w:r>
        <w:t>suspension</w:t>
      </w:r>
      <w:r w:rsidR="00D23ECC">
        <w:t xml:space="preserve"> </w:t>
      </w:r>
      <w:r>
        <w:t>of</w:t>
      </w:r>
      <w:r w:rsidR="00D23ECC">
        <w:t xml:space="preserve"> </w:t>
      </w:r>
      <w:r>
        <w:t>rent</w:t>
      </w:r>
      <w:r w:rsidR="00D23ECC">
        <w:t xml:space="preserve"> </w:t>
      </w:r>
      <w:r>
        <w:t>increases</w:t>
      </w:r>
      <w:r w:rsidR="00D23ECC">
        <w:t xml:space="preserve"> </w:t>
      </w:r>
      <w:r>
        <w:t>and</w:t>
      </w:r>
      <w:r w:rsidR="00876740">
        <w:t> </w:t>
      </w:r>
      <w:r>
        <w:t>establishment</w:t>
      </w:r>
      <w:r w:rsidR="00D23ECC">
        <w:t xml:space="preserve"> </w:t>
      </w:r>
      <w:r>
        <w:t>of</w:t>
      </w:r>
      <w:r w:rsidR="00D23ECC">
        <w:t xml:space="preserve"> </w:t>
      </w:r>
      <w:r>
        <w:t>a</w:t>
      </w:r>
      <w:r w:rsidR="00D23ECC">
        <w:t xml:space="preserve"> </w:t>
      </w:r>
      <w:r>
        <w:t>dispute</w:t>
      </w:r>
      <w:r w:rsidR="00D23ECC">
        <w:t xml:space="preserve"> </w:t>
      </w:r>
      <w:r>
        <w:t>resolution</w:t>
      </w:r>
      <w:r w:rsidR="00D23ECC">
        <w:t xml:space="preserve"> </w:t>
      </w:r>
      <w:r>
        <w:t>process</w:t>
      </w:r>
      <w:r w:rsidR="00D23ECC">
        <w:t xml:space="preserve"> </w:t>
      </w:r>
      <w:r>
        <w:t>for</w:t>
      </w:r>
      <w:r w:rsidR="00D23ECC">
        <w:t xml:space="preserve"> </w:t>
      </w:r>
      <w:r>
        <w:t>residential</w:t>
      </w:r>
      <w:r w:rsidR="00D23ECC">
        <w:t xml:space="preserve"> </w:t>
      </w:r>
      <w:r>
        <w:t>tenancies</w:t>
      </w:r>
      <w:r w:rsidR="00D23ECC">
        <w:t xml:space="preserve"> </w:t>
      </w:r>
      <w:r>
        <w:t>rent</w:t>
      </w:r>
      <w:r w:rsidR="00D23ECC">
        <w:t xml:space="preserve"> </w:t>
      </w:r>
      <w:r>
        <w:t>reductions.</w:t>
      </w:r>
      <w:r w:rsidR="00D23ECC">
        <w:t xml:space="preserve"> </w:t>
      </w:r>
      <w:r>
        <w:t>These</w:t>
      </w:r>
      <w:r w:rsidR="00D23ECC">
        <w:t xml:space="preserve"> </w:t>
      </w:r>
      <w:r>
        <w:t>measures</w:t>
      </w:r>
      <w:r w:rsidR="00D23ECC">
        <w:t xml:space="preserve"> </w:t>
      </w:r>
      <w:r>
        <w:t>were</w:t>
      </w:r>
      <w:r w:rsidR="00D23ECC">
        <w:t xml:space="preserve"> </w:t>
      </w:r>
      <w:r>
        <w:t>extended</w:t>
      </w:r>
      <w:r w:rsidR="00D23ECC">
        <w:t xml:space="preserve"> </w:t>
      </w:r>
      <w:r>
        <w:t>during</w:t>
      </w:r>
      <w:r w:rsidR="00D23ECC">
        <w:t xml:space="preserve"> </w:t>
      </w:r>
      <w:r>
        <w:t>the</w:t>
      </w:r>
      <w:r w:rsidR="00D23ECC">
        <w:t xml:space="preserve"> </w:t>
      </w:r>
      <w:r>
        <w:t>year</w:t>
      </w:r>
      <w:r w:rsidR="00D23ECC">
        <w:t xml:space="preserve"> </w:t>
      </w:r>
      <w:r>
        <w:t>and</w:t>
      </w:r>
      <w:r w:rsidR="00D23ECC">
        <w:t xml:space="preserve"> </w:t>
      </w:r>
      <w:r>
        <w:t>ran</w:t>
      </w:r>
      <w:r w:rsidR="00D23ECC">
        <w:t xml:space="preserve"> </w:t>
      </w:r>
      <w:r>
        <w:t>until</w:t>
      </w:r>
      <w:r w:rsidR="00D23ECC">
        <w:t xml:space="preserve"> </w:t>
      </w:r>
      <w:r>
        <w:t>28</w:t>
      </w:r>
      <w:r w:rsidR="00D23ECC">
        <w:t xml:space="preserve"> </w:t>
      </w:r>
      <w:r>
        <w:t>March</w:t>
      </w:r>
      <w:r w:rsidR="00D23ECC">
        <w:t xml:space="preserve"> </w:t>
      </w:r>
      <w:r>
        <w:t>2021</w:t>
      </w:r>
      <w:r w:rsidR="00D23ECC">
        <w:t xml:space="preserve"> </w:t>
      </w:r>
      <w:r>
        <w:t>alongside</w:t>
      </w:r>
      <w:r w:rsidR="00D23ECC">
        <w:t xml:space="preserve"> </w:t>
      </w:r>
      <w:r>
        <w:t>the</w:t>
      </w:r>
      <w:r w:rsidR="00D23ECC">
        <w:t xml:space="preserve"> </w:t>
      </w:r>
      <w:r>
        <w:t>availability</w:t>
      </w:r>
      <w:r w:rsidR="00D23ECC">
        <w:t xml:space="preserve"> </w:t>
      </w:r>
      <w:r>
        <w:t>of</w:t>
      </w:r>
      <w:r w:rsidR="00D23ECC">
        <w:t xml:space="preserve"> </w:t>
      </w:r>
      <w:r>
        <w:t>rent</w:t>
      </w:r>
      <w:r w:rsidR="00876740">
        <w:t> </w:t>
      </w:r>
      <w:r>
        <w:t>relief</w:t>
      </w:r>
      <w:r w:rsidR="00D23ECC">
        <w:t xml:space="preserve"> </w:t>
      </w:r>
      <w:r>
        <w:t>grants</w:t>
      </w:r>
      <w:r w:rsidR="00D23ECC">
        <w:t xml:space="preserve"> </w:t>
      </w:r>
      <w:r>
        <w:t>and</w:t>
      </w:r>
      <w:r w:rsidR="00D23ECC">
        <w:t xml:space="preserve"> </w:t>
      </w:r>
      <w:r>
        <w:t>land</w:t>
      </w:r>
      <w:r w:rsidR="00D23ECC">
        <w:t xml:space="preserve"> </w:t>
      </w:r>
      <w:r>
        <w:t>tax</w:t>
      </w:r>
      <w:r w:rsidR="00D23ECC">
        <w:t xml:space="preserve"> </w:t>
      </w:r>
      <w:r>
        <w:t>relief</w:t>
      </w:r>
      <w:r w:rsidR="00D23ECC">
        <w:t xml:space="preserve"> </w:t>
      </w:r>
      <w:r>
        <w:t>for</w:t>
      </w:r>
      <w:r w:rsidR="00D23ECC">
        <w:t xml:space="preserve"> </w:t>
      </w:r>
      <w:r>
        <w:t>eligible</w:t>
      </w:r>
      <w:r w:rsidR="00D23ECC">
        <w:t xml:space="preserve"> </w:t>
      </w:r>
      <w:r>
        <w:t>renters</w:t>
      </w:r>
      <w:r w:rsidR="00D23ECC">
        <w:t xml:space="preserve"> </w:t>
      </w:r>
      <w:r>
        <w:t>and</w:t>
      </w:r>
      <w:r w:rsidR="00D23ECC">
        <w:t xml:space="preserve"> </w:t>
      </w:r>
      <w:r>
        <w:t>landlords.</w:t>
      </w:r>
    </w:p>
    <w:p w14:paraId="7A739987" w14:textId="6C32DC28" w:rsidR="00DE3B0D" w:rsidRDefault="00DE3B0D" w:rsidP="00D23ECC">
      <w:pPr>
        <w:pStyle w:val="BodyText"/>
      </w:pPr>
      <w:r>
        <w:t>We</w:t>
      </w:r>
      <w:r w:rsidR="00D23ECC">
        <w:t xml:space="preserve"> </w:t>
      </w:r>
      <w:r>
        <w:t>partnered</w:t>
      </w:r>
      <w:r w:rsidR="00D23ECC">
        <w:t xml:space="preserve"> </w:t>
      </w:r>
      <w:r>
        <w:t>with</w:t>
      </w:r>
      <w:r w:rsidR="00D23ECC">
        <w:t xml:space="preserve"> </w:t>
      </w:r>
      <w:r>
        <w:t>the</w:t>
      </w:r>
      <w:r w:rsidR="00D23ECC">
        <w:t xml:space="preserve"> </w:t>
      </w:r>
      <w:r>
        <w:t>DSCV</w:t>
      </w:r>
      <w:r w:rsidR="00D23ECC">
        <w:t xml:space="preserve"> </w:t>
      </w:r>
      <w:r>
        <w:t>to</w:t>
      </w:r>
      <w:r w:rsidR="00D23ECC">
        <w:t xml:space="preserve"> </w:t>
      </w:r>
      <w:r>
        <w:t>deliver</w:t>
      </w:r>
      <w:r w:rsidR="00D23ECC">
        <w:t xml:space="preserve"> </w:t>
      </w:r>
      <w:r>
        <w:t>the</w:t>
      </w:r>
      <w:r w:rsidR="00D23ECC">
        <w:t xml:space="preserve"> </w:t>
      </w:r>
      <w:r>
        <w:t>Residential</w:t>
      </w:r>
      <w:r w:rsidR="00D23ECC">
        <w:t xml:space="preserve"> </w:t>
      </w:r>
      <w:r>
        <w:t>Tenancies</w:t>
      </w:r>
      <w:r w:rsidR="00D23ECC">
        <w:t xml:space="preserve"> </w:t>
      </w:r>
      <w:r>
        <w:t>Dispute</w:t>
      </w:r>
      <w:r w:rsidR="00D23ECC">
        <w:t xml:space="preserve"> </w:t>
      </w:r>
      <w:r>
        <w:t>Resolution</w:t>
      </w:r>
      <w:r w:rsidR="00D23ECC">
        <w:t xml:space="preserve"> </w:t>
      </w:r>
      <w:r>
        <w:t>Scheme.</w:t>
      </w:r>
      <w:r w:rsidR="00D23ECC">
        <w:t xml:space="preserve"> </w:t>
      </w:r>
      <w:r>
        <w:t>The</w:t>
      </w:r>
      <w:r w:rsidR="00876740">
        <w:t> </w:t>
      </w:r>
      <w:r>
        <w:t>scheme</w:t>
      </w:r>
      <w:r w:rsidR="00D23ECC">
        <w:t xml:space="preserve"> </w:t>
      </w:r>
      <w:r>
        <w:t>established</w:t>
      </w:r>
      <w:r w:rsidR="00D23ECC">
        <w:t xml:space="preserve"> </w:t>
      </w:r>
      <w:r>
        <w:t>a</w:t>
      </w:r>
      <w:r w:rsidR="00D23ECC">
        <w:t xml:space="preserve"> </w:t>
      </w:r>
      <w:r>
        <w:t>single</w:t>
      </w:r>
      <w:r w:rsidR="00D23ECC">
        <w:t xml:space="preserve"> </w:t>
      </w:r>
      <w:r>
        <w:t>point</w:t>
      </w:r>
      <w:r w:rsidR="00D23ECC">
        <w:t xml:space="preserve"> </w:t>
      </w:r>
      <w:r>
        <w:t>of</w:t>
      </w:r>
      <w:r w:rsidR="00D23ECC">
        <w:t xml:space="preserve"> </w:t>
      </w:r>
      <w:r>
        <w:t>entry</w:t>
      </w:r>
      <w:r w:rsidR="00D23ECC">
        <w:t xml:space="preserve"> </w:t>
      </w:r>
      <w:r>
        <w:t>for</w:t>
      </w:r>
      <w:r w:rsidR="00D23ECC">
        <w:t xml:space="preserve"> </w:t>
      </w:r>
      <w:r>
        <w:t>residential</w:t>
      </w:r>
      <w:r w:rsidR="00D23ECC">
        <w:t xml:space="preserve"> </w:t>
      </w:r>
      <w:r>
        <w:t>tenancy</w:t>
      </w:r>
      <w:r w:rsidR="00D23ECC">
        <w:t xml:space="preserve"> </w:t>
      </w:r>
      <w:r>
        <w:t>disputes</w:t>
      </w:r>
      <w:r w:rsidR="00D23ECC">
        <w:t xml:space="preserve"> </w:t>
      </w:r>
      <w:r>
        <w:t>related</w:t>
      </w:r>
      <w:r w:rsidR="00D23ECC">
        <w:t xml:space="preserve"> </w:t>
      </w:r>
      <w:r>
        <w:t>to</w:t>
      </w:r>
      <w:r w:rsidR="00D23ECC">
        <w:t xml:space="preserve"> </w:t>
      </w:r>
      <w:r>
        <w:t>COVID-19.</w:t>
      </w:r>
      <w:r w:rsidR="00D23ECC">
        <w:t xml:space="preserve"> </w:t>
      </w:r>
      <w:r>
        <w:t>We</w:t>
      </w:r>
      <w:r w:rsidR="00D23ECC">
        <w:t xml:space="preserve"> </w:t>
      </w:r>
      <w:r>
        <w:t>provided</w:t>
      </w:r>
      <w:r w:rsidR="00D23ECC">
        <w:t xml:space="preserve"> </w:t>
      </w:r>
      <w:r>
        <w:t>information,</w:t>
      </w:r>
      <w:r w:rsidR="00D23ECC">
        <w:t xml:space="preserve"> </w:t>
      </w:r>
      <w:r>
        <w:t>advice</w:t>
      </w:r>
      <w:r w:rsidR="00D23ECC">
        <w:t xml:space="preserve"> </w:t>
      </w:r>
      <w:r>
        <w:t>and</w:t>
      </w:r>
      <w:r w:rsidR="00D23ECC">
        <w:t xml:space="preserve"> </w:t>
      </w:r>
      <w:r>
        <w:t>dispute</w:t>
      </w:r>
      <w:r w:rsidR="00D23ECC">
        <w:t xml:space="preserve"> </w:t>
      </w:r>
      <w:r>
        <w:t>resolution</w:t>
      </w:r>
      <w:r w:rsidR="00D23ECC">
        <w:t xml:space="preserve"> </w:t>
      </w:r>
      <w:r>
        <w:t>services</w:t>
      </w:r>
      <w:r w:rsidR="00D23ECC">
        <w:t xml:space="preserve"> </w:t>
      </w:r>
      <w:r>
        <w:t>to</w:t>
      </w:r>
      <w:r w:rsidR="00D23ECC">
        <w:t xml:space="preserve"> </w:t>
      </w:r>
      <w:r>
        <w:t>renters</w:t>
      </w:r>
      <w:r w:rsidR="00D23ECC">
        <w:t xml:space="preserve"> </w:t>
      </w:r>
      <w:r>
        <w:t>and</w:t>
      </w:r>
      <w:r w:rsidR="00D23ECC">
        <w:t xml:space="preserve"> </w:t>
      </w:r>
      <w:r>
        <w:t>rental</w:t>
      </w:r>
      <w:r w:rsidR="00D23ECC">
        <w:t xml:space="preserve"> </w:t>
      </w:r>
      <w:r>
        <w:t>providers</w:t>
      </w:r>
      <w:r w:rsidR="00D23ECC">
        <w:t xml:space="preserve"> </w:t>
      </w:r>
      <w:r>
        <w:t>to</w:t>
      </w:r>
      <w:r w:rsidR="00D23ECC">
        <w:t xml:space="preserve"> </w:t>
      </w:r>
      <w:r>
        <w:t>help</w:t>
      </w:r>
      <w:r w:rsidR="00876740">
        <w:t> </w:t>
      </w:r>
      <w:r>
        <w:t>them</w:t>
      </w:r>
      <w:r w:rsidR="00D23ECC">
        <w:t xml:space="preserve"> </w:t>
      </w:r>
      <w:r>
        <w:t>reach</w:t>
      </w:r>
      <w:r w:rsidR="00D23ECC">
        <w:t xml:space="preserve"> </w:t>
      </w:r>
      <w:r>
        <w:t>an</w:t>
      </w:r>
      <w:r w:rsidR="00D23ECC">
        <w:t xml:space="preserve"> </w:t>
      </w:r>
      <w:r>
        <w:t>agreement</w:t>
      </w:r>
      <w:r w:rsidR="00D23ECC">
        <w:t xml:space="preserve"> </w:t>
      </w:r>
      <w:r>
        <w:t>about</w:t>
      </w:r>
      <w:r w:rsidR="00D23ECC">
        <w:t xml:space="preserve"> </w:t>
      </w:r>
      <w:r>
        <w:t>rent</w:t>
      </w:r>
      <w:r w:rsidR="00D23ECC">
        <w:t xml:space="preserve"> </w:t>
      </w:r>
      <w:r>
        <w:t>reductions</w:t>
      </w:r>
      <w:r w:rsidR="00D23ECC">
        <w:t xml:space="preserve"> </w:t>
      </w:r>
      <w:r>
        <w:t>and</w:t>
      </w:r>
      <w:r w:rsidR="00D23ECC">
        <w:t xml:space="preserve"> </w:t>
      </w:r>
      <w:r>
        <w:t>registered</w:t>
      </w:r>
      <w:r w:rsidR="00D23ECC">
        <w:t xml:space="preserve"> </w:t>
      </w:r>
      <w:r>
        <w:t>reduced</w:t>
      </w:r>
      <w:r w:rsidR="00D23ECC">
        <w:t xml:space="preserve"> </w:t>
      </w:r>
      <w:r>
        <w:t>rent</w:t>
      </w:r>
      <w:r w:rsidR="00D23ECC">
        <w:t xml:space="preserve"> </w:t>
      </w:r>
      <w:r>
        <w:t>agreements.</w:t>
      </w:r>
      <w:r w:rsidR="00D23ECC">
        <w:t xml:space="preserve"> </w:t>
      </w:r>
      <w:r>
        <w:t>Parties</w:t>
      </w:r>
      <w:r w:rsidR="00D23ECC">
        <w:t xml:space="preserve"> </w:t>
      </w:r>
      <w:r>
        <w:t>could</w:t>
      </w:r>
      <w:r w:rsidR="00D23ECC">
        <w:t xml:space="preserve"> </w:t>
      </w:r>
      <w:r>
        <w:t>not</w:t>
      </w:r>
      <w:r w:rsidR="00D23ECC">
        <w:t xml:space="preserve"> </w:t>
      </w:r>
      <w:r>
        <w:t>take</w:t>
      </w:r>
      <w:r w:rsidR="00D23ECC">
        <w:t xml:space="preserve"> </w:t>
      </w:r>
      <w:r>
        <w:t>a</w:t>
      </w:r>
      <w:r w:rsidR="00D23ECC">
        <w:t xml:space="preserve"> </w:t>
      </w:r>
      <w:r>
        <w:t>rental</w:t>
      </w:r>
      <w:r w:rsidR="00D23ECC">
        <w:t xml:space="preserve"> </w:t>
      </w:r>
      <w:r>
        <w:t>dispute</w:t>
      </w:r>
      <w:r w:rsidR="00D23ECC">
        <w:t xml:space="preserve"> </w:t>
      </w:r>
      <w:r>
        <w:t>to</w:t>
      </w:r>
      <w:r w:rsidR="00D23ECC">
        <w:t xml:space="preserve"> </w:t>
      </w:r>
      <w:r>
        <w:t>the</w:t>
      </w:r>
      <w:r w:rsidR="00D23ECC">
        <w:t xml:space="preserve"> </w:t>
      </w:r>
      <w:r>
        <w:t>Victorian</w:t>
      </w:r>
      <w:r w:rsidR="00D23ECC">
        <w:t xml:space="preserve"> </w:t>
      </w:r>
      <w:r>
        <w:t>Civil</w:t>
      </w:r>
      <w:r w:rsidR="00D23ECC">
        <w:t xml:space="preserve"> </w:t>
      </w:r>
      <w:r>
        <w:t>and</w:t>
      </w:r>
      <w:r w:rsidR="00D23ECC">
        <w:t xml:space="preserve"> </w:t>
      </w:r>
      <w:r>
        <w:t>Administrative</w:t>
      </w:r>
      <w:r w:rsidR="00D23ECC">
        <w:t xml:space="preserve"> </w:t>
      </w:r>
      <w:r>
        <w:t>Tribunal</w:t>
      </w:r>
      <w:r w:rsidR="00D23ECC">
        <w:t xml:space="preserve"> </w:t>
      </w:r>
      <w:r>
        <w:t>(VCAT)</w:t>
      </w:r>
      <w:r w:rsidR="00D23ECC">
        <w:t xml:space="preserve"> </w:t>
      </w:r>
      <w:r>
        <w:t>without</w:t>
      </w:r>
      <w:r w:rsidR="00D23ECC">
        <w:t xml:space="preserve"> </w:t>
      </w:r>
      <w:r>
        <w:t>first</w:t>
      </w:r>
      <w:r w:rsidR="00D23ECC">
        <w:t xml:space="preserve"> </w:t>
      </w:r>
      <w:r>
        <w:t>accessing</w:t>
      </w:r>
      <w:r w:rsidR="00D23ECC">
        <w:t xml:space="preserve"> </w:t>
      </w:r>
      <w:r>
        <w:t>the</w:t>
      </w:r>
      <w:r w:rsidR="00D23ECC">
        <w:t xml:space="preserve"> </w:t>
      </w:r>
      <w:r>
        <w:t>scheme.</w:t>
      </w:r>
    </w:p>
    <w:p w14:paraId="3FD5C8C1" w14:textId="7510A2AF" w:rsidR="00DE3B0D" w:rsidRDefault="00DE3B0D" w:rsidP="00D23ECC">
      <w:pPr>
        <w:pStyle w:val="BodyText"/>
      </w:pPr>
      <w:r>
        <w:t>The</w:t>
      </w:r>
      <w:r w:rsidR="00D23ECC">
        <w:t xml:space="preserve"> </w:t>
      </w:r>
      <w:r>
        <w:t>emergency</w:t>
      </w:r>
      <w:r w:rsidR="00D23ECC">
        <w:t xml:space="preserve"> </w:t>
      </w:r>
      <w:r>
        <w:t>measures</w:t>
      </w:r>
      <w:r w:rsidR="00D23ECC">
        <w:t xml:space="preserve"> </w:t>
      </w:r>
      <w:r>
        <w:t>ended</w:t>
      </w:r>
      <w:r w:rsidR="00D23ECC">
        <w:t xml:space="preserve"> </w:t>
      </w:r>
      <w:r>
        <w:t>on</w:t>
      </w:r>
      <w:r w:rsidR="00D23ECC">
        <w:t xml:space="preserve"> </w:t>
      </w:r>
      <w:r>
        <w:t>28</w:t>
      </w:r>
      <w:r w:rsidR="00D23ECC">
        <w:t xml:space="preserve"> </w:t>
      </w:r>
      <w:r>
        <w:t>March</w:t>
      </w:r>
      <w:r w:rsidR="00D23ECC">
        <w:t xml:space="preserve"> </w:t>
      </w:r>
      <w:r>
        <w:t>2021</w:t>
      </w:r>
      <w:r w:rsidR="00D23ECC">
        <w:t xml:space="preserve"> </w:t>
      </w:r>
      <w:r>
        <w:t>and</w:t>
      </w:r>
      <w:r w:rsidR="00D23ECC">
        <w:t xml:space="preserve"> </w:t>
      </w:r>
      <w:r>
        <w:t>were</w:t>
      </w:r>
      <w:r w:rsidR="00D23ECC">
        <w:t xml:space="preserve"> </w:t>
      </w:r>
      <w:r>
        <w:t>followed</w:t>
      </w:r>
      <w:r w:rsidR="00D23ECC">
        <w:t xml:space="preserve"> </w:t>
      </w:r>
      <w:r>
        <w:t>by</w:t>
      </w:r>
      <w:r w:rsidR="00D23ECC">
        <w:t xml:space="preserve"> </w:t>
      </w:r>
      <w:r>
        <w:t>the</w:t>
      </w:r>
      <w:r w:rsidR="00D23ECC">
        <w:t xml:space="preserve"> </w:t>
      </w:r>
      <w:r>
        <w:t>introduction</w:t>
      </w:r>
      <w:r w:rsidR="00D23ECC">
        <w:t xml:space="preserve"> </w:t>
      </w:r>
      <w:r>
        <w:t>of</w:t>
      </w:r>
      <w:r w:rsidR="00D23ECC">
        <w:t xml:space="preserve"> </w:t>
      </w:r>
      <w:r>
        <w:t>new</w:t>
      </w:r>
      <w:r w:rsidR="00D23ECC">
        <w:t xml:space="preserve"> </w:t>
      </w:r>
      <w:r>
        <w:t>renting</w:t>
      </w:r>
      <w:r w:rsidR="00D23ECC">
        <w:t xml:space="preserve"> </w:t>
      </w:r>
      <w:r>
        <w:t>laws</w:t>
      </w:r>
      <w:r w:rsidR="00D23ECC">
        <w:t xml:space="preserve"> </w:t>
      </w:r>
      <w:r>
        <w:t>on</w:t>
      </w:r>
      <w:r w:rsidR="00D23ECC">
        <w:t xml:space="preserve"> </w:t>
      </w:r>
      <w:r>
        <w:t>29</w:t>
      </w:r>
      <w:r w:rsidR="00D23ECC">
        <w:t xml:space="preserve"> </w:t>
      </w:r>
      <w:r>
        <w:t>March</w:t>
      </w:r>
      <w:r w:rsidR="00D23ECC">
        <w:t xml:space="preserve"> </w:t>
      </w:r>
      <w:r>
        <w:t>2021</w:t>
      </w:r>
      <w:r w:rsidR="00D23ECC">
        <w:t xml:space="preserve"> </w:t>
      </w:r>
      <w:r>
        <w:t>to</w:t>
      </w:r>
      <w:r w:rsidR="00D23ECC">
        <w:t xml:space="preserve"> </w:t>
      </w:r>
      <w:r>
        <w:t>ensure</w:t>
      </w:r>
      <w:r w:rsidR="00D23ECC">
        <w:t xml:space="preserve"> </w:t>
      </w:r>
      <w:r>
        <w:t>there</w:t>
      </w:r>
      <w:r w:rsidR="00D23ECC">
        <w:t xml:space="preserve"> </w:t>
      </w:r>
      <w:r>
        <w:t>was</w:t>
      </w:r>
      <w:r w:rsidR="00D23ECC">
        <w:t xml:space="preserve"> </w:t>
      </w:r>
      <w:r>
        <w:t>no</w:t>
      </w:r>
      <w:r w:rsidR="00D23ECC">
        <w:t xml:space="preserve"> </w:t>
      </w:r>
      <w:r>
        <w:t>gap</w:t>
      </w:r>
      <w:r w:rsidR="00D23ECC">
        <w:t xml:space="preserve"> </w:t>
      </w:r>
      <w:r>
        <w:t>in</w:t>
      </w:r>
      <w:r w:rsidR="00D23ECC">
        <w:t xml:space="preserve"> </w:t>
      </w:r>
      <w:r>
        <w:t>protection</w:t>
      </w:r>
      <w:r w:rsidR="00D23ECC">
        <w:t xml:space="preserve"> </w:t>
      </w:r>
      <w:r>
        <w:t>for</w:t>
      </w:r>
      <w:r w:rsidR="00D23ECC">
        <w:t xml:space="preserve"> </w:t>
      </w:r>
      <w:r>
        <w:t>renters</w:t>
      </w:r>
      <w:r w:rsidR="00D23ECC">
        <w:t xml:space="preserve"> </w:t>
      </w:r>
      <w:r>
        <w:t>and</w:t>
      </w:r>
      <w:r w:rsidR="00D23ECC">
        <w:t xml:space="preserve"> </w:t>
      </w:r>
      <w:r>
        <w:t>rental</w:t>
      </w:r>
      <w:r w:rsidR="00D23ECC">
        <w:t xml:space="preserve"> </w:t>
      </w:r>
      <w:r>
        <w:t>providers</w:t>
      </w:r>
    </w:p>
    <w:p w14:paraId="07835F92" w14:textId="0C660D6B" w:rsidR="00DE3B0D" w:rsidRDefault="00DE3B0D" w:rsidP="00D23ECC">
      <w:pPr>
        <w:pStyle w:val="BodyText"/>
      </w:pPr>
      <w:r>
        <w:t>Over</w:t>
      </w:r>
      <w:r w:rsidR="00D23ECC">
        <w:t xml:space="preserve"> </w:t>
      </w:r>
      <w:r>
        <w:t>11</w:t>
      </w:r>
      <w:r w:rsidR="00D23ECC">
        <w:t xml:space="preserve"> </w:t>
      </w:r>
      <w:r>
        <w:t>months,</w:t>
      </w:r>
      <w:r w:rsidR="00D23ECC">
        <w:t xml:space="preserve"> </w:t>
      </w:r>
      <w:r>
        <w:t>we</w:t>
      </w:r>
      <w:r w:rsidR="00D23ECC">
        <w:t xml:space="preserve"> </w:t>
      </w:r>
      <w:r>
        <w:t>had</w:t>
      </w:r>
      <w:r w:rsidR="00D23ECC">
        <w:t xml:space="preserve"> </w:t>
      </w:r>
      <w:r>
        <w:t>more</w:t>
      </w:r>
      <w:r w:rsidR="00D23ECC">
        <w:t xml:space="preserve"> </w:t>
      </w:r>
      <w:r>
        <w:t>than</w:t>
      </w:r>
      <w:r w:rsidR="00D23ECC">
        <w:t xml:space="preserve"> </w:t>
      </w:r>
      <w:r>
        <w:t>200,000</w:t>
      </w:r>
      <w:r w:rsidR="00D23ECC">
        <w:t xml:space="preserve"> </w:t>
      </w:r>
      <w:r>
        <w:t>contacts</w:t>
      </w:r>
      <w:r w:rsidR="00D23ECC">
        <w:t xml:space="preserve"> </w:t>
      </w:r>
      <w:r>
        <w:t>for</w:t>
      </w:r>
      <w:r w:rsidR="00D23ECC">
        <w:t xml:space="preserve"> </w:t>
      </w:r>
      <w:r>
        <w:t>assistance</w:t>
      </w:r>
      <w:r w:rsidR="00D23ECC">
        <w:t xml:space="preserve"> </w:t>
      </w:r>
      <w:r>
        <w:t>and</w:t>
      </w:r>
      <w:r w:rsidR="00D23ECC">
        <w:t xml:space="preserve"> </w:t>
      </w:r>
      <w:r>
        <w:t>almost</w:t>
      </w:r>
      <w:r w:rsidR="00D23ECC">
        <w:t xml:space="preserve"> </w:t>
      </w:r>
      <w:r>
        <w:t>700,000</w:t>
      </w:r>
      <w:r w:rsidR="00D23ECC">
        <w:t xml:space="preserve"> </w:t>
      </w:r>
      <w:r>
        <w:t>views</w:t>
      </w:r>
      <w:r w:rsidR="00D23ECC">
        <w:t xml:space="preserve"> </w:t>
      </w:r>
      <w:r>
        <w:t>of</w:t>
      </w:r>
      <w:r w:rsidR="00D23ECC">
        <w:t xml:space="preserve"> </w:t>
      </w:r>
      <w:r>
        <w:t>our</w:t>
      </w:r>
      <w:r w:rsidR="00D23ECC">
        <w:t xml:space="preserve"> </w:t>
      </w:r>
      <w:r>
        <w:t>web</w:t>
      </w:r>
      <w:r w:rsidR="00D23ECC">
        <w:t xml:space="preserve"> </w:t>
      </w:r>
      <w:r>
        <w:t>content.</w:t>
      </w:r>
      <w:r w:rsidR="00D23ECC">
        <w:t xml:space="preserve"> </w:t>
      </w:r>
      <w:r>
        <w:t>Further</w:t>
      </w:r>
      <w:r w:rsidR="00D23ECC">
        <w:t xml:space="preserve"> </w:t>
      </w:r>
      <w:r>
        <w:t>achievements</w:t>
      </w:r>
      <w:r w:rsidR="00D23ECC">
        <w:t xml:space="preserve"> </w:t>
      </w:r>
      <w:r>
        <w:t>are</w:t>
      </w:r>
      <w:r w:rsidR="00D23ECC">
        <w:t xml:space="preserve"> </w:t>
      </w:r>
      <w:r>
        <w:t>provi</w:t>
      </w:r>
      <w:r w:rsidRPr="004311F8">
        <w:t>ded</w:t>
      </w:r>
      <w:r w:rsidR="00D23ECC" w:rsidRPr="004311F8">
        <w:t xml:space="preserve"> </w:t>
      </w:r>
      <w:r w:rsidRPr="004311F8">
        <w:t>on</w:t>
      </w:r>
      <w:r w:rsidR="00D23ECC" w:rsidRPr="004311F8">
        <w:t xml:space="preserve"> </w:t>
      </w:r>
      <w:r w:rsidRPr="004311F8">
        <w:t>the</w:t>
      </w:r>
      <w:r w:rsidR="00D23ECC" w:rsidRPr="004311F8">
        <w:t xml:space="preserve"> </w:t>
      </w:r>
      <w:r w:rsidRPr="004311F8">
        <w:t>following</w:t>
      </w:r>
      <w:r w:rsidR="00D23ECC" w:rsidRPr="004311F8">
        <w:t xml:space="preserve"> </w:t>
      </w:r>
      <w:r w:rsidRPr="004311F8">
        <w:t>page.</w:t>
      </w:r>
    </w:p>
    <w:p w14:paraId="48E1249D" w14:textId="77777777" w:rsidR="003E061F" w:rsidRPr="002F22DF" w:rsidRDefault="003E061F" w:rsidP="002F22DF">
      <w:pPr>
        <w:pStyle w:val="BodyText"/>
      </w:pPr>
      <w:r w:rsidRPr="002F22DF">
        <w:br w:type="page"/>
      </w:r>
    </w:p>
    <w:p w14:paraId="5C6F9A71" w14:textId="6CD1D4E4" w:rsidR="00DE3B0D" w:rsidRDefault="00DE3B0D" w:rsidP="00B0122B">
      <w:pPr>
        <w:pStyle w:val="Heading5"/>
        <w:spacing w:after="600"/>
      </w:pPr>
      <w:r>
        <w:lastRenderedPageBreak/>
        <w:t>Residential</w:t>
      </w:r>
      <w:r w:rsidR="00D23ECC">
        <w:t xml:space="preserve"> </w:t>
      </w:r>
      <w:r>
        <w:t>Tenancies</w:t>
      </w:r>
      <w:r w:rsidR="00D23ECC">
        <w:t xml:space="preserve"> </w:t>
      </w:r>
      <w:r>
        <w:t>Dispute</w:t>
      </w:r>
      <w:r w:rsidR="00D23ECC">
        <w:t xml:space="preserve"> </w:t>
      </w:r>
      <w:r>
        <w:t>Resolution</w:t>
      </w:r>
      <w:r w:rsidR="00D23ECC">
        <w:t xml:space="preserve"> </w:t>
      </w:r>
      <w:r>
        <w:t>Scheme</w:t>
      </w:r>
      <w:r w:rsidR="00D23ECC">
        <w:t xml:space="preserve"> </w:t>
      </w:r>
      <w:r>
        <w:t>–</w:t>
      </w:r>
      <w:r w:rsidR="00D23ECC">
        <w:t xml:space="preserve"> </w:t>
      </w:r>
      <w:r>
        <w:t>key</w:t>
      </w:r>
      <w:r w:rsidR="00D23ECC">
        <w:t xml:space="preserve"> </w:t>
      </w:r>
      <w:r>
        <w:t>achievements</w:t>
      </w:r>
    </w:p>
    <w:p w14:paraId="3899C38C" w14:textId="77777777" w:rsidR="00FB2F9B" w:rsidRDefault="00FB2F9B" w:rsidP="003E061F">
      <w:pPr>
        <w:pStyle w:val="BodyText"/>
        <w:sectPr w:rsidR="00FB2F9B" w:rsidSect="001B396A">
          <w:headerReference w:type="even" r:id="rId13"/>
          <w:headerReference w:type="default" r:id="rId14"/>
          <w:footerReference w:type="even" r:id="rId15"/>
          <w:footerReference w:type="default" r:id="rId16"/>
          <w:headerReference w:type="first" r:id="rId17"/>
          <w:footerReference w:type="first" r:id="rId18"/>
          <w:footnotePr>
            <w:pos w:val="beneathText"/>
            <w:numRestart w:val="eachPage"/>
          </w:footnotePr>
          <w:pgSz w:w="11906" w:h="16838" w:code="9"/>
          <w:pgMar w:top="1418" w:right="1418" w:bottom="1134" w:left="1418" w:header="510" w:footer="510" w:gutter="0"/>
          <w:cols w:space="708"/>
          <w:titlePg/>
          <w:docGrid w:linePitch="360"/>
        </w:sectPr>
      </w:pPr>
    </w:p>
    <w:p w14:paraId="0158CF40" w14:textId="3A06F961" w:rsidR="003E061F" w:rsidRDefault="003E061F" w:rsidP="003E061F">
      <w:pPr>
        <w:pStyle w:val="BodyText"/>
      </w:pPr>
      <w:r>
        <w:rPr>
          <w:noProof/>
        </w:rPr>
        <w:drawing>
          <wp:inline distT="0" distB="0" distL="0" distR="0" wp14:anchorId="665E6296" wp14:editId="7848A8A5">
            <wp:extent cx="570240" cy="570240"/>
            <wp:effectExtent l="0" t="0" r="1270" b="127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70240" cy="570240"/>
                    </a:xfrm>
                    <a:prstGeom prst="rect">
                      <a:avLst/>
                    </a:prstGeom>
                  </pic:spPr>
                </pic:pic>
              </a:graphicData>
            </a:graphic>
          </wp:inline>
        </w:drawing>
      </w:r>
    </w:p>
    <w:p w14:paraId="4084DA6F" w14:textId="3507A52F" w:rsidR="00DE3B0D" w:rsidRDefault="00DE3B0D">
      <w:pPr>
        <w:pStyle w:val="Highlight1"/>
      </w:pPr>
      <w:r>
        <w:t>222,737</w:t>
      </w:r>
    </w:p>
    <w:p w14:paraId="43BCB80E" w14:textId="7022565A" w:rsidR="00DE3B0D" w:rsidRDefault="00DE3B0D">
      <w:pPr>
        <w:pStyle w:val="Highlight2"/>
      </w:pPr>
      <w:r>
        <w:t>total</w:t>
      </w:r>
      <w:r w:rsidR="00D23ECC">
        <w:t xml:space="preserve"> </w:t>
      </w:r>
      <w:r>
        <w:t>contacts</w:t>
      </w:r>
    </w:p>
    <w:p w14:paraId="17E73F3D" w14:textId="77777777" w:rsidR="003E061F" w:rsidRDefault="003E061F" w:rsidP="003E061F">
      <w:pPr>
        <w:pStyle w:val="BodyText"/>
      </w:pPr>
      <w:r>
        <w:rPr>
          <w:noProof/>
        </w:rPr>
        <w:drawing>
          <wp:inline distT="0" distB="0" distL="0" distR="0" wp14:anchorId="1D71D6D0" wp14:editId="167AA885">
            <wp:extent cx="682687" cy="429840"/>
            <wp:effectExtent l="0" t="0" r="3175" b="889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82687" cy="429840"/>
                    </a:xfrm>
                    <a:prstGeom prst="rect">
                      <a:avLst/>
                    </a:prstGeom>
                  </pic:spPr>
                </pic:pic>
              </a:graphicData>
            </a:graphic>
          </wp:inline>
        </w:drawing>
      </w:r>
    </w:p>
    <w:p w14:paraId="39EDC1DC" w14:textId="77777777" w:rsidR="00DE3B0D" w:rsidRDefault="00DE3B0D">
      <w:pPr>
        <w:pStyle w:val="Highlight1"/>
      </w:pPr>
      <w:r>
        <w:t>31,692</w:t>
      </w:r>
    </w:p>
    <w:p w14:paraId="4FA6C5A6" w14:textId="3C63D10C" w:rsidR="00FB2F9B" w:rsidRDefault="00DE3B0D" w:rsidP="00B0122B">
      <w:pPr>
        <w:pStyle w:val="Highlight2"/>
      </w:pPr>
      <w:r>
        <w:t>online</w:t>
      </w:r>
      <w:r w:rsidR="00D23ECC">
        <w:t xml:space="preserve"> </w:t>
      </w:r>
      <w:r>
        <w:t>disputes</w:t>
      </w:r>
      <w:r w:rsidR="00D23ECC">
        <w:t xml:space="preserve"> </w:t>
      </w:r>
      <w:r>
        <w:t>lodged</w:t>
      </w:r>
    </w:p>
    <w:p w14:paraId="25A2E99E" w14:textId="77777777" w:rsidR="00FB2F9B" w:rsidRDefault="00FB2F9B" w:rsidP="003E061F">
      <w:pPr>
        <w:pStyle w:val="BodyText"/>
        <w:sectPr w:rsidR="00FB2F9B" w:rsidSect="00B0122B">
          <w:footnotePr>
            <w:pos w:val="beneathText"/>
            <w:numRestart w:val="eachPage"/>
          </w:footnotePr>
          <w:type w:val="continuous"/>
          <w:pgSz w:w="11906" w:h="16838" w:code="9"/>
          <w:pgMar w:top="1418" w:right="1418" w:bottom="1134" w:left="1418" w:header="510" w:footer="510" w:gutter="0"/>
          <w:cols w:num="4" w:space="284" w:equalWidth="0">
            <w:col w:w="1134" w:space="284"/>
            <w:col w:w="2835" w:space="284"/>
            <w:col w:w="1134" w:space="284"/>
            <w:col w:w="3115"/>
          </w:cols>
          <w:titlePg/>
          <w:docGrid w:linePitch="360"/>
        </w:sectPr>
      </w:pPr>
    </w:p>
    <w:p w14:paraId="620D6D00" w14:textId="5C578C01" w:rsidR="003E061F" w:rsidRDefault="003E061F" w:rsidP="003E061F">
      <w:pPr>
        <w:pStyle w:val="BodyText"/>
      </w:pPr>
      <w:r>
        <w:rPr>
          <w:noProof/>
        </w:rPr>
        <w:drawing>
          <wp:inline distT="0" distB="0" distL="0" distR="0" wp14:anchorId="381B8965" wp14:editId="7A9FC36A">
            <wp:extent cx="570240" cy="570240"/>
            <wp:effectExtent l="0" t="0" r="1270" b="127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70240" cy="570240"/>
                    </a:xfrm>
                    <a:prstGeom prst="rect">
                      <a:avLst/>
                    </a:prstGeom>
                  </pic:spPr>
                </pic:pic>
              </a:graphicData>
            </a:graphic>
          </wp:inline>
        </w:drawing>
      </w:r>
    </w:p>
    <w:p w14:paraId="48E4CD2F" w14:textId="77777777" w:rsidR="00DE3B0D" w:rsidRDefault="00DE3B0D">
      <w:pPr>
        <w:pStyle w:val="Highlight1"/>
      </w:pPr>
      <w:r>
        <w:t>72,964</w:t>
      </w:r>
    </w:p>
    <w:p w14:paraId="0CA071B3" w14:textId="331365FD" w:rsidR="00DE3B0D" w:rsidRDefault="00DE3B0D">
      <w:pPr>
        <w:pStyle w:val="Highlight2"/>
      </w:pPr>
      <w:r>
        <w:t>reduced</w:t>
      </w:r>
      <w:r w:rsidR="00D23ECC">
        <w:t xml:space="preserve"> </w:t>
      </w:r>
      <w:r>
        <w:t>rental</w:t>
      </w:r>
      <w:r w:rsidR="00D23ECC">
        <w:t xml:space="preserve"> </w:t>
      </w:r>
      <w:r>
        <w:t>agreements</w:t>
      </w:r>
      <w:r w:rsidR="00D23ECC">
        <w:t xml:space="preserve"> </w:t>
      </w:r>
      <w:r>
        <w:t>lodged</w:t>
      </w:r>
    </w:p>
    <w:p w14:paraId="450983EC" w14:textId="77777777" w:rsidR="003E061F" w:rsidRDefault="003E061F" w:rsidP="003E061F">
      <w:pPr>
        <w:pStyle w:val="BodyText"/>
      </w:pPr>
      <w:r>
        <w:rPr>
          <w:noProof/>
        </w:rPr>
        <w:drawing>
          <wp:inline distT="0" distB="0" distL="0" distR="0" wp14:anchorId="1916D4A5" wp14:editId="5E18B630">
            <wp:extent cx="568080" cy="606600"/>
            <wp:effectExtent l="0" t="0" r="3810" b="3175"/>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68080" cy="606600"/>
                    </a:xfrm>
                    <a:prstGeom prst="rect">
                      <a:avLst/>
                    </a:prstGeom>
                  </pic:spPr>
                </pic:pic>
              </a:graphicData>
            </a:graphic>
          </wp:inline>
        </w:drawing>
      </w:r>
    </w:p>
    <w:p w14:paraId="0236898B" w14:textId="77777777" w:rsidR="00DE3B0D" w:rsidRDefault="00DE3B0D">
      <w:pPr>
        <w:pStyle w:val="Highlight1"/>
      </w:pPr>
      <w:r>
        <w:t>23%</w:t>
      </w:r>
    </w:p>
    <w:p w14:paraId="01473EBD" w14:textId="6E7F2AFF" w:rsidR="00DE3B0D" w:rsidRDefault="00DE3B0D">
      <w:pPr>
        <w:pStyle w:val="Highlight2"/>
      </w:pPr>
      <w:r>
        <w:t>average</w:t>
      </w:r>
      <w:r w:rsidR="00D23ECC">
        <w:t xml:space="preserve"> </w:t>
      </w:r>
      <w:r>
        <w:t>rent</w:t>
      </w:r>
      <w:r w:rsidR="00D23ECC">
        <w:t xml:space="preserve"> </w:t>
      </w:r>
      <w:r>
        <w:t>decrease</w:t>
      </w:r>
    </w:p>
    <w:p w14:paraId="664BCEF0" w14:textId="77777777" w:rsidR="00B0122B" w:rsidRDefault="00B0122B" w:rsidP="003E061F">
      <w:pPr>
        <w:pStyle w:val="BodyText"/>
        <w:sectPr w:rsidR="00B0122B" w:rsidSect="00B0122B">
          <w:footnotePr>
            <w:pos w:val="beneathText"/>
            <w:numRestart w:val="eachPage"/>
          </w:footnotePr>
          <w:type w:val="continuous"/>
          <w:pgSz w:w="11906" w:h="16838" w:code="9"/>
          <w:pgMar w:top="1418" w:right="1418" w:bottom="1134" w:left="1418" w:header="510" w:footer="510" w:gutter="0"/>
          <w:cols w:num="4" w:space="284" w:equalWidth="0">
            <w:col w:w="1134" w:space="284"/>
            <w:col w:w="2835" w:space="284"/>
            <w:col w:w="1134" w:space="284"/>
            <w:col w:w="3115"/>
          </w:cols>
          <w:titlePg/>
          <w:docGrid w:linePitch="360"/>
        </w:sectPr>
      </w:pPr>
    </w:p>
    <w:p w14:paraId="0A6209F8" w14:textId="1C3632E9" w:rsidR="003E061F" w:rsidRDefault="003E061F" w:rsidP="003E061F">
      <w:pPr>
        <w:pStyle w:val="BodyText"/>
      </w:pPr>
      <w:r>
        <w:rPr>
          <w:noProof/>
        </w:rPr>
        <w:drawing>
          <wp:inline distT="0" distB="0" distL="0" distR="0" wp14:anchorId="6E25208B" wp14:editId="751232DD">
            <wp:extent cx="570240" cy="570240"/>
            <wp:effectExtent l="0" t="0" r="1270" b="127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70240" cy="570240"/>
                    </a:xfrm>
                    <a:prstGeom prst="rect">
                      <a:avLst/>
                    </a:prstGeom>
                  </pic:spPr>
                </pic:pic>
              </a:graphicData>
            </a:graphic>
          </wp:inline>
        </w:drawing>
      </w:r>
    </w:p>
    <w:p w14:paraId="253E96B5" w14:textId="77777777" w:rsidR="00DE3B0D" w:rsidRDefault="00DE3B0D">
      <w:pPr>
        <w:pStyle w:val="Highlight1"/>
      </w:pPr>
      <w:r>
        <w:t>685,460</w:t>
      </w:r>
    </w:p>
    <w:p w14:paraId="6D285125" w14:textId="60A31E64" w:rsidR="00DE3B0D" w:rsidRDefault="00DE3B0D">
      <w:pPr>
        <w:pStyle w:val="Highlight2"/>
      </w:pPr>
      <w:r>
        <w:t>webpage</w:t>
      </w:r>
      <w:r w:rsidR="00D23ECC">
        <w:t xml:space="preserve"> </w:t>
      </w:r>
      <w:r>
        <w:t>views</w:t>
      </w:r>
      <w:r w:rsidR="00D23ECC">
        <w:t xml:space="preserve"> </w:t>
      </w:r>
      <w:r>
        <w:t>of</w:t>
      </w:r>
      <w:r w:rsidR="00D23ECC">
        <w:t xml:space="preserve"> </w:t>
      </w:r>
      <w:r>
        <w:t>scheme</w:t>
      </w:r>
      <w:r w:rsidR="00D23ECC">
        <w:t xml:space="preserve"> </w:t>
      </w:r>
      <w:r>
        <w:t>content</w:t>
      </w:r>
    </w:p>
    <w:p w14:paraId="79A89182" w14:textId="77777777" w:rsidR="003E061F" w:rsidRDefault="003E061F" w:rsidP="003E061F">
      <w:pPr>
        <w:pStyle w:val="BodyText"/>
      </w:pPr>
      <w:r>
        <w:rPr>
          <w:noProof/>
        </w:rPr>
        <w:drawing>
          <wp:inline distT="0" distB="0" distL="0" distR="0" wp14:anchorId="52E32E7F" wp14:editId="563649E9">
            <wp:extent cx="567000" cy="781200"/>
            <wp:effectExtent l="0" t="0" r="508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67000" cy="781200"/>
                    </a:xfrm>
                    <a:prstGeom prst="rect">
                      <a:avLst/>
                    </a:prstGeom>
                  </pic:spPr>
                </pic:pic>
              </a:graphicData>
            </a:graphic>
          </wp:inline>
        </w:drawing>
      </w:r>
    </w:p>
    <w:p w14:paraId="3EBDFCBA" w14:textId="77777777" w:rsidR="00DE3B0D" w:rsidRDefault="00DE3B0D">
      <w:pPr>
        <w:pStyle w:val="Highlight1"/>
      </w:pPr>
      <w:r>
        <w:t>94%</w:t>
      </w:r>
    </w:p>
    <w:p w14:paraId="19954C9B" w14:textId="09938998" w:rsidR="00DE3B0D" w:rsidRDefault="00DE3B0D">
      <w:pPr>
        <w:pStyle w:val="Highlight2"/>
      </w:pPr>
      <w:r>
        <w:t>of</w:t>
      </w:r>
      <w:r w:rsidR="00D23ECC">
        <w:t xml:space="preserve"> </w:t>
      </w:r>
      <w:r>
        <w:t>matters</w:t>
      </w:r>
      <w:r w:rsidR="00D23ECC">
        <w:t xml:space="preserve"> </w:t>
      </w:r>
      <w:r>
        <w:t>closed</w:t>
      </w:r>
      <w:r w:rsidR="00D23ECC">
        <w:t xml:space="preserve"> </w:t>
      </w:r>
      <w:r>
        <w:t>by</w:t>
      </w:r>
      <w:r w:rsidR="00D23ECC">
        <w:t xml:space="preserve"> </w:t>
      </w:r>
      <w:r>
        <w:t>our</w:t>
      </w:r>
      <w:r w:rsidR="00B0122B">
        <w:t> </w:t>
      </w:r>
      <w:r>
        <w:t>contact</w:t>
      </w:r>
      <w:r w:rsidR="00D23ECC">
        <w:t xml:space="preserve"> </w:t>
      </w:r>
      <w:r>
        <w:t>centre</w:t>
      </w:r>
    </w:p>
    <w:p w14:paraId="31F7477B" w14:textId="77777777" w:rsidR="00B0122B" w:rsidRDefault="00B0122B" w:rsidP="003E061F">
      <w:pPr>
        <w:pStyle w:val="BodyText"/>
        <w:sectPr w:rsidR="00B0122B" w:rsidSect="00B0122B">
          <w:footnotePr>
            <w:pos w:val="beneathText"/>
            <w:numRestart w:val="eachPage"/>
          </w:footnotePr>
          <w:type w:val="continuous"/>
          <w:pgSz w:w="11906" w:h="16838" w:code="9"/>
          <w:pgMar w:top="1418" w:right="1418" w:bottom="1134" w:left="1418" w:header="510" w:footer="510" w:gutter="0"/>
          <w:cols w:num="4" w:space="284" w:equalWidth="0">
            <w:col w:w="1134" w:space="284"/>
            <w:col w:w="2835" w:space="284"/>
            <w:col w:w="1134" w:space="284"/>
            <w:col w:w="3115"/>
          </w:cols>
          <w:titlePg/>
          <w:docGrid w:linePitch="360"/>
        </w:sectPr>
      </w:pPr>
    </w:p>
    <w:p w14:paraId="08668D32" w14:textId="79F47346" w:rsidR="003E061F" w:rsidRDefault="003E061F" w:rsidP="003E061F">
      <w:pPr>
        <w:pStyle w:val="BodyText"/>
      </w:pPr>
      <w:r>
        <w:rPr>
          <w:noProof/>
        </w:rPr>
        <w:drawing>
          <wp:inline distT="0" distB="0" distL="0" distR="0" wp14:anchorId="614378F3" wp14:editId="7BBE52C5">
            <wp:extent cx="570240" cy="570240"/>
            <wp:effectExtent l="0" t="0" r="1270" b="1270"/>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70240" cy="570240"/>
                    </a:xfrm>
                    <a:prstGeom prst="rect">
                      <a:avLst/>
                    </a:prstGeom>
                  </pic:spPr>
                </pic:pic>
              </a:graphicData>
            </a:graphic>
          </wp:inline>
        </w:drawing>
      </w:r>
    </w:p>
    <w:p w14:paraId="0FA89268" w14:textId="77777777" w:rsidR="00DE3B0D" w:rsidRDefault="00DE3B0D">
      <w:pPr>
        <w:pStyle w:val="Highlight1"/>
      </w:pPr>
      <w:r>
        <w:t>20,332</w:t>
      </w:r>
    </w:p>
    <w:p w14:paraId="510546D1" w14:textId="5FE50D2E" w:rsidR="00DE3B0D" w:rsidRDefault="00DE3B0D">
      <w:pPr>
        <w:pStyle w:val="Highlight2"/>
      </w:pPr>
      <w:r>
        <w:t>matters</w:t>
      </w:r>
      <w:r w:rsidR="00D23ECC">
        <w:t xml:space="preserve"> </w:t>
      </w:r>
      <w:r>
        <w:t>closed</w:t>
      </w:r>
      <w:r w:rsidR="00D23ECC">
        <w:t xml:space="preserve"> </w:t>
      </w:r>
      <w:r>
        <w:t>through</w:t>
      </w:r>
      <w:r w:rsidR="00D23ECC">
        <w:t xml:space="preserve"> </w:t>
      </w:r>
      <w:r>
        <w:t>frontline</w:t>
      </w:r>
      <w:r w:rsidR="00D23ECC">
        <w:t xml:space="preserve"> </w:t>
      </w:r>
      <w:r>
        <w:t>resolution</w:t>
      </w:r>
    </w:p>
    <w:p w14:paraId="67938303" w14:textId="77777777" w:rsidR="003E061F" w:rsidRDefault="003E061F" w:rsidP="003E061F">
      <w:pPr>
        <w:pStyle w:val="BodyText"/>
      </w:pPr>
      <w:r>
        <w:rPr>
          <w:noProof/>
        </w:rPr>
        <w:drawing>
          <wp:inline distT="0" distB="0" distL="0" distR="0" wp14:anchorId="211603F7" wp14:editId="4F7A5BAF">
            <wp:extent cx="606600" cy="543240"/>
            <wp:effectExtent l="0" t="0" r="3175" b="9525"/>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6600" cy="543240"/>
                    </a:xfrm>
                    <a:prstGeom prst="rect">
                      <a:avLst/>
                    </a:prstGeom>
                  </pic:spPr>
                </pic:pic>
              </a:graphicData>
            </a:graphic>
          </wp:inline>
        </w:drawing>
      </w:r>
    </w:p>
    <w:p w14:paraId="527AB21E" w14:textId="77777777" w:rsidR="00DE3B0D" w:rsidRDefault="00DE3B0D">
      <w:pPr>
        <w:pStyle w:val="Highlight1"/>
      </w:pPr>
      <w:r>
        <w:t>29,441</w:t>
      </w:r>
    </w:p>
    <w:p w14:paraId="480FFBD8" w14:textId="40D1B49A" w:rsidR="00DE3B0D" w:rsidRDefault="00DE3B0D">
      <w:pPr>
        <w:pStyle w:val="Highlight2"/>
      </w:pPr>
      <w:r>
        <w:t>referrals</w:t>
      </w:r>
      <w:r w:rsidR="00D23ECC">
        <w:t xml:space="preserve"> </w:t>
      </w:r>
      <w:r>
        <w:t>to</w:t>
      </w:r>
      <w:r w:rsidR="00D23ECC">
        <w:t xml:space="preserve"> </w:t>
      </w:r>
      <w:r>
        <w:t>VCAT</w:t>
      </w:r>
    </w:p>
    <w:p w14:paraId="5BF9A1C9" w14:textId="77777777" w:rsidR="00B0122B" w:rsidRDefault="00B0122B" w:rsidP="003E061F">
      <w:pPr>
        <w:pStyle w:val="BodyText"/>
        <w:sectPr w:rsidR="00B0122B" w:rsidSect="00B0122B">
          <w:footnotePr>
            <w:pos w:val="beneathText"/>
            <w:numRestart w:val="eachPage"/>
          </w:footnotePr>
          <w:type w:val="continuous"/>
          <w:pgSz w:w="11906" w:h="16838" w:code="9"/>
          <w:pgMar w:top="1418" w:right="1418" w:bottom="1134" w:left="1418" w:header="510" w:footer="510" w:gutter="0"/>
          <w:cols w:num="4" w:space="284" w:equalWidth="0">
            <w:col w:w="1134" w:space="284"/>
            <w:col w:w="2835" w:space="284"/>
            <w:col w:w="1134" w:space="284"/>
            <w:col w:w="3115"/>
          </w:cols>
          <w:titlePg/>
          <w:docGrid w:linePitch="360"/>
        </w:sectPr>
      </w:pPr>
    </w:p>
    <w:p w14:paraId="2F132125" w14:textId="767E07AE" w:rsidR="003E061F" w:rsidRDefault="003E061F" w:rsidP="003E061F">
      <w:pPr>
        <w:pStyle w:val="BodyText"/>
      </w:pPr>
      <w:r>
        <w:rPr>
          <w:noProof/>
        </w:rPr>
        <w:drawing>
          <wp:inline distT="0" distB="0" distL="0" distR="0" wp14:anchorId="0BEB626F" wp14:editId="241C15D4">
            <wp:extent cx="659520" cy="659520"/>
            <wp:effectExtent l="0" t="0" r="7620" b="762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59520" cy="659520"/>
                    </a:xfrm>
                    <a:prstGeom prst="rect">
                      <a:avLst/>
                    </a:prstGeom>
                  </pic:spPr>
                </pic:pic>
              </a:graphicData>
            </a:graphic>
          </wp:inline>
        </w:drawing>
      </w:r>
    </w:p>
    <w:p w14:paraId="283D6A3B" w14:textId="77777777" w:rsidR="00DE3B0D" w:rsidRDefault="00DE3B0D">
      <w:pPr>
        <w:pStyle w:val="Highlight1"/>
      </w:pPr>
      <w:r>
        <w:t>5,853</w:t>
      </w:r>
    </w:p>
    <w:p w14:paraId="57212E54" w14:textId="488AFE0B" w:rsidR="00DE3B0D" w:rsidRDefault="00DE3B0D">
      <w:pPr>
        <w:pStyle w:val="Highlight2"/>
      </w:pPr>
      <w:r>
        <w:t>matters</w:t>
      </w:r>
      <w:r w:rsidR="00D23ECC">
        <w:t xml:space="preserve"> </w:t>
      </w:r>
      <w:r>
        <w:t>closed</w:t>
      </w:r>
      <w:r w:rsidR="00D23ECC">
        <w:t xml:space="preserve"> </w:t>
      </w:r>
      <w:r>
        <w:t>through</w:t>
      </w:r>
      <w:r w:rsidR="00B0122B">
        <w:t> </w:t>
      </w:r>
      <w:r>
        <w:t>the</w:t>
      </w:r>
      <w:r w:rsidR="00D23ECC">
        <w:t xml:space="preserve"> </w:t>
      </w:r>
      <w:r>
        <w:t>DSCV</w:t>
      </w:r>
    </w:p>
    <w:p w14:paraId="1CBB73A3" w14:textId="77777777" w:rsidR="003E061F" w:rsidRDefault="003E061F" w:rsidP="003E061F">
      <w:pPr>
        <w:pStyle w:val="BodyText"/>
      </w:pPr>
      <w:r>
        <w:rPr>
          <w:noProof/>
        </w:rPr>
        <w:drawing>
          <wp:inline distT="0" distB="0" distL="0" distR="0" wp14:anchorId="5E4FF926" wp14:editId="647E23E8">
            <wp:extent cx="570240" cy="570240"/>
            <wp:effectExtent l="0" t="0" r="1270" b="1270"/>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70240" cy="570240"/>
                    </a:xfrm>
                    <a:prstGeom prst="rect">
                      <a:avLst/>
                    </a:prstGeom>
                  </pic:spPr>
                </pic:pic>
              </a:graphicData>
            </a:graphic>
          </wp:inline>
        </w:drawing>
      </w:r>
    </w:p>
    <w:p w14:paraId="2EFB1EA3" w14:textId="77777777" w:rsidR="00DE3B0D" w:rsidRDefault="00DE3B0D">
      <w:pPr>
        <w:pStyle w:val="Highlight1"/>
      </w:pPr>
      <w:r>
        <w:t>175</w:t>
      </w:r>
    </w:p>
    <w:p w14:paraId="72D3300C" w14:textId="2AFDF3E6" w:rsidR="00DE3B0D" w:rsidRDefault="00DE3B0D">
      <w:pPr>
        <w:pStyle w:val="Highlight2"/>
      </w:pPr>
      <w:r>
        <w:t>binding</w:t>
      </w:r>
      <w:r w:rsidR="00D23ECC">
        <w:t xml:space="preserve"> </w:t>
      </w:r>
      <w:r>
        <w:t>orders</w:t>
      </w:r>
      <w:r w:rsidR="00D23ECC">
        <w:t xml:space="preserve"> </w:t>
      </w:r>
      <w:r>
        <w:t>by</w:t>
      </w:r>
      <w:r w:rsidR="00D23ECC">
        <w:t xml:space="preserve"> </w:t>
      </w:r>
      <w:r>
        <w:t>the</w:t>
      </w:r>
      <w:r w:rsidR="00B0122B">
        <w:t xml:space="preserve"> </w:t>
      </w:r>
      <w:r>
        <w:t>Chief</w:t>
      </w:r>
      <w:r w:rsidR="00D23ECC">
        <w:t xml:space="preserve"> </w:t>
      </w:r>
      <w:r>
        <w:t>Dispute</w:t>
      </w:r>
      <w:r w:rsidR="00D23ECC">
        <w:t xml:space="preserve"> </w:t>
      </w:r>
      <w:r>
        <w:t>Resolution</w:t>
      </w:r>
      <w:r w:rsidR="00D23ECC">
        <w:t xml:space="preserve"> </w:t>
      </w:r>
      <w:r>
        <w:t>Officer</w:t>
      </w:r>
    </w:p>
    <w:p w14:paraId="4DE7D170" w14:textId="77777777" w:rsidR="00B0122B" w:rsidRDefault="00B0122B">
      <w:pPr>
        <w:pStyle w:val="Highlight2"/>
        <w:sectPr w:rsidR="00B0122B" w:rsidSect="00B0122B">
          <w:footnotePr>
            <w:pos w:val="beneathText"/>
            <w:numRestart w:val="eachPage"/>
          </w:footnotePr>
          <w:type w:val="continuous"/>
          <w:pgSz w:w="11906" w:h="16838" w:code="9"/>
          <w:pgMar w:top="1418" w:right="1418" w:bottom="1134" w:left="1418" w:header="510" w:footer="510" w:gutter="0"/>
          <w:cols w:num="4" w:space="284" w:equalWidth="0">
            <w:col w:w="1134" w:space="284"/>
            <w:col w:w="2835" w:space="284"/>
            <w:col w:w="1134" w:space="284"/>
            <w:col w:w="3115"/>
          </w:cols>
          <w:titlePg/>
          <w:docGrid w:linePitch="360"/>
        </w:sectPr>
      </w:pPr>
    </w:p>
    <w:p w14:paraId="2D17E35B" w14:textId="77777777" w:rsidR="003E061F" w:rsidRPr="003E061F" w:rsidRDefault="003E061F" w:rsidP="003E061F">
      <w:pPr>
        <w:pStyle w:val="BodyText"/>
      </w:pPr>
      <w:bookmarkStart w:id="28" w:name="_New_rental_laws"/>
      <w:bookmarkStart w:id="29" w:name="_Ref85883562"/>
      <w:bookmarkEnd w:id="28"/>
      <w:r w:rsidRPr="003E061F">
        <w:br w:type="page"/>
      </w:r>
    </w:p>
    <w:p w14:paraId="2AE73E96" w14:textId="0046898F" w:rsidR="00DE3B0D" w:rsidRDefault="00DE3B0D" w:rsidP="00AE374E">
      <w:pPr>
        <w:pStyle w:val="Heading4"/>
      </w:pPr>
      <w:r>
        <w:rPr>
          <w:color w:val="000000"/>
        </w:rPr>
        <w:lastRenderedPageBreak/>
        <w:t>New</w:t>
      </w:r>
      <w:r w:rsidR="00D23ECC">
        <w:rPr>
          <w:color w:val="000000"/>
        </w:rPr>
        <w:t xml:space="preserve"> </w:t>
      </w:r>
      <w:r>
        <w:rPr>
          <w:color w:val="000000"/>
        </w:rPr>
        <w:t>rental</w:t>
      </w:r>
      <w:r w:rsidR="00D23ECC">
        <w:rPr>
          <w:color w:val="000000"/>
        </w:rPr>
        <w:t xml:space="preserve"> </w:t>
      </w:r>
      <w:r>
        <w:rPr>
          <w:color w:val="000000"/>
        </w:rPr>
        <w:t>laws</w:t>
      </w:r>
      <w:bookmarkEnd w:id="29"/>
    </w:p>
    <w:p w14:paraId="0458CEA5" w14:textId="68719F72" w:rsidR="00DE3B0D" w:rsidRDefault="00DE3B0D" w:rsidP="00D23ECC">
      <w:pPr>
        <w:pStyle w:val="BodyText"/>
      </w:pPr>
      <w:r>
        <w:t>On</w:t>
      </w:r>
      <w:r w:rsidR="00D23ECC">
        <w:t xml:space="preserve"> </w:t>
      </w:r>
      <w:r>
        <w:t>29</w:t>
      </w:r>
      <w:r w:rsidR="00D23ECC">
        <w:t xml:space="preserve"> </w:t>
      </w:r>
      <w:r>
        <w:t>March</w:t>
      </w:r>
      <w:r w:rsidR="00D23ECC">
        <w:t xml:space="preserve"> </w:t>
      </w:r>
      <w:r>
        <w:t>2021,</w:t>
      </w:r>
      <w:r w:rsidR="00D23ECC">
        <w:t xml:space="preserve"> </w:t>
      </w:r>
      <w:r>
        <w:t>more</w:t>
      </w:r>
      <w:r w:rsidR="00D23ECC">
        <w:t xml:space="preserve"> </w:t>
      </w:r>
      <w:r>
        <w:t>than</w:t>
      </w:r>
      <w:r w:rsidR="00D23ECC">
        <w:t xml:space="preserve"> </w:t>
      </w:r>
      <w:r>
        <w:t>130</w:t>
      </w:r>
      <w:r w:rsidR="00D23ECC">
        <w:t xml:space="preserve"> </w:t>
      </w:r>
      <w:r>
        <w:t>rental</w:t>
      </w:r>
      <w:r w:rsidR="00D23ECC">
        <w:t xml:space="preserve"> </w:t>
      </w:r>
      <w:r>
        <w:t>reforms</w:t>
      </w:r>
      <w:r w:rsidR="00D23ECC">
        <w:t xml:space="preserve"> </w:t>
      </w:r>
      <w:r>
        <w:t>were</w:t>
      </w:r>
      <w:r w:rsidR="00D23ECC">
        <w:t xml:space="preserve"> </w:t>
      </w:r>
      <w:r>
        <w:t>introduced</w:t>
      </w:r>
      <w:r w:rsidR="00D23ECC">
        <w:t xml:space="preserve"> </w:t>
      </w:r>
      <w:r>
        <w:t>under</w:t>
      </w:r>
      <w:r w:rsidR="00D23ECC">
        <w:t xml:space="preserve"> </w:t>
      </w:r>
      <w:r>
        <w:t>the</w:t>
      </w:r>
      <w:r w:rsidR="00D23ECC">
        <w:t xml:space="preserve"> </w:t>
      </w: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1997</w:t>
      </w:r>
      <w:r w:rsidR="00D23ECC">
        <w:t xml:space="preserve"> </w:t>
      </w:r>
      <w:r>
        <w:t>(the</w:t>
      </w:r>
      <w:r w:rsidR="00D23ECC">
        <w:t xml:space="preserve"> </w:t>
      </w:r>
      <w:r>
        <w:t>RTA).</w:t>
      </w:r>
    </w:p>
    <w:p w14:paraId="5DFC54B9" w14:textId="5AE90D8D" w:rsidR="00DE3B0D" w:rsidRDefault="00DE3B0D" w:rsidP="00D23ECC">
      <w:pPr>
        <w:pStyle w:val="BodyText"/>
      </w:pPr>
      <w:r>
        <w:t>The</w:t>
      </w:r>
      <w:r w:rsidR="00D23ECC">
        <w:t xml:space="preserve"> </w:t>
      </w:r>
      <w:r>
        <w:t>reforms</w:t>
      </w:r>
      <w:r w:rsidR="00D23ECC">
        <w:t xml:space="preserve"> </w:t>
      </w:r>
      <w:r>
        <w:t>clarify</w:t>
      </w:r>
      <w:r w:rsidR="00D23ECC">
        <w:t xml:space="preserve"> </w:t>
      </w:r>
      <w:r>
        <w:t>the</w:t>
      </w:r>
      <w:r w:rsidR="00D23ECC">
        <w:t xml:space="preserve"> </w:t>
      </w:r>
      <w:r>
        <w:t>rights</w:t>
      </w:r>
      <w:r w:rsidR="00D23ECC">
        <w:t xml:space="preserve"> </w:t>
      </w:r>
      <w:r>
        <w:t>and</w:t>
      </w:r>
      <w:r w:rsidR="00D23ECC">
        <w:t xml:space="preserve"> </w:t>
      </w:r>
      <w:r>
        <w:t>responsibilities</w:t>
      </w:r>
      <w:r w:rsidR="00D23ECC">
        <w:t xml:space="preserve"> </w:t>
      </w:r>
      <w:r>
        <w:t>of</w:t>
      </w:r>
      <w:r w:rsidR="00D23ECC">
        <w:t xml:space="preserve"> </w:t>
      </w:r>
      <w:r>
        <w:t>renters</w:t>
      </w:r>
      <w:r w:rsidR="00D23ECC">
        <w:t xml:space="preserve"> </w:t>
      </w:r>
      <w:r>
        <w:t>and</w:t>
      </w:r>
      <w:r w:rsidR="00D23ECC">
        <w:t xml:space="preserve"> </w:t>
      </w:r>
      <w:r>
        <w:t>rental</w:t>
      </w:r>
      <w:r w:rsidR="00D23ECC">
        <w:t xml:space="preserve"> </w:t>
      </w:r>
      <w:r>
        <w:t>providers</w:t>
      </w:r>
      <w:r w:rsidR="00D23ECC">
        <w:t xml:space="preserve"> </w:t>
      </w:r>
      <w:r>
        <w:t>–</w:t>
      </w:r>
      <w:r w:rsidR="00D23ECC">
        <w:t xml:space="preserve"> </w:t>
      </w:r>
      <w:r>
        <w:t>from</w:t>
      </w:r>
      <w:r w:rsidR="00D23ECC">
        <w:t xml:space="preserve"> </w:t>
      </w:r>
      <w:r>
        <w:t>before</w:t>
      </w:r>
      <w:r w:rsidR="00D23ECC">
        <w:t xml:space="preserve"> </w:t>
      </w:r>
      <w:r>
        <w:t>a</w:t>
      </w:r>
      <w:r w:rsidR="00D23ECC">
        <w:t xml:space="preserve"> </w:t>
      </w:r>
      <w:r>
        <w:t>rental</w:t>
      </w:r>
      <w:r w:rsidR="00773D96">
        <w:t> </w:t>
      </w:r>
      <w:r>
        <w:t>agreement</w:t>
      </w:r>
      <w:r w:rsidR="00D23ECC">
        <w:t xml:space="preserve"> </w:t>
      </w:r>
      <w:r>
        <w:t>is</w:t>
      </w:r>
      <w:r w:rsidR="00D23ECC">
        <w:t xml:space="preserve"> </w:t>
      </w:r>
      <w:r>
        <w:t>signed</w:t>
      </w:r>
      <w:r w:rsidR="00D23ECC">
        <w:t xml:space="preserve"> </w:t>
      </w:r>
      <w:r>
        <w:t>until</w:t>
      </w:r>
      <w:r w:rsidR="00D23ECC">
        <w:t xml:space="preserve"> </w:t>
      </w:r>
      <w:r>
        <w:t>after</w:t>
      </w:r>
      <w:r w:rsidR="00D23ECC">
        <w:t xml:space="preserve"> </w:t>
      </w:r>
      <w:r>
        <w:t>the</w:t>
      </w:r>
      <w:r w:rsidR="00D23ECC">
        <w:t xml:space="preserve"> </w:t>
      </w:r>
      <w:r>
        <w:t>agreement</w:t>
      </w:r>
      <w:r w:rsidR="00D23ECC">
        <w:t xml:space="preserve"> </w:t>
      </w:r>
      <w:r>
        <w:t>ends</w:t>
      </w:r>
      <w:r w:rsidR="00D23ECC">
        <w:t xml:space="preserve"> </w:t>
      </w:r>
      <w:r>
        <w:t>–</w:t>
      </w:r>
      <w:r w:rsidR="00D23ECC">
        <w:t xml:space="preserve"> </w:t>
      </w:r>
      <w:r>
        <w:t>and</w:t>
      </w:r>
      <w:r w:rsidR="00D23ECC">
        <w:t xml:space="preserve"> </w:t>
      </w:r>
      <w:r>
        <w:t>apply</w:t>
      </w:r>
      <w:r w:rsidR="00D23ECC">
        <w:t xml:space="preserve"> </w:t>
      </w:r>
      <w:r>
        <w:t>to</w:t>
      </w:r>
      <w:r w:rsidR="00D23ECC">
        <w:t xml:space="preserve"> </w:t>
      </w:r>
      <w:r>
        <w:t>all</w:t>
      </w:r>
      <w:r w:rsidR="00D23ECC">
        <w:t xml:space="preserve"> </w:t>
      </w:r>
      <w:r>
        <w:t>types</w:t>
      </w:r>
      <w:r w:rsidR="00D23ECC">
        <w:t xml:space="preserve"> </w:t>
      </w:r>
      <w:r>
        <w:t>of</w:t>
      </w:r>
      <w:r w:rsidR="00D23ECC">
        <w:t xml:space="preserve"> </w:t>
      </w:r>
      <w:r>
        <w:t>residential</w:t>
      </w:r>
      <w:r w:rsidR="00D23ECC">
        <w:t xml:space="preserve"> </w:t>
      </w:r>
      <w:r>
        <w:t>tenancies.</w:t>
      </w:r>
      <w:r w:rsidR="00D23ECC">
        <w:t xml:space="preserve"> </w:t>
      </w:r>
      <w:r>
        <w:t>This</w:t>
      </w:r>
      <w:r w:rsidR="00D23ECC">
        <w:t xml:space="preserve"> </w:t>
      </w:r>
      <w:r>
        <w:t>includes</w:t>
      </w:r>
      <w:r w:rsidR="00D23ECC">
        <w:t xml:space="preserve"> </w:t>
      </w:r>
      <w:r>
        <w:t>private</w:t>
      </w:r>
      <w:r w:rsidR="00D23ECC">
        <w:t xml:space="preserve"> </w:t>
      </w:r>
      <w:r>
        <w:t>rentals,</w:t>
      </w:r>
      <w:r w:rsidR="00D23ECC">
        <w:t xml:space="preserve"> </w:t>
      </w:r>
      <w:r>
        <w:t>caravan</w:t>
      </w:r>
      <w:r w:rsidR="00D23ECC">
        <w:t xml:space="preserve"> </w:t>
      </w:r>
      <w:r>
        <w:t>and</w:t>
      </w:r>
      <w:r w:rsidR="00D23ECC">
        <w:t xml:space="preserve"> </w:t>
      </w:r>
      <w:r>
        <w:t>residential</w:t>
      </w:r>
      <w:r w:rsidR="00D23ECC">
        <w:t xml:space="preserve"> </w:t>
      </w:r>
      <w:r>
        <w:t>parks</w:t>
      </w:r>
      <w:r w:rsidR="00D23ECC">
        <w:t xml:space="preserve"> </w:t>
      </w:r>
      <w:r>
        <w:t>and</w:t>
      </w:r>
      <w:r w:rsidR="00D23ECC">
        <w:t xml:space="preserve"> </w:t>
      </w:r>
      <w:r>
        <w:t>rooming</w:t>
      </w:r>
      <w:r w:rsidR="00D23ECC">
        <w:t xml:space="preserve"> </w:t>
      </w:r>
      <w:r>
        <w:t>houses.</w:t>
      </w:r>
      <w:r w:rsidR="00D23ECC">
        <w:t xml:space="preserve"> </w:t>
      </w:r>
      <w:r>
        <w:t>This</w:t>
      </w:r>
      <w:r w:rsidR="00D23ECC">
        <w:t xml:space="preserve"> </w:t>
      </w:r>
      <w:r>
        <w:t>year</w:t>
      </w:r>
      <w:r w:rsidR="00773D96">
        <w:t> </w:t>
      </w:r>
      <w:r>
        <w:t>we</w:t>
      </w:r>
      <w:r w:rsidR="00D23ECC">
        <w:t xml:space="preserve"> </w:t>
      </w:r>
      <w:r>
        <w:t>delivered</w:t>
      </w:r>
      <w:r w:rsidR="00D23ECC">
        <w:t xml:space="preserve"> </w:t>
      </w:r>
      <w:r>
        <w:t>an</w:t>
      </w:r>
      <w:r w:rsidR="00D23ECC">
        <w:t xml:space="preserve"> </w:t>
      </w:r>
      <w:r>
        <w:t>extensive</w:t>
      </w:r>
      <w:r w:rsidR="00D23ECC">
        <w:t xml:space="preserve"> </w:t>
      </w:r>
      <w:r>
        <w:t>program</w:t>
      </w:r>
      <w:r w:rsidR="00D23ECC">
        <w:t xml:space="preserve"> </w:t>
      </w:r>
      <w:r>
        <w:t>of</w:t>
      </w:r>
      <w:r w:rsidR="00D23ECC">
        <w:t xml:space="preserve"> </w:t>
      </w:r>
      <w:r>
        <w:t>work</w:t>
      </w:r>
      <w:r w:rsidR="00D23ECC">
        <w:t xml:space="preserve"> </w:t>
      </w:r>
      <w:r>
        <w:t>to</w:t>
      </w:r>
      <w:r w:rsidR="00D23ECC">
        <w:t xml:space="preserve"> </w:t>
      </w:r>
      <w:r>
        <w:t>support</w:t>
      </w:r>
      <w:r w:rsidR="00D23ECC">
        <w:t xml:space="preserve"> </w:t>
      </w:r>
      <w:r>
        <w:t>a</w:t>
      </w:r>
      <w:r w:rsidR="00D23ECC">
        <w:t xml:space="preserve"> </w:t>
      </w:r>
      <w:r>
        <w:t>smooth</w:t>
      </w:r>
      <w:r w:rsidR="00D23ECC">
        <w:t xml:space="preserve"> </w:t>
      </w:r>
      <w:r>
        <w:t>transition</w:t>
      </w:r>
      <w:r w:rsidR="00D23ECC">
        <w:t xml:space="preserve"> </w:t>
      </w:r>
      <w:r>
        <w:t>to</w:t>
      </w:r>
      <w:r w:rsidR="00D23ECC">
        <w:t xml:space="preserve"> </w:t>
      </w:r>
      <w:r>
        <w:t>the</w:t>
      </w:r>
      <w:r w:rsidR="00D23ECC">
        <w:t xml:space="preserve"> </w:t>
      </w:r>
      <w:r>
        <w:t>new</w:t>
      </w:r>
      <w:r w:rsidR="00D23ECC">
        <w:t xml:space="preserve"> </w:t>
      </w:r>
      <w:r>
        <w:t>laws.</w:t>
      </w:r>
    </w:p>
    <w:p w14:paraId="344B33AB" w14:textId="4DE1D31E" w:rsidR="00DE3B0D" w:rsidRDefault="00DE3B0D" w:rsidP="00D23ECC">
      <w:pPr>
        <w:pStyle w:val="BodyText"/>
      </w:pPr>
      <w:r>
        <w:t>To</w:t>
      </w:r>
      <w:r w:rsidR="00D23ECC">
        <w:t xml:space="preserve"> </w:t>
      </w:r>
      <w:r>
        <w:t>raise</w:t>
      </w:r>
      <w:r w:rsidR="00D23ECC">
        <w:t xml:space="preserve"> </w:t>
      </w:r>
      <w:r>
        <w:t>awareness</w:t>
      </w:r>
      <w:r w:rsidR="00D23ECC">
        <w:t xml:space="preserve"> </w:t>
      </w:r>
      <w:r>
        <w:t>and</w:t>
      </w:r>
      <w:r w:rsidR="00D23ECC">
        <w:t xml:space="preserve"> </w:t>
      </w:r>
      <w:r>
        <w:t>understanding,</w:t>
      </w:r>
      <w:r w:rsidR="00D23ECC">
        <w:t xml:space="preserve"> </w:t>
      </w:r>
      <w:r>
        <w:t>we</w:t>
      </w:r>
      <w:r w:rsidR="00D23ECC">
        <w:t xml:space="preserve"> </w:t>
      </w:r>
      <w:r>
        <w:t>delivered</w:t>
      </w:r>
      <w:r w:rsidR="00D23ECC">
        <w:t xml:space="preserve"> </w:t>
      </w:r>
      <w:r>
        <w:t>a</w:t>
      </w:r>
      <w:r w:rsidR="00D23ECC">
        <w:t xml:space="preserve"> </w:t>
      </w:r>
      <w:r>
        <w:t>comprehensive</w:t>
      </w:r>
      <w:r w:rsidR="00D23ECC">
        <w:t xml:space="preserve"> </w:t>
      </w:r>
      <w:r>
        <w:t>education</w:t>
      </w:r>
      <w:r w:rsidR="00D23ECC">
        <w:t xml:space="preserve"> </w:t>
      </w:r>
      <w:r>
        <w:t>and</w:t>
      </w:r>
      <w:r w:rsidR="00D23ECC">
        <w:t xml:space="preserve"> </w:t>
      </w:r>
      <w:r>
        <w:t>stakeholder</w:t>
      </w:r>
      <w:r w:rsidR="00773D96">
        <w:t xml:space="preserve"> </w:t>
      </w:r>
      <w:r>
        <w:t>campaign</w:t>
      </w:r>
      <w:r w:rsidR="00D23ECC">
        <w:t xml:space="preserve"> </w:t>
      </w:r>
      <w:r>
        <w:t>and</w:t>
      </w:r>
      <w:r>
        <w:rPr>
          <w:rFonts w:ascii="Cambria Math" w:hAnsi="Cambria Math" w:cs="Cambria Math"/>
        </w:rPr>
        <w:t> </w:t>
      </w:r>
      <w:r>
        <w:t>communication</w:t>
      </w:r>
      <w:r w:rsidR="00D23ECC">
        <w:t xml:space="preserve"> </w:t>
      </w:r>
      <w:r>
        <w:t>strategy.</w:t>
      </w:r>
      <w:r w:rsidR="00D23ECC">
        <w:t xml:space="preserve"> </w:t>
      </w:r>
      <w:r>
        <w:t>Our</w:t>
      </w:r>
      <w:r w:rsidR="00D23ECC">
        <w:t xml:space="preserve"> </w:t>
      </w:r>
      <w:r>
        <w:t>advertising</w:t>
      </w:r>
      <w:r w:rsidR="00D23ECC">
        <w:t xml:space="preserve"> </w:t>
      </w:r>
      <w:r>
        <w:t>campaign</w:t>
      </w:r>
      <w:r w:rsidR="00D23ECC">
        <w:t xml:space="preserve"> </w:t>
      </w:r>
      <w:r>
        <w:t>included</w:t>
      </w:r>
      <w:r w:rsidR="00D23ECC">
        <w:t xml:space="preserve"> </w:t>
      </w:r>
      <w:r>
        <w:t>print,</w:t>
      </w:r>
      <w:r>
        <w:rPr>
          <w:rFonts w:ascii="Cambria Math" w:hAnsi="Cambria Math" w:cs="Cambria Math"/>
        </w:rPr>
        <w:t> </w:t>
      </w:r>
      <w:r>
        <w:t>radio,</w:t>
      </w:r>
      <w:r w:rsidR="00D23ECC">
        <w:t xml:space="preserve"> </w:t>
      </w:r>
      <w:r>
        <w:t>digital</w:t>
      </w:r>
      <w:r w:rsidR="00D23ECC">
        <w:t xml:space="preserve"> </w:t>
      </w:r>
      <w:r>
        <w:t>and</w:t>
      </w:r>
      <w:r w:rsidR="00773D96">
        <w:t> </w:t>
      </w:r>
      <w:r>
        <w:t>social</w:t>
      </w:r>
      <w:r w:rsidR="00D23ECC">
        <w:t xml:space="preserve"> </w:t>
      </w:r>
      <w:r>
        <w:t>media,</w:t>
      </w:r>
      <w:r w:rsidR="00D23ECC">
        <w:t xml:space="preserve"> </w:t>
      </w:r>
      <w:r>
        <w:t>while</w:t>
      </w:r>
      <w:r w:rsidR="00D23ECC">
        <w:t xml:space="preserve"> </w:t>
      </w:r>
      <w:r>
        <w:t>a</w:t>
      </w:r>
      <w:r w:rsidR="00D23ECC">
        <w:t xml:space="preserve"> </w:t>
      </w:r>
      <w:r>
        <w:t>comprehensive</w:t>
      </w:r>
      <w:r w:rsidR="00D23ECC">
        <w:t xml:space="preserve"> </w:t>
      </w:r>
      <w:r>
        <w:t>public</w:t>
      </w:r>
      <w:r w:rsidR="00D23ECC">
        <w:t xml:space="preserve"> </w:t>
      </w:r>
      <w:r>
        <w:t>relations</w:t>
      </w:r>
      <w:r w:rsidR="00D23ECC">
        <w:t xml:space="preserve"> </w:t>
      </w:r>
      <w:r>
        <w:t>strategy</w:t>
      </w:r>
      <w:r w:rsidR="00D23ECC">
        <w:t xml:space="preserve"> </w:t>
      </w:r>
      <w:r>
        <w:t>delivered</w:t>
      </w:r>
      <w:r w:rsidR="00D23ECC">
        <w:t xml:space="preserve"> </w:t>
      </w:r>
      <w:r>
        <w:t>information</w:t>
      </w:r>
      <w:r>
        <w:rPr>
          <w:rFonts w:ascii="Cambria Math" w:hAnsi="Cambria Math" w:cs="Cambria Math"/>
        </w:rPr>
        <w:t> </w:t>
      </w:r>
      <w:r>
        <w:t>and</w:t>
      </w:r>
      <w:r w:rsidR="00D23ECC">
        <w:t xml:space="preserve"> </w:t>
      </w:r>
      <w:r>
        <w:t>resources</w:t>
      </w:r>
      <w:r>
        <w:rPr>
          <w:rFonts w:ascii="Cambria Math" w:hAnsi="Cambria Math" w:cs="Cambria Math"/>
        </w:rPr>
        <w:t> </w:t>
      </w:r>
      <w:r>
        <w:t>to</w:t>
      </w:r>
      <w:r w:rsidR="00773D96">
        <w:t> </w:t>
      </w:r>
      <w:r>
        <w:t>Culturally</w:t>
      </w:r>
      <w:r w:rsidR="00D23ECC">
        <w:t xml:space="preserve"> </w:t>
      </w:r>
      <w:r>
        <w:t>and</w:t>
      </w:r>
      <w:r w:rsidR="00D23ECC">
        <w:t xml:space="preserve"> </w:t>
      </w:r>
      <w:r>
        <w:t>Linguistically</w:t>
      </w:r>
      <w:r w:rsidR="00D23ECC">
        <w:t xml:space="preserve"> </w:t>
      </w:r>
      <w:r>
        <w:t>Diverse</w:t>
      </w:r>
      <w:r w:rsidR="00D23ECC">
        <w:t xml:space="preserve"> </w:t>
      </w:r>
      <w:r>
        <w:t>(CALD)</w:t>
      </w:r>
      <w:r w:rsidR="00D23ECC">
        <w:t xml:space="preserve"> </w:t>
      </w:r>
      <w:r>
        <w:t>and</w:t>
      </w:r>
      <w:r w:rsidR="00D23ECC">
        <w:t xml:space="preserve"> </w:t>
      </w:r>
      <w:r>
        <w:t>vulnerable</w:t>
      </w:r>
      <w:r w:rsidR="00D23ECC">
        <w:t xml:space="preserve"> </w:t>
      </w:r>
      <w:r>
        <w:t>and</w:t>
      </w:r>
      <w:r w:rsidR="00D23ECC">
        <w:t xml:space="preserve"> </w:t>
      </w:r>
      <w:r>
        <w:t>disadvantaged</w:t>
      </w:r>
      <w:r w:rsidR="00D23ECC">
        <w:t xml:space="preserve"> </w:t>
      </w:r>
      <w:r>
        <w:t>Victorians.</w:t>
      </w:r>
      <w:r w:rsidR="00D23ECC">
        <w:t xml:space="preserve"> </w:t>
      </w:r>
      <w:r>
        <w:t>This</w:t>
      </w:r>
      <w:r>
        <w:rPr>
          <w:rFonts w:ascii="Cambria Math" w:hAnsi="Cambria Math" w:cs="Cambria Math"/>
        </w:rPr>
        <w:t> </w:t>
      </w:r>
      <w:r>
        <w:t>included</w:t>
      </w:r>
      <w:r>
        <w:rPr>
          <w:rFonts w:ascii="Cambria Math" w:hAnsi="Cambria Math" w:cs="Cambria Math"/>
        </w:rPr>
        <w:t> </w:t>
      </w:r>
      <w:r>
        <w:t>older</w:t>
      </w:r>
      <w:r w:rsidR="00D23ECC">
        <w:t xml:space="preserve"> </w:t>
      </w:r>
      <w:r>
        <w:t>Victorians,</w:t>
      </w:r>
      <w:r w:rsidR="00D23ECC">
        <w:t xml:space="preserve"> </w:t>
      </w:r>
      <w:r>
        <w:t>those</w:t>
      </w:r>
      <w:r w:rsidR="00D23ECC">
        <w:t xml:space="preserve"> </w:t>
      </w:r>
      <w:r>
        <w:t>on</w:t>
      </w:r>
      <w:r w:rsidR="00D23ECC">
        <w:t xml:space="preserve"> </w:t>
      </w:r>
      <w:r>
        <w:t>low</w:t>
      </w:r>
      <w:r w:rsidR="00D23ECC">
        <w:t xml:space="preserve"> </w:t>
      </w:r>
      <w:r>
        <w:t>or</w:t>
      </w:r>
      <w:r w:rsidR="00D23ECC">
        <w:t xml:space="preserve"> </w:t>
      </w:r>
      <w:r>
        <w:t>fixed</w:t>
      </w:r>
      <w:r w:rsidR="00D23ECC">
        <w:t xml:space="preserve"> </w:t>
      </w:r>
      <w:r>
        <w:t>incomes,</w:t>
      </w:r>
      <w:r w:rsidR="00D23ECC">
        <w:t xml:space="preserve"> </w:t>
      </w:r>
      <w:r>
        <w:t>family</w:t>
      </w:r>
      <w:r w:rsidR="00D23ECC">
        <w:t xml:space="preserve"> </w:t>
      </w:r>
      <w:r>
        <w:t>violence</w:t>
      </w:r>
      <w:r w:rsidR="00D23ECC">
        <w:t xml:space="preserve"> </w:t>
      </w:r>
      <w:r>
        <w:t>survivors,</w:t>
      </w:r>
      <w:r w:rsidR="00D23ECC">
        <w:t xml:space="preserve"> </w:t>
      </w:r>
      <w:r>
        <w:t>and</w:t>
      </w:r>
      <w:r w:rsidR="00773D96">
        <w:t> </w:t>
      </w:r>
      <w:r>
        <w:t>people</w:t>
      </w:r>
      <w:r w:rsidR="00D23ECC">
        <w:t xml:space="preserve"> </w:t>
      </w:r>
      <w:r>
        <w:t>with</w:t>
      </w:r>
      <w:r w:rsidR="00D23ECC">
        <w:t xml:space="preserve"> </w:t>
      </w:r>
      <w:r>
        <w:t>disabilities.</w:t>
      </w:r>
      <w:r>
        <w:rPr>
          <w:rFonts w:ascii="Cambria Math" w:hAnsi="Cambria Math" w:cs="Cambria Math"/>
        </w:rPr>
        <w:t> </w:t>
      </w:r>
      <w:r>
        <w:t>The</w:t>
      </w:r>
      <w:r w:rsidR="00D23ECC">
        <w:t xml:space="preserve"> </w:t>
      </w:r>
      <w:r>
        <w:t>renting</w:t>
      </w:r>
      <w:r w:rsidR="00D23ECC">
        <w:t xml:space="preserve"> </w:t>
      </w:r>
      <w:r>
        <w:t>content</w:t>
      </w:r>
      <w:r w:rsidR="00D23ECC">
        <w:t xml:space="preserve"> </w:t>
      </w:r>
      <w:r>
        <w:t>on</w:t>
      </w:r>
      <w:r w:rsidR="00D23ECC">
        <w:t xml:space="preserve"> </w:t>
      </w:r>
      <w:r>
        <w:t>our</w:t>
      </w:r>
      <w:r w:rsidR="00D23ECC">
        <w:t xml:space="preserve"> </w:t>
      </w:r>
      <w:r>
        <w:t>website</w:t>
      </w:r>
      <w:r w:rsidR="00D23ECC">
        <w:t xml:space="preserve"> </w:t>
      </w:r>
      <w:r>
        <w:t>was</w:t>
      </w:r>
      <w:r w:rsidR="00D23ECC">
        <w:t xml:space="preserve"> </w:t>
      </w:r>
      <w:r>
        <w:t>refreshed</w:t>
      </w:r>
      <w:r w:rsidR="00D23ECC">
        <w:t xml:space="preserve"> </w:t>
      </w:r>
      <w:r>
        <w:t>to</w:t>
      </w:r>
      <w:r w:rsidR="00D23ECC">
        <w:t xml:space="preserve"> </w:t>
      </w:r>
      <w:r>
        <w:t>provide</w:t>
      </w:r>
      <w:r w:rsidR="00D23ECC">
        <w:t xml:space="preserve"> </w:t>
      </w:r>
      <w:r>
        <w:t>updated,</w:t>
      </w:r>
      <w:r w:rsidR="00D23ECC">
        <w:t xml:space="preserve"> </w:t>
      </w:r>
      <w:r>
        <w:t>clear</w:t>
      </w:r>
      <w:r w:rsidR="00D23ECC">
        <w:t xml:space="preserve"> </w:t>
      </w:r>
      <w:r>
        <w:t>and</w:t>
      </w:r>
      <w:r w:rsidR="00D23ECC">
        <w:t xml:space="preserve"> </w:t>
      </w:r>
      <w:r>
        <w:t>accessible</w:t>
      </w:r>
      <w:r w:rsidR="00D23ECC">
        <w:t xml:space="preserve"> </w:t>
      </w:r>
      <w:r>
        <w:t>renting</w:t>
      </w:r>
      <w:r w:rsidR="00D23ECC">
        <w:t xml:space="preserve"> </w:t>
      </w:r>
      <w:r>
        <w:t>information</w:t>
      </w:r>
      <w:r w:rsidR="00D23ECC">
        <w:t xml:space="preserve"> </w:t>
      </w:r>
      <w:r>
        <w:t>and</w:t>
      </w:r>
      <w:r w:rsidR="00D23ECC">
        <w:t xml:space="preserve"> </w:t>
      </w:r>
      <w:r>
        <w:t>an</w:t>
      </w:r>
      <w:r w:rsidR="00D23ECC">
        <w:t xml:space="preserve"> </w:t>
      </w:r>
      <w:r>
        <w:t>enhanced</w:t>
      </w:r>
      <w:r w:rsidR="00D23ECC">
        <w:t xml:space="preserve"> </w:t>
      </w:r>
      <w:r>
        <w:t>user</w:t>
      </w:r>
      <w:r w:rsidR="00D23ECC">
        <w:t xml:space="preserve"> </w:t>
      </w:r>
      <w:r>
        <w:t>experience.</w:t>
      </w:r>
      <w:r w:rsidR="00D23ECC">
        <w:t xml:space="preserve"> </w:t>
      </w:r>
      <w:r>
        <w:t>Information</w:t>
      </w:r>
      <w:r w:rsidR="00D23ECC">
        <w:t xml:space="preserve"> </w:t>
      </w:r>
      <w:r>
        <w:t>was</w:t>
      </w:r>
      <w:r w:rsidR="00D23ECC">
        <w:t xml:space="preserve"> </w:t>
      </w:r>
      <w:r>
        <w:t>also</w:t>
      </w:r>
      <w:r w:rsidR="00D23ECC">
        <w:t xml:space="preserve"> </w:t>
      </w:r>
      <w:r>
        <w:t>published</w:t>
      </w:r>
      <w:r w:rsidR="00D23ECC">
        <w:t xml:space="preserve"> </w:t>
      </w:r>
      <w:r>
        <w:t>via</w:t>
      </w:r>
      <w:r w:rsidR="00D23ECC">
        <w:t xml:space="preserve"> </w:t>
      </w:r>
      <w:r>
        <w:t>our</w:t>
      </w:r>
      <w:r w:rsidR="00D23ECC">
        <w:t xml:space="preserve"> </w:t>
      </w:r>
      <w:r>
        <w:t>social</w:t>
      </w:r>
      <w:r w:rsidR="00D23ECC">
        <w:t xml:space="preserve"> </w:t>
      </w:r>
      <w:r>
        <w:t>media</w:t>
      </w:r>
      <w:r w:rsidR="00D23ECC">
        <w:t xml:space="preserve"> </w:t>
      </w:r>
      <w:r>
        <w:t>channels.</w:t>
      </w:r>
    </w:p>
    <w:p w14:paraId="440A07A1" w14:textId="4DDB5B82" w:rsidR="00DE3B0D" w:rsidRDefault="00DE3B0D" w:rsidP="00D23ECC">
      <w:pPr>
        <w:pStyle w:val="BodyText"/>
      </w:pPr>
      <w:r>
        <w:t>We</w:t>
      </w:r>
      <w:r w:rsidR="00D23ECC">
        <w:t xml:space="preserve"> </w:t>
      </w:r>
      <w:r>
        <w:t>funded</w:t>
      </w:r>
      <w:r w:rsidR="00D23ECC">
        <w:t xml:space="preserve"> </w:t>
      </w:r>
      <w:r>
        <w:t>work</w:t>
      </w:r>
      <w:r w:rsidR="00D23ECC">
        <w:t xml:space="preserve"> </w:t>
      </w:r>
      <w:r>
        <w:t>to</w:t>
      </w:r>
      <w:r w:rsidR="00D23ECC">
        <w:t xml:space="preserve"> </w:t>
      </w:r>
      <w:r>
        <w:t>raise</w:t>
      </w:r>
      <w:r w:rsidR="00D23ECC">
        <w:t xml:space="preserve"> </w:t>
      </w:r>
      <w:r>
        <w:t>community</w:t>
      </w:r>
      <w:r w:rsidR="00D23ECC">
        <w:t xml:space="preserve"> </w:t>
      </w:r>
      <w:r>
        <w:t>awareness</w:t>
      </w:r>
      <w:r w:rsidR="00D23ECC">
        <w:t xml:space="preserve"> </w:t>
      </w:r>
      <w:r>
        <w:t>of</w:t>
      </w:r>
      <w:r w:rsidR="00D23ECC">
        <w:t xml:space="preserve"> </w:t>
      </w:r>
      <w:r>
        <w:t>the</w:t>
      </w:r>
      <w:r w:rsidR="00D23ECC">
        <w:t xml:space="preserve"> </w:t>
      </w:r>
      <w:r>
        <w:t>rental</w:t>
      </w:r>
      <w:r w:rsidR="00D23ECC">
        <w:t xml:space="preserve"> </w:t>
      </w:r>
      <w:r>
        <w:t>reforms,</w:t>
      </w:r>
      <w:r w:rsidR="00D23ECC">
        <w:t xml:space="preserve"> </w:t>
      </w:r>
      <w:r>
        <w:t>including</w:t>
      </w:r>
      <w:r w:rsidR="00D23ECC">
        <w:t xml:space="preserve"> </w:t>
      </w:r>
      <w:r>
        <w:t>translated</w:t>
      </w:r>
      <w:r w:rsidR="00D23ECC">
        <w:t xml:space="preserve"> </w:t>
      </w:r>
      <w:r>
        <w:t>information</w:t>
      </w:r>
      <w:r w:rsidR="00D23ECC">
        <w:t xml:space="preserve"> </w:t>
      </w:r>
      <w:r>
        <w:t>resources</w:t>
      </w:r>
      <w:r w:rsidR="00D23ECC">
        <w:t xml:space="preserve"> </w:t>
      </w:r>
      <w:r>
        <w:t>for</w:t>
      </w:r>
      <w:r w:rsidR="00D23ECC">
        <w:t xml:space="preserve"> </w:t>
      </w:r>
      <w:r>
        <w:t>CALD</w:t>
      </w:r>
      <w:r w:rsidR="00D23ECC">
        <w:t xml:space="preserve"> </w:t>
      </w:r>
      <w:r>
        <w:t>communities.</w:t>
      </w:r>
      <w:r w:rsidR="00D23ECC">
        <w:t xml:space="preserve"> </w:t>
      </w:r>
      <w:r>
        <w:t>A</w:t>
      </w:r>
      <w:r w:rsidR="00D23ECC">
        <w:t xml:space="preserve"> </w:t>
      </w:r>
      <w:r>
        <w:t>total</w:t>
      </w:r>
      <w:r w:rsidR="00D23ECC">
        <w:t xml:space="preserve"> </w:t>
      </w:r>
      <w:r>
        <w:t>of</w:t>
      </w:r>
      <w:r w:rsidR="00D23ECC">
        <w:t xml:space="preserve"> </w:t>
      </w:r>
      <w:r>
        <w:t>$400,000</w:t>
      </w:r>
      <w:r w:rsidR="00D23ECC">
        <w:t xml:space="preserve"> </w:t>
      </w:r>
      <w:r>
        <w:t>was</w:t>
      </w:r>
      <w:r w:rsidR="00D23ECC">
        <w:t xml:space="preserve"> </w:t>
      </w:r>
      <w:r>
        <w:t>allocated</w:t>
      </w:r>
      <w:r w:rsidR="00D23ECC">
        <w:t xml:space="preserve"> </w:t>
      </w:r>
      <w:r>
        <w:t>to</w:t>
      </w:r>
      <w:r w:rsidR="00D23ECC">
        <w:t xml:space="preserve"> </w:t>
      </w:r>
      <w:r>
        <w:t>agencies</w:t>
      </w:r>
      <w:r w:rsidR="00D23ECC">
        <w:t xml:space="preserve"> </w:t>
      </w:r>
      <w:r>
        <w:t>to</w:t>
      </w:r>
      <w:r w:rsidR="00D23ECC">
        <w:t xml:space="preserve"> </w:t>
      </w:r>
      <w:r>
        <w:t>provide</w:t>
      </w:r>
      <w:r w:rsidR="00D23ECC">
        <w:t xml:space="preserve"> </w:t>
      </w:r>
      <w:r>
        <w:t>training</w:t>
      </w:r>
      <w:r w:rsidR="00D23ECC">
        <w:t xml:space="preserve"> </w:t>
      </w:r>
      <w:r>
        <w:t>and</w:t>
      </w:r>
      <w:r w:rsidR="00D23ECC">
        <w:t xml:space="preserve"> </w:t>
      </w:r>
      <w:r>
        <w:t>support</w:t>
      </w:r>
      <w:r w:rsidR="00D23ECC">
        <w:t xml:space="preserve"> </w:t>
      </w:r>
      <w:r>
        <w:t>for</w:t>
      </w:r>
      <w:r w:rsidR="00D23ECC">
        <w:t xml:space="preserve"> </w:t>
      </w:r>
      <w:r>
        <w:t>tenancy</w:t>
      </w:r>
      <w:r w:rsidR="00D23ECC">
        <w:t xml:space="preserve"> </w:t>
      </w:r>
      <w:r>
        <w:t>and</w:t>
      </w:r>
      <w:r w:rsidR="00D23ECC">
        <w:t xml:space="preserve"> </w:t>
      </w:r>
      <w:r>
        <w:t>community</w:t>
      </w:r>
      <w:r w:rsidR="00D23ECC">
        <w:t xml:space="preserve"> </w:t>
      </w:r>
      <w:r>
        <w:t>sector</w:t>
      </w:r>
      <w:r w:rsidR="00D23ECC">
        <w:t xml:space="preserve"> </w:t>
      </w:r>
      <w:r>
        <w:t>workers</w:t>
      </w:r>
      <w:r w:rsidR="00D23ECC">
        <w:t xml:space="preserve"> </w:t>
      </w:r>
      <w:r>
        <w:t>and</w:t>
      </w:r>
      <w:r w:rsidR="00D23ECC">
        <w:t xml:space="preserve"> </w:t>
      </w:r>
      <w:r>
        <w:t>financial</w:t>
      </w:r>
      <w:r w:rsidR="00D23ECC">
        <w:t xml:space="preserve"> </w:t>
      </w:r>
      <w:r>
        <w:t>counsellors,</w:t>
      </w:r>
      <w:r w:rsidR="00D23ECC">
        <w:t xml:space="preserve"> </w:t>
      </w:r>
      <w:r>
        <w:t>helping</w:t>
      </w:r>
      <w:r w:rsidR="00D23ECC">
        <w:t xml:space="preserve"> </w:t>
      </w:r>
      <w:r>
        <w:t>to</w:t>
      </w:r>
      <w:r w:rsidR="00D23ECC">
        <w:t xml:space="preserve"> </w:t>
      </w:r>
      <w:r>
        <w:t>build</w:t>
      </w:r>
      <w:r w:rsidR="00D23ECC">
        <w:t xml:space="preserve"> </w:t>
      </w:r>
      <w:r>
        <w:t>their</w:t>
      </w:r>
      <w:r w:rsidR="00773D96">
        <w:t> </w:t>
      </w:r>
      <w:r>
        <w:t>capacity</w:t>
      </w:r>
      <w:r w:rsidR="00D23ECC">
        <w:t xml:space="preserve"> </w:t>
      </w:r>
      <w:r>
        <w:t>to</w:t>
      </w:r>
      <w:r w:rsidR="00D23ECC">
        <w:t xml:space="preserve"> </w:t>
      </w:r>
      <w:r>
        <w:t>support</w:t>
      </w:r>
      <w:r w:rsidR="00D23ECC">
        <w:t xml:space="preserve"> </w:t>
      </w:r>
      <w:r>
        <w:t>vulnerable</w:t>
      </w:r>
      <w:r w:rsidR="00D23ECC">
        <w:t xml:space="preserve"> </w:t>
      </w:r>
      <w:r>
        <w:t>renters.</w:t>
      </w:r>
      <w:r w:rsidR="00D23ECC">
        <w:t xml:space="preserve"> </w:t>
      </w:r>
      <w:r>
        <w:t>Agencies</w:t>
      </w:r>
      <w:r w:rsidR="00D23ECC">
        <w:t xml:space="preserve"> </w:t>
      </w:r>
      <w:r>
        <w:t>that</w:t>
      </w:r>
      <w:r w:rsidR="00D23ECC">
        <w:t xml:space="preserve"> </w:t>
      </w:r>
      <w:r>
        <w:t>received</w:t>
      </w:r>
      <w:r w:rsidR="00D23ECC">
        <w:t xml:space="preserve"> </w:t>
      </w:r>
      <w:r>
        <w:t>funds</w:t>
      </w:r>
      <w:r w:rsidR="00D23ECC">
        <w:t xml:space="preserve"> </w:t>
      </w:r>
      <w:r>
        <w:t>included</w:t>
      </w:r>
      <w:r w:rsidR="00D23ECC">
        <w:t xml:space="preserve"> </w:t>
      </w:r>
      <w:r>
        <w:t>Tenants</w:t>
      </w:r>
      <w:r w:rsidR="00D23ECC">
        <w:t xml:space="preserve"> </w:t>
      </w:r>
      <w:r>
        <w:t>Victoria,</w:t>
      </w:r>
      <w:r w:rsidR="00D23ECC">
        <w:t xml:space="preserve"> </w:t>
      </w:r>
      <w:r>
        <w:t>Financial</w:t>
      </w:r>
      <w:r w:rsidR="00D23ECC">
        <w:t xml:space="preserve"> </w:t>
      </w:r>
      <w:r>
        <w:t>Counselling</w:t>
      </w:r>
      <w:r w:rsidR="00D23ECC">
        <w:t xml:space="preserve"> </w:t>
      </w:r>
      <w:r>
        <w:t>Victoria,</w:t>
      </w:r>
      <w:r w:rsidR="00D23ECC">
        <w:t xml:space="preserve"> </w:t>
      </w:r>
      <w:r>
        <w:t>the</w:t>
      </w:r>
      <w:r w:rsidR="00D23ECC">
        <w:t xml:space="preserve"> </w:t>
      </w:r>
      <w:r>
        <w:t>Victorian</w:t>
      </w:r>
      <w:r w:rsidR="00D23ECC">
        <w:t xml:space="preserve"> </w:t>
      </w:r>
      <w:r>
        <w:t>Council</w:t>
      </w:r>
      <w:r w:rsidR="00D23ECC">
        <w:t xml:space="preserve"> </w:t>
      </w:r>
      <w:r>
        <w:t>of</w:t>
      </w:r>
      <w:r w:rsidR="00D23ECC">
        <w:t xml:space="preserve"> </w:t>
      </w:r>
      <w:r>
        <w:t>Social</w:t>
      </w:r>
      <w:r w:rsidR="00D23ECC">
        <w:t xml:space="preserve"> </w:t>
      </w:r>
      <w:r>
        <w:t>Service</w:t>
      </w:r>
      <w:r w:rsidR="00D23ECC">
        <w:t xml:space="preserve"> </w:t>
      </w:r>
      <w:r>
        <w:t>and</w:t>
      </w:r>
      <w:r w:rsidR="00D23ECC">
        <w:t xml:space="preserve"> </w:t>
      </w:r>
      <w:r>
        <w:t>the</w:t>
      </w:r>
      <w:r w:rsidR="00D23ECC">
        <w:t xml:space="preserve"> </w:t>
      </w:r>
      <w:r>
        <w:t>Registered</w:t>
      </w:r>
      <w:r w:rsidR="00D23ECC">
        <w:t xml:space="preserve"> </w:t>
      </w:r>
      <w:r>
        <w:t>Accommodation</w:t>
      </w:r>
      <w:r w:rsidR="00D23ECC">
        <w:t xml:space="preserve"> </w:t>
      </w:r>
      <w:r>
        <w:t>Association</w:t>
      </w:r>
      <w:r w:rsidR="00D23ECC">
        <w:t xml:space="preserve"> </w:t>
      </w:r>
      <w:r>
        <w:t>of</w:t>
      </w:r>
      <w:r w:rsidR="00D23ECC">
        <w:t xml:space="preserve"> </w:t>
      </w:r>
      <w:r>
        <w:t>Victoria.</w:t>
      </w:r>
    </w:p>
    <w:p w14:paraId="4FD38387" w14:textId="3965C267" w:rsidR="00DE3B0D" w:rsidRDefault="00DE3B0D" w:rsidP="00D23ECC">
      <w:pPr>
        <w:pStyle w:val="BodyText"/>
      </w:pPr>
      <w:r>
        <w:t>Two</w:t>
      </w:r>
      <w:r w:rsidR="00D23ECC">
        <w:t xml:space="preserve"> </w:t>
      </w:r>
      <w:r>
        <w:t>new</w:t>
      </w:r>
      <w:r w:rsidR="00D23ECC">
        <w:t xml:space="preserve"> </w:t>
      </w:r>
      <w:r>
        <w:t>initiatives</w:t>
      </w:r>
      <w:r w:rsidR="00D23ECC">
        <w:t xml:space="preserve"> </w:t>
      </w:r>
      <w:r>
        <w:t>to</w:t>
      </w:r>
      <w:r w:rsidR="00D23ECC">
        <w:t xml:space="preserve"> </w:t>
      </w:r>
      <w:r>
        <w:t>protect</w:t>
      </w:r>
      <w:r w:rsidR="00D23ECC">
        <w:t xml:space="preserve"> </w:t>
      </w:r>
      <w:r>
        <w:t>renters,</w:t>
      </w:r>
      <w:r w:rsidR="00D23ECC">
        <w:t xml:space="preserve"> </w:t>
      </w:r>
      <w:r>
        <w:t>a</w:t>
      </w:r>
      <w:r w:rsidR="00D23ECC">
        <w:t xml:space="preserve"> </w:t>
      </w:r>
      <w:r>
        <w:t>rental</w:t>
      </w:r>
      <w:r w:rsidR="00D23ECC">
        <w:t xml:space="preserve"> </w:t>
      </w:r>
      <w:r>
        <w:t>non-compliance</w:t>
      </w:r>
      <w:r w:rsidR="00D23ECC">
        <w:t xml:space="preserve"> </w:t>
      </w:r>
      <w:r>
        <w:t>register</w:t>
      </w:r>
      <w:r w:rsidR="00D23ECC">
        <w:t xml:space="preserve"> </w:t>
      </w:r>
      <w:r>
        <w:t>and</w:t>
      </w:r>
      <w:r w:rsidR="00D23ECC">
        <w:t xml:space="preserve"> </w:t>
      </w:r>
      <w:r>
        <w:t>rent</w:t>
      </w:r>
      <w:r w:rsidR="00D23ECC">
        <w:t xml:space="preserve"> </w:t>
      </w:r>
      <w:r>
        <w:t>special</w:t>
      </w:r>
      <w:r w:rsidR="00D23ECC">
        <w:t xml:space="preserve"> </w:t>
      </w:r>
      <w:r>
        <w:t>account,</w:t>
      </w:r>
      <w:r w:rsidR="00D23ECC">
        <w:t xml:space="preserve"> </w:t>
      </w:r>
      <w:r>
        <w:t>were</w:t>
      </w:r>
      <w:r w:rsidR="00773D96">
        <w:t> </w:t>
      </w:r>
      <w:r>
        <w:t>developed</w:t>
      </w:r>
      <w:r w:rsidR="00D23ECC">
        <w:t xml:space="preserve"> </w:t>
      </w:r>
      <w:r>
        <w:t>as</w:t>
      </w:r>
      <w:r w:rsidR="00D23ECC">
        <w:t xml:space="preserve"> </w:t>
      </w:r>
      <w:r>
        <w:t>a</w:t>
      </w:r>
      <w:r w:rsidR="00D23ECC">
        <w:t xml:space="preserve"> </w:t>
      </w:r>
      <w:r>
        <w:t>collaborative</w:t>
      </w:r>
      <w:r w:rsidR="00D23ECC">
        <w:t xml:space="preserve"> </w:t>
      </w:r>
      <w:r>
        <w:t>effort</w:t>
      </w:r>
      <w:r w:rsidR="00D23ECC">
        <w:t xml:space="preserve"> </w:t>
      </w:r>
      <w:r>
        <w:t>between</w:t>
      </w:r>
      <w:r w:rsidR="00D23ECC">
        <w:t xml:space="preserve"> </w:t>
      </w:r>
      <w:r>
        <w:t>CAV</w:t>
      </w:r>
      <w:r w:rsidR="00D23ECC">
        <w:t xml:space="preserve"> </w:t>
      </w:r>
      <w:r>
        <w:t>and</w:t>
      </w:r>
      <w:r w:rsidR="00D23ECC">
        <w:t xml:space="preserve"> </w:t>
      </w:r>
      <w:r>
        <w:t>VCAT.</w:t>
      </w:r>
      <w:r w:rsidR="00D23ECC">
        <w:t xml:space="preserve"> </w:t>
      </w:r>
      <w:r>
        <w:t>The</w:t>
      </w:r>
      <w:r w:rsidR="00D23ECC">
        <w:t xml:space="preserve"> </w:t>
      </w:r>
      <w:r>
        <w:t>public</w:t>
      </w:r>
      <w:r w:rsidR="00D23ECC">
        <w:t xml:space="preserve"> </w:t>
      </w:r>
      <w:r>
        <w:t>rental</w:t>
      </w:r>
      <w:r w:rsidR="00D23ECC">
        <w:t xml:space="preserve"> </w:t>
      </w:r>
      <w:r>
        <w:t>non-compliance</w:t>
      </w:r>
      <w:r w:rsidR="00D23ECC">
        <w:t xml:space="preserve"> </w:t>
      </w:r>
      <w:r>
        <w:t>register</w:t>
      </w:r>
      <w:r w:rsidR="00D23ECC">
        <w:t xml:space="preserve"> </w:t>
      </w:r>
      <w:r>
        <w:t>displays</w:t>
      </w:r>
      <w:r w:rsidR="00D23ECC">
        <w:t xml:space="preserve"> </w:t>
      </w:r>
      <w:r>
        <w:t>information</w:t>
      </w:r>
      <w:r w:rsidR="00D23ECC">
        <w:t xml:space="preserve"> </w:t>
      </w:r>
      <w:r>
        <w:t>about</w:t>
      </w:r>
      <w:r w:rsidR="00D23ECC">
        <w:t xml:space="preserve"> </w:t>
      </w:r>
      <w:r>
        <w:t>non-compliance</w:t>
      </w:r>
      <w:r w:rsidR="00D23ECC">
        <w:t xml:space="preserve"> </w:t>
      </w:r>
      <w:r>
        <w:t>by</w:t>
      </w:r>
      <w:r w:rsidR="00D23ECC">
        <w:t xml:space="preserve"> </w:t>
      </w:r>
      <w:r>
        <w:t>rental</w:t>
      </w:r>
      <w:r w:rsidR="00D23ECC">
        <w:t xml:space="preserve"> </w:t>
      </w:r>
      <w:r>
        <w:t>providers</w:t>
      </w:r>
      <w:r w:rsidR="00D23ECC">
        <w:t xml:space="preserve"> </w:t>
      </w:r>
      <w:r>
        <w:t>and</w:t>
      </w:r>
      <w:r w:rsidR="00D23ECC">
        <w:t xml:space="preserve"> </w:t>
      </w:r>
      <w:r>
        <w:t>their</w:t>
      </w:r>
      <w:r w:rsidR="00D23ECC">
        <w:t xml:space="preserve"> </w:t>
      </w:r>
      <w:r>
        <w:t>agents.</w:t>
      </w:r>
      <w:r w:rsidR="00D23ECC">
        <w:t xml:space="preserve"> </w:t>
      </w:r>
      <w:r>
        <w:t>The</w:t>
      </w:r>
      <w:r w:rsidR="00D23ECC">
        <w:t xml:space="preserve"> </w:t>
      </w:r>
      <w:r>
        <w:t>register</w:t>
      </w:r>
      <w:r w:rsidR="00D23ECC">
        <w:t xml:space="preserve"> </w:t>
      </w:r>
      <w:r>
        <w:t>is</w:t>
      </w:r>
      <w:r w:rsidR="00D23ECC">
        <w:t xml:space="preserve"> </w:t>
      </w:r>
      <w:r>
        <w:t>hosted</w:t>
      </w:r>
      <w:r w:rsidR="00D23ECC">
        <w:t xml:space="preserve"> </w:t>
      </w:r>
      <w:r>
        <w:t>on</w:t>
      </w:r>
      <w:r w:rsidR="00D23ECC">
        <w:t xml:space="preserve"> </w:t>
      </w:r>
      <w:r>
        <w:t>the</w:t>
      </w:r>
      <w:r w:rsidR="00D23ECC">
        <w:t xml:space="preserve"> </w:t>
      </w:r>
      <w:r>
        <w:t>CAV</w:t>
      </w:r>
      <w:r w:rsidR="00D23ECC">
        <w:t xml:space="preserve"> </w:t>
      </w:r>
      <w:r>
        <w:t>website</w:t>
      </w:r>
      <w:r w:rsidR="00D23ECC">
        <w:t xml:space="preserve"> </w:t>
      </w:r>
      <w:r>
        <w:t>and</w:t>
      </w:r>
      <w:r w:rsidR="00D23ECC">
        <w:t xml:space="preserve"> </w:t>
      </w:r>
      <w:r>
        <w:t>will</w:t>
      </w:r>
      <w:r w:rsidR="00D23ECC">
        <w:t xml:space="preserve"> </w:t>
      </w:r>
      <w:r>
        <w:t>help</w:t>
      </w:r>
      <w:r w:rsidR="00D23ECC">
        <w:t xml:space="preserve"> </w:t>
      </w:r>
      <w:r>
        <w:t>renters</w:t>
      </w:r>
      <w:r w:rsidR="00D23ECC">
        <w:t xml:space="preserve"> </w:t>
      </w:r>
      <w:r>
        <w:t>make</w:t>
      </w:r>
      <w:r w:rsidR="00D23ECC">
        <w:t xml:space="preserve"> </w:t>
      </w:r>
      <w:r>
        <w:t>informed</w:t>
      </w:r>
      <w:r w:rsidR="00D23ECC">
        <w:t xml:space="preserve"> </w:t>
      </w:r>
      <w:r>
        <w:t>decisions</w:t>
      </w:r>
      <w:r w:rsidR="00D23ECC">
        <w:t xml:space="preserve"> </w:t>
      </w:r>
      <w:r>
        <w:t>when</w:t>
      </w:r>
      <w:r w:rsidR="00D23ECC">
        <w:t xml:space="preserve"> </w:t>
      </w:r>
      <w:r>
        <w:t>considering</w:t>
      </w:r>
      <w:r w:rsidR="00D23ECC">
        <w:t xml:space="preserve"> </w:t>
      </w:r>
      <w:r>
        <w:t>rental</w:t>
      </w:r>
      <w:r w:rsidR="00D23ECC">
        <w:t xml:space="preserve"> </w:t>
      </w:r>
      <w:r>
        <w:t>providers.</w:t>
      </w:r>
    </w:p>
    <w:p w14:paraId="0069BC4C" w14:textId="5BBF46FA" w:rsidR="00DE3B0D" w:rsidRDefault="00DE3B0D" w:rsidP="00D23ECC">
      <w:pPr>
        <w:pStyle w:val="BodyText"/>
      </w:pPr>
      <w:r>
        <w:t>The</w:t>
      </w:r>
      <w:r w:rsidR="00D23ECC">
        <w:t xml:space="preserve"> </w:t>
      </w:r>
      <w:r>
        <w:t>rent</w:t>
      </w:r>
      <w:r w:rsidR="00D23ECC">
        <w:t xml:space="preserve"> </w:t>
      </w:r>
      <w:r>
        <w:t>special</w:t>
      </w:r>
      <w:r w:rsidR="00D23ECC">
        <w:t xml:space="preserve"> </w:t>
      </w:r>
      <w:r>
        <w:t>account</w:t>
      </w:r>
      <w:r w:rsidR="00D23ECC">
        <w:t xml:space="preserve"> </w:t>
      </w:r>
      <w:r>
        <w:t>holds</w:t>
      </w:r>
      <w:r w:rsidR="00D23ECC">
        <w:t xml:space="preserve"> </w:t>
      </w:r>
      <w:r>
        <w:t>rent</w:t>
      </w:r>
      <w:r w:rsidR="00D23ECC">
        <w:t xml:space="preserve"> </w:t>
      </w:r>
      <w:r>
        <w:t>money</w:t>
      </w:r>
      <w:r w:rsidR="00D23ECC">
        <w:t xml:space="preserve"> </w:t>
      </w:r>
      <w:r>
        <w:t>in</w:t>
      </w:r>
      <w:r w:rsidR="00D23ECC">
        <w:t xml:space="preserve"> </w:t>
      </w:r>
      <w:r>
        <w:t>trust</w:t>
      </w:r>
      <w:r w:rsidR="00D23ECC">
        <w:t xml:space="preserve"> </w:t>
      </w:r>
      <w:r>
        <w:t>until</w:t>
      </w:r>
      <w:r w:rsidR="00D23ECC">
        <w:t xml:space="preserve"> </w:t>
      </w:r>
      <w:r>
        <w:t>repairs</w:t>
      </w:r>
      <w:r w:rsidR="00D23ECC">
        <w:t xml:space="preserve"> </w:t>
      </w:r>
      <w:r>
        <w:t>are</w:t>
      </w:r>
      <w:r w:rsidR="00D23ECC">
        <w:t xml:space="preserve"> </w:t>
      </w:r>
      <w:r>
        <w:t>made</w:t>
      </w:r>
      <w:r w:rsidR="00D23ECC">
        <w:t xml:space="preserve"> </w:t>
      </w:r>
      <w:r>
        <w:t>by</w:t>
      </w:r>
      <w:r w:rsidR="00D23ECC">
        <w:t xml:space="preserve"> </w:t>
      </w:r>
      <w:r>
        <w:t>a</w:t>
      </w:r>
      <w:r w:rsidR="00D23ECC">
        <w:t xml:space="preserve"> </w:t>
      </w:r>
      <w:r>
        <w:t>rental</w:t>
      </w:r>
      <w:r w:rsidR="00D23ECC">
        <w:t xml:space="preserve"> </w:t>
      </w:r>
      <w:r>
        <w:t>provider,</w:t>
      </w:r>
      <w:r w:rsidR="00D23ECC">
        <w:t xml:space="preserve"> </w:t>
      </w:r>
      <w:r>
        <w:t>protecting</w:t>
      </w:r>
      <w:r w:rsidR="00D23ECC">
        <w:t xml:space="preserve"> </w:t>
      </w:r>
      <w:r>
        <w:t>the</w:t>
      </w:r>
      <w:r w:rsidR="00D23ECC">
        <w:t xml:space="preserve"> </w:t>
      </w:r>
      <w:r>
        <w:t>health</w:t>
      </w:r>
      <w:r w:rsidR="00D23ECC">
        <w:t xml:space="preserve"> </w:t>
      </w:r>
      <w:r>
        <w:t>and</w:t>
      </w:r>
      <w:r w:rsidR="00D23ECC">
        <w:t xml:space="preserve"> </w:t>
      </w:r>
      <w:r>
        <w:t>safety</w:t>
      </w:r>
      <w:r w:rsidR="00D23ECC">
        <w:t xml:space="preserve"> </w:t>
      </w:r>
      <w:r>
        <w:t>of</w:t>
      </w:r>
      <w:r w:rsidR="00D23ECC">
        <w:t xml:space="preserve"> </w:t>
      </w:r>
      <w:r>
        <w:t>renters.</w:t>
      </w:r>
      <w:r w:rsidR="00D23ECC">
        <w:t xml:space="preserve"> </w:t>
      </w:r>
      <w:r>
        <w:t>The</w:t>
      </w:r>
      <w:r w:rsidR="00D23ECC">
        <w:t xml:space="preserve"> </w:t>
      </w:r>
      <w:r>
        <w:t>Residential</w:t>
      </w:r>
      <w:r w:rsidR="00D23ECC">
        <w:t xml:space="preserve"> </w:t>
      </w:r>
      <w:r>
        <w:t>Tenancies</w:t>
      </w:r>
      <w:r w:rsidR="00D23ECC">
        <w:t xml:space="preserve"> </w:t>
      </w:r>
      <w:r>
        <w:t>Bond</w:t>
      </w:r>
      <w:r w:rsidR="00D23ECC">
        <w:t xml:space="preserve"> </w:t>
      </w:r>
      <w:r>
        <w:t>Authority</w:t>
      </w:r>
      <w:r w:rsidR="00D23ECC">
        <w:t xml:space="preserve"> </w:t>
      </w:r>
      <w:r>
        <w:t>(RTBA)</w:t>
      </w:r>
      <w:r w:rsidR="00D23ECC">
        <w:t xml:space="preserve"> </w:t>
      </w:r>
      <w:r>
        <w:t>online</w:t>
      </w:r>
      <w:r w:rsidR="00D23ECC">
        <w:t xml:space="preserve"> </w:t>
      </w:r>
      <w:r>
        <w:t>system</w:t>
      </w:r>
      <w:r w:rsidR="00D23ECC">
        <w:t xml:space="preserve"> </w:t>
      </w:r>
      <w:r>
        <w:t>was</w:t>
      </w:r>
      <w:r w:rsidR="00D23ECC">
        <w:t xml:space="preserve"> </w:t>
      </w:r>
      <w:r>
        <w:t>also</w:t>
      </w:r>
      <w:r w:rsidR="00D23ECC">
        <w:t xml:space="preserve"> </w:t>
      </w:r>
      <w:r>
        <w:t>enhanced</w:t>
      </w:r>
      <w:r w:rsidR="00D23ECC">
        <w:t xml:space="preserve"> </w:t>
      </w:r>
      <w:r>
        <w:t>to</w:t>
      </w:r>
      <w:r w:rsidR="00D23ECC">
        <w:t xml:space="preserve"> </w:t>
      </w:r>
      <w:r>
        <w:t>support</w:t>
      </w:r>
      <w:r w:rsidR="00D23ECC">
        <w:t xml:space="preserve"> </w:t>
      </w:r>
      <w:r>
        <w:t>electronic</w:t>
      </w:r>
      <w:r w:rsidR="00D23ECC">
        <w:t xml:space="preserve"> </w:t>
      </w:r>
      <w:r>
        <w:t>bond</w:t>
      </w:r>
      <w:r w:rsidR="00D23ECC">
        <w:t xml:space="preserve"> </w:t>
      </w:r>
      <w:r>
        <w:t>transactions,</w:t>
      </w:r>
      <w:r w:rsidR="00D23ECC">
        <w:t xml:space="preserve"> </w:t>
      </w:r>
      <w:r>
        <w:t>which</w:t>
      </w:r>
      <w:r w:rsidR="00D23ECC">
        <w:t xml:space="preserve"> </w:t>
      </w:r>
      <w:r>
        <w:t>were</w:t>
      </w:r>
      <w:r w:rsidR="00D23ECC">
        <w:t xml:space="preserve"> </w:t>
      </w:r>
      <w:r>
        <w:t>introduced</w:t>
      </w:r>
      <w:r w:rsidR="00D23ECC">
        <w:t xml:space="preserve"> </w:t>
      </w:r>
      <w:r>
        <w:t>under</w:t>
      </w:r>
      <w:r w:rsidR="00D23ECC">
        <w:t xml:space="preserve"> </w:t>
      </w:r>
      <w:r>
        <w:t>the</w:t>
      </w:r>
      <w:r w:rsidR="00D23ECC">
        <w:t xml:space="preserve"> </w:t>
      </w:r>
      <w:r>
        <w:t>new</w:t>
      </w:r>
      <w:r w:rsidR="00D23ECC">
        <w:t xml:space="preserve"> </w:t>
      </w:r>
      <w:r>
        <w:t>laws.</w:t>
      </w:r>
      <w:r w:rsidR="00D23ECC">
        <w:t xml:space="preserve"> </w:t>
      </w:r>
      <w:r>
        <w:t>Modification</w:t>
      </w:r>
      <w:r w:rsidR="00D23ECC">
        <w:t xml:space="preserve"> </w:t>
      </w:r>
      <w:r>
        <w:t>bonds</w:t>
      </w:r>
      <w:r w:rsidR="00D23ECC">
        <w:t xml:space="preserve"> </w:t>
      </w:r>
      <w:r>
        <w:t>can</w:t>
      </w:r>
      <w:r w:rsidR="00D23ECC">
        <w:t xml:space="preserve"> </w:t>
      </w:r>
      <w:r>
        <w:t>now</w:t>
      </w:r>
      <w:r w:rsidR="00D23ECC">
        <w:t xml:space="preserve"> </w:t>
      </w:r>
      <w:r>
        <w:t>be</w:t>
      </w:r>
      <w:r w:rsidR="00D23ECC">
        <w:t xml:space="preserve"> </w:t>
      </w:r>
      <w:r>
        <w:t>lodged</w:t>
      </w:r>
      <w:r w:rsidR="00D23ECC">
        <w:t xml:space="preserve"> </w:t>
      </w:r>
      <w:r>
        <w:t>and</w:t>
      </w:r>
      <w:r w:rsidR="00D23ECC">
        <w:t xml:space="preserve"> </w:t>
      </w:r>
      <w:r>
        <w:t>renters</w:t>
      </w:r>
      <w:r w:rsidR="00D23ECC">
        <w:t xml:space="preserve"> </w:t>
      </w:r>
      <w:r>
        <w:t>can</w:t>
      </w:r>
      <w:r w:rsidR="00D23ECC">
        <w:t xml:space="preserve"> </w:t>
      </w:r>
      <w:r>
        <w:t>also</w:t>
      </w:r>
      <w:r w:rsidR="00D23ECC">
        <w:t xml:space="preserve"> </w:t>
      </w:r>
      <w:r>
        <w:t>apply</w:t>
      </w:r>
      <w:r w:rsidR="00D23ECC">
        <w:t xml:space="preserve"> </w:t>
      </w:r>
      <w:r>
        <w:t>directly</w:t>
      </w:r>
      <w:r w:rsidR="00D23ECC">
        <w:t xml:space="preserve"> </w:t>
      </w:r>
      <w:r>
        <w:t>to</w:t>
      </w:r>
      <w:r w:rsidR="00D23ECC">
        <w:t xml:space="preserve"> </w:t>
      </w:r>
      <w:r>
        <w:t>the</w:t>
      </w:r>
      <w:r w:rsidR="00D23ECC">
        <w:t xml:space="preserve"> </w:t>
      </w:r>
      <w:r>
        <w:t>RTBA</w:t>
      </w:r>
      <w:r w:rsidR="00D23ECC">
        <w:t xml:space="preserve"> </w:t>
      </w:r>
      <w:r>
        <w:t>to</w:t>
      </w:r>
      <w:r w:rsidR="00D23ECC">
        <w:t xml:space="preserve"> </w:t>
      </w:r>
      <w:r>
        <w:t>lodge</w:t>
      </w:r>
      <w:r w:rsidR="00D23ECC">
        <w:t xml:space="preserve"> </w:t>
      </w:r>
      <w:r>
        <w:t>bond</w:t>
      </w:r>
      <w:r w:rsidR="00D23ECC">
        <w:t xml:space="preserve"> </w:t>
      </w:r>
      <w:r>
        <w:t>claims.</w:t>
      </w:r>
    </w:p>
    <w:p w14:paraId="73695273" w14:textId="0709B176" w:rsidR="00DE3B0D" w:rsidRDefault="00DE3B0D" w:rsidP="00D23ECC">
      <w:pPr>
        <w:pStyle w:val="BodyText"/>
      </w:pPr>
      <w:r>
        <w:t>We</w:t>
      </w:r>
      <w:r w:rsidR="00D23ECC">
        <w:t xml:space="preserve"> </w:t>
      </w:r>
      <w:r>
        <w:t>also</w:t>
      </w:r>
      <w:r w:rsidR="00D23ECC">
        <w:t xml:space="preserve"> </w:t>
      </w:r>
      <w:r>
        <w:t>developed</w:t>
      </w:r>
      <w:r w:rsidR="00D23ECC">
        <w:t xml:space="preserve"> </w:t>
      </w:r>
      <w:r>
        <w:t>guidelines</w:t>
      </w:r>
      <w:r w:rsidR="00D23ECC">
        <w:t xml:space="preserve"> </w:t>
      </w:r>
      <w:r>
        <w:t>issued</w:t>
      </w:r>
      <w:r w:rsidR="00D23ECC">
        <w:t xml:space="preserve"> </w:t>
      </w:r>
      <w:r>
        <w:t>by</w:t>
      </w:r>
      <w:r w:rsidR="00D23ECC">
        <w:t xml:space="preserve"> </w:t>
      </w:r>
      <w:r>
        <w:t>the</w:t>
      </w:r>
      <w:r w:rsidR="00D23ECC">
        <w:t xml:space="preserve"> </w:t>
      </w:r>
      <w:r>
        <w:t>Director</w:t>
      </w:r>
      <w:r w:rsidR="00D23ECC">
        <w:t xml:space="preserve"> </w:t>
      </w:r>
      <w:r>
        <w:t>of</w:t>
      </w:r>
      <w:r w:rsidR="00D23ECC">
        <w:t xml:space="preserve"> </w:t>
      </w:r>
      <w:r>
        <w:t>CAV</w:t>
      </w:r>
      <w:r w:rsidR="00D23ECC">
        <w:t xml:space="preserve"> </w:t>
      </w:r>
      <w:r>
        <w:t>that</w:t>
      </w:r>
      <w:r w:rsidR="00D23ECC">
        <w:t xml:space="preserve"> </w:t>
      </w:r>
      <w:r>
        <w:t>VCAT</w:t>
      </w:r>
      <w:r w:rsidR="00D23ECC">
        <w:t xml:space="preserve"> </w:t>
      </w:r>
      <w:r>
        <w:t>must</w:t>
      </w:r>
      <w:r w:rsidR="00D23ECC">
        <w:t xml:space="preserve"> </w:t>
      </w:r>
      <w:r>
        <w:t>consider</w:t>
      </w:r>
      <w:r w:rsidR="00D23ECC">
        <w:t xml:space="preserve"> </w:t>
      </w:r>
      <w:r>
        <w:t>when</w:t>
      </w:r>
      <w:r w:rsidR="00D23ECC">
        <w:t xml:space="preserve"> </w:t>
      </w:r>
      <w:r>
        <w:t>determining</w:t>
      </w:r>
      <w:r w:rsidR="00D23ECC">
        <w:t xml:space="preserve"> </w:t>
      </w:r>
      <w:r>
        <w:t>particular</w:t>
      </w:r>
      <w:r w:rsidR="00D23ECC">
        <w:t xml:space="preserve"> </w:t>
      </w:r>
      <w:r>
        <w:t>applications</w:t>
      </w:r>
      <w:r w:rsidR="00D23ECC">
        <w:t xml:space="preserve"> </w:t>
      </w:r>
      <w:r>
        <w:t>made</w:t>
      </w:r>
      <w:r w:rsidR="00D23ECC">
        <w:t xml:space="preserve"> </w:t>
      </w:r>
      <w:r>
        <w:t>under</w:t>
      </w:r>
      <w:r w:rsidR="00D23ECC">
        <w:t xml:space="preserve"> </w:t>
      </w:r>
      <w:r>
        <w:t>the</w:t>
      </w:r>
      <w:r w:rsidR="00D23ECC">
        <w:t xml:space="preserve"> </w:t>
      </w:r>
      <w:r>
        <w:t>RTA.</w:t>
      </w:r>
      <w:r w:rsidR="00D23ECC">
        <w:t xml:space="preserve"> </w:t>
      </w:r>
      <w:r>
        <w:t>The</w:t>
      </w:r>
      <w:r w:rsidR="00D23ECC">
        <w:t xml:space="preserve"> </w:t>
      </w:r>
      <w:r>
        <w:t>guidelines</w:t>
      </w:r>
      <w:r w:rsidR="00D23ECC">
        <w:t xml:space="preserve"> </w:t>
      </w:r>
      <w:r>
        <w:t>summarise</w:t>
      </w:r>
      <w:r w:rsidR="00D23ECC">
        <w:t xml:space="preserve"> </w:t>
      </w:r>
      <w:r>
        <w:t>relevant</w:t>
      </w:r>
      <w:r w:rsidR="00D23ECC">
        <w:t xml:space="preserve"> </w:t>
      </w:r>
      <w:r>
        <w:t>case</w:t>
      </w:r>
      <w:r w:rsidR="00D23ECC">
        <w:t xml:space="preserve"> </w:t>
      </w:r>
      <w:r>
        <w:t>law</w:t>
      </w:r>
      <w:r w:rsidR="00773D96">
        <w:t> </w:t>
      </w:r>
      <w:r>
        <w:t>to</w:t>
      </w:r>
      <w:r w:rsidR="00D23ECC">
        <w:t xml:space="preserve"> </w:t>
      </w:r>
      <w:r>
        <w:t>help</w:t>
      </w:r>
      <w:r w:rsidR="00D23ECC">
        <w:t xml:space="preserve"> </w:t>
      </w:r>
      <w:r>
        <w:t>interpret</w:t>
      </w:r>
      <w:r w:rsidR="00D23ECC">
        <w:t xml:space="preserve"> </w:t>
      </w:r>
      <w:r>
        <w:t>the</w:t>
      </w:r>
      <w:r w:rsidR="00D23ECC">
        <w:t xml:space="preserve"> </w:t>
      </w:r>
      <w:r>
        <w:t>RTA</w:t>
      </w:r>
      <w:r w:rsidR="00D23ECC">
        <w:t xml:space="preserve"> </w:t>
      </w:r>
      <w:r>
        <w:t>and</w:t>
      </w:r>
      <w:r w:rsidR="00D23ECC">
        <w:t xml:space="preserve"> </w:t>
      </w:r>
      <w:r>
        <w:t>provide</w:t>
      </w:r>
      <w:r w:rsidR="00D23ECC">
        <w:t xml:space="preserve"> </w:t>
      </w:r>
      <w:r>
        <w:t>practical</w:t>
      </w:r>
      <w:r w:rsidR="00D23ECC">
        <w:t xml:space="preserve"> </w:t>
      </w:r>
      <w:r>
        <w:t>guidance</w:t>
      </w:r>
      <w:r w:rsidR="00D23ECC">
        <w:t xml:space="preserve"> </w:t>
      </w:r>
      <w:r>
        <w:t>for</w:t>
      </w:r>
      <w:r w:rsidR="00D23ECC">
        <w:t xml:space="preserve"> </w:t>
      </w:r>
      <w:r>
        <w:t>renters</w:t>
      </w:r>
      <w:r w:rsidR="00D23ECC">
        <w:t xml:space="preserve"> </w:t>
      </w:r>
      <w:r>
        <w:t>and</w:t>
      </w:r>
      <w:r w:rsidR="00D23ECC">
        <w:t xml:space="preserve"> </w:t>
      </w:r>
      <w:r>
        <w:t>rental</w:t>
      </w:r>
      <w:r w:rsidR="00D23ECC">
        <w:t xml:space="preserve"> </w:t>
      </w:r>
      <w:r>
        <w:t>providers</w:t>
      </w:r>
      <w:r w:rsidR="00D23ECC">
        <w:t xml:space="preserve"> </w:t>
      </w:r>
      <w:r>
        <w:t>about</w:t>
      </w:r>
      <w:r w:rsidR="00D23ECC">
        <w:t xml:space="preserve"> </w:t>
      </w:r>
      <w:r>
        <w:t>how</w:t>
      </w:r>
      <w:r w:rsidR="00D23ECC">
        <w:t xml:space="preserve"> </w:t>
      </w:r>
      <w:r>
        <w:t>to</w:t>
      </w:r>
      <w:r w:rsidR="00D23ECC">
        <w:t xml:space="preserve"> </w:t>
      </w:r>
      <w:r>
        <w:t>comply</w:t>
      </w:r>
      <w:r w:rsidR="00D23ECC">
        <w:t xml:space="preserve"> </w:t>
      </w:r>
      <w:r>
        <w:t>with</w:t>
      </w:r>
      <w:r w:rsidR="00D23ECC">
        <w:t xml:space="preserve"> </w:t>
      </w:r>
      <w:r>
        <w:t>renting</w:t>
      </w:r>
      <w:r w:rsidR="00D23ECC">
        <w:t xml:space="preserve"> </w:t>
      </w:r>
      <w:r>
        <w:t>laws.</w:t>
      </w:r>
      <w:r w:rsidR="00D23ECC">
        <w:t xml:space="preserve"> </w:t>
      </w:r>
      <w:r>
        <w:t>The</w:t>
      </w:r>
      <w:r w:rsidR="00D23ECC">
        <w:t xml:space="preserve"> </w:t>
      </w:r>
      <w:r>
        <w:t>guidelines</w:t>
      </w:r>
      <w:r w:rsidR="00D23ECC">
        <w:t xml:space="preserve"> </w:t>
      </w:r>
      <w:r>
        <w:t>support</w:t>
      </w:r>
      <w:r w:rsidR="00D23ECC">
        <w:t xml:space="preserve"> </w:t>
      </w:r>
      <w:r>
        <w:t>dispute</w:t>
      </w:r>
      <w:r w:rsidR="00D23ECC">
        <w:t xml:space="preserve"> </w:t>
      </w:r>
      <w:r>
        <w:t>resolution</w:t>
      </w:r>
      <w:r w:rsidR="00D23ECC">
        <w:t xml:space="preserve"> </w:t>
      </w:r>
      <w:r>
        <w:t>between</w:t>
      </w:r>
      <w:r w:rsidR="00D23ECC">
        <w:t xml:space="preserve"> </w:t>
      </w:r>
      <w:r>
        <w:t>renters</w:t>
      </w:r>
      <w:r w:rsidR="00D23ECC">
        <w:t xml:space="preserve"> </w:t>
      </w:r>
      <w:r>
        <w:t>and</w:t>
      </w:r>
      <w:r w:rsidR="00D23ECC">
        <w:t xml:space="preserve"> </w:t>
      </w:r>
      <w:r>
        <w:t>rental</w:t>
      </w:r>
      <w:r w:rsidR="00773D96">
        <w:t> </w:t>
      </w:r>
      <w:r>
        <w:t>providers</w:t>
      </w:r>
      <w:r w:rsidR="00D23ECC">
        <w:t xml:space="preserve"> </w:t>
      </w:r>
      <w:r>
        <w:t>and</w:t>
      </w:r>
      <w:r w:rsidR="00D23ECC">
        <w:t xml:space="preserve"> </w:t>
      </w:r>
      <w:r>
        <w:t>greater</w:t>
      </w:r>
      <w:r w:rsidR="00D23ECC">
        <w:t xml:space="preserve"> </w:t>
      </w:r>
      <w:r>
        <w:t>consistency</w:t>
      </w:r>
      <w:r w:rsidR="00D23ECC">
        <w:t xml:space="preserve"> </w:t>
      </w:r>
      <w:r>
        <w:t>in</w:t>
      </w:r>
      <w:r w:rsidR="00D23ECC">
        <w:t xml:space="preserve"> </w:t>
      </w:r>
      <w:r>
        <w:t>VCAT</w:t>
      </w:r>
      <w:r w:rsidR="00D23ECC">
        <w:t xml:space="preserve"> </w:t>
      </w:r>
      <w:r>
        <w:t>decision</w:t>
      </w:r>
      <w:r w:rsidR="00D23ECC">
        <w:t xml:space="preserve"> </w:t>
      </w:r>
      <w:r>
        <w:t>making.</w:t>
      </w:r>
      <w:r w:rsidR="00D23ECC">
        <w:t xml:space="preserve"> </w:t>
      </w:r>
      <w:r>
        <w:t>They</w:t>
      </w:r>
      <w:r w:rsidR="00D23ECC">
        <w:t xml:space="preserve"> </w:t>
      </w:r>
      <w:r>
        <w:t>also</w:t>
      </w:r>
      <w:r w:rsidR="00D23ECC">
        <w:t xml:space="preserve"> </w:t>
      </w:r>
      <w:r>
        <w:t>cover</w:t>
      </w:r>
      <w:r w:rsidR="00D23ECC">
        <w:t xml:space="preserve"> </w:t>
      </w:r>
      <w:r>
        <w:t>common</w:t>
      </w:r>
      <w:r w:rsidR="00D23ECC">
        <w:t xml:space="preserve"> </w:t>
      </w:r>
      <w:r>
        <w:t>areas</w:t>
      </w:r>
      <w:r w:rsidR="00D23ECC">
        <w:t xml:space="preserve"> </w:t>
      </w:r>
      <w:r>
        <w:t>of</w:t>
      </w:r>
      <w:r w:rsidR="00773D96">
        <w:t> </w:t>
      </w:r>
      <w:r>
        <w:t>dispute</w:t>
      </w:r>
      <w:r w:rsidR="00D23ECC">
        <w:t xml:space="preserve"> </w:t>
      </w:r>
      <w:r>
        <w:t>including</w:t>
      </w:r>
      <w:r w:rsidR="00D23ECC">
        <w:t xml:space="preserve"> </w:t>
      </w:r>
      <w:r>
        <w:t>maintenance,</w:t>
      </w:r>
      <w:r w:rsidR="00D23ECC">
        <w:t xml:space="preserve"> </w:t>
      </w:r>
      <w:r>
        <w:t>cleanliness,</w:t>
      </w:r>
      <w:r w:rsidR="00D23ECC">
        <w:t xml:space="preserve"> </w:t>
      </w:r>
      <w:r>
        <w:t>damage</w:t>
      </w:r>
      <w:r w:rsidR="00D23ECC">
        <w:t xml:space="preserve"> </w:t>
      </w:r>
      <w:r>
        <w:t>and</w:t>
      </w:r>
      <w:r w:rsidR="00D23ECC">
        <w:t xml:space="preserve"> </w:t>
      </w:r>
      <w:r>
        <w:t>fair</w:t>
      </w:r>
      <w:r w:rsidR="00D23ECC">
        <w:t xml:space="preserve"> </w:t>
      </w:r>
      <w:r>
        <w:t>wear</w:t>
      </w:r>
      <w:r w:rsidR="00D23ECC">
        <w:t xml:space="preserve"> </w:t>
      </w:r>
      <w:r>
        <w:t>and</w:t>
      </w:r>
      <w:r w:rsidR="00D23ECC">
        <w:t xml:space="preserve"> </w:t>
      </w:r>
      <w:r>
        <w:t>tear,</w:t>
      </w:r>
      <w:r w:rsidR="00D23ECC">
        <w:t xml:space="preserve"> </w:t>
      </w:r>
      <w:r>
        <w:t>urgent</w:t>
      </w:r>
      <w:r w:rsidR="00D23ECC">
        <w:t xml:space="preserve"> </w:t>
      </w:r>
      <w:r>
        <w:t>repairs</w:t>
      </w:r>
      <w:r w:rsidR="00D23ECC">
        <w:t xml:space="preserve"> </w:t>
      </w:r>
      <w:r>
        <w:t>and</w:t>
      </w:r>
      <w:r w:rsidR="00D23ECC">
        <w:t xml:space="preserve"> </w:t>
      </w:r>
      <w:r>
        <w:t>interpreting</w:t>
      </w:r>
      <w:r w:rsidR="00D23ECC">
        <w:t xml:space="preserve"> </w:t>
      </w:r>
      <w:r>
        <w:t>the</w:t>
      </w:r>
      <w:r w:rsidR="00D23ECC">
        <w:t xml:space="preserve"> </w:t>
      </w:r>
      <w:r>
        <w:t>term</w:t>
      </w:r>
      <w:r w:rsidR="00D23ECC">
        <w:t xml:space="preserve"> </w:t>
      </w:r>
      <w:r>
        <w:t>‘endanger’.</w:t>
      </w:r>
    </w:p>
    <w:p w14:paraId="2A8CF161" w14:textId="7A6D83C0" w:rsidR="00DE3B0D" w:rsidRDefault="00DE3B0D" w:rsidP="00D23ECC">
      <w:pPr>
        <w:pStyle w:val="BodyText"/>
      </w:pPr>
      <w:r>
        <w:t>We</w:t>
      </w:r>
      <w:r w:rsidR="00D23ECC">
        <w:t xml:space="preserve"> </w:t>
      </w:r>
      <w:r>
        <w:t>will</w:t>
      </w:r>
      <w:r w:rsidR="00D23ECC">
        <w:t xml:space="preserve"> </w:t>
      </w:r>
      <w:r>
        <w:t>continue</w:t>
      </w:r>
      <w:r w:rsidR="00D23ECC">
        <w:t xml:space="preserve"> </w:t>
      </w:r>
      <w:r>
        <w:t>to</w:t>
      </w:r>
      <w:r w:rsidR="00D23ECC">
        <w:t xml:space="preserve"> </w:t>
      </w:r>
      <w:r>
        <w:t>monitor</w:t>
      </w:r>
      <w:r w:rsidR="00D23ECC">
        <w:t xml:space="preserve"> </w:t>
      </w:r>
      <w:r>
        <w:t>the</w:t>
      </w:r>
      <w:r w:rsidR="00D23ECC">
        <w:t xml:space="preserve"> </w:t>
      </w:r>
      <w:r>
        <w:t>rental</w:t>
      </w:r>
      <w:r w:rsidR="00D23ECC">
        <w:t xml:space="preserve"> </w:t>
      </w:r>
      <w:r>
        <w:t>market</w:t>
      </w:r>
      <w:r w:rsidR="00D23ECC">
        <w:t xml:space="preserve"> </w:t>
      </w:r>
      <w:r>
        <w:t>to</w:t>
      </w:r>
      <w:r w:rsidR="00D23ECC">
        <w:t xml:space="preserve"> </w:t>
      </w:r>
      <w:r>
        <w:t>ensure</w:t>
      </w:r>
      <w:r w:rsidR="00D23ECC">
        <w:t xml:space="preserve"> </w:t>
      </w:r>
      <w:r>
        <w:t>compliance</w:t>
      </w:r>
      <w:r w:rsidR="00D23ECC">
        <w:t xml:space="preserve"> </w:t>
      </w:r>
      <w:r>
        <w:t>with</w:t>
      </w:r>
      <w:r w:rsidR="00D23ECC">
        <w:t xml:space="preserve"> </w:t>
      </w:r>
      <w:r>
        <w:t>laws</w:t>
      </w:r>
      <w:r w:rsidR="00D23ECC">
        <w:t xml:space="preserve"> </w:t>
      </w:r>
      <w:r>
        <w:t>and</w:t>
      </w:r>
      <w:r w:rsidR="00D23ECC">
        <w:t xml:space="preserve"> </w:t>
      </w:r>
      <w:r>
        <w:t>to</w:t>
      </w:r>
      <w:r w:rsidR="00D23ECC">
        <w:t xml:space="preserve"> </w:t>
      </w:r>
      <w:r>
        <w:t>identify</w:t>
      </w:r>
      <w:r w:rsidR="00D23ECC">
        <w:t xml:space="preserve"> </w:t>
      </w:r>
      <w:r>
        <w:t>new</w:t>
      </w:r>
      <w:r w:rsidR="00D23ECC">
        <w:t xml:space="preserve"> </w:t>
      </w:r>
      <w:r>
        <w:t>and</w:t>
      </w:r>
      <w:r w:rsidR="00D23ECC">
        <w:t xml:space="preserve"> </w:t>
      </w:r>
      <w:r>
        <w:t>emerging</w:t>
      </w:r>
      <w:r w:rsidR="00D23ECC">
        <w:t xml:space="preserve"> </w:t>
      </w:r>
      <w:r>
        <w:t>issues</w:t>
      </w:r>
      <w:r w:rsidR="00D23ECC">
        <w:t xml:space="preserve"> </w:t>
      </w:r>
      <w:r>
        <w:t>the</w:t>
      </w:r>
      <w:r w:rsidR="00D23ECC">
        <w:t xml:space="preserve"> </w:t>
      </w:r>
      <w:r>
        <w:t>new</w:t>
      </w:r>
      <w:r w:rsidR="00D23ECC">
        <w:t xml:space="preserve"> </w:t>
      </w:r>
      <w:r>
        <w:t>laws</w:t>
      </w:r>
      <w:r w:rsidR="00D23ECC">
        <w:t xml:space="preserve"> </w:t>
      </w:r>
      <w:r>
        <w:t>may</w:t>
      </w:r>
      <w:r w:rsidR="00D23ECC">
        <w:t xml:space="preserve"> </w:t>
      </w:r>
      <w:r>
        <w:t>present.</w:t>
      </w:r>
    </w:p>
    <w:p w14:paraId="7C14D1CE" w14:textId="161CD317" w:rsidR="00DE3B0D" w:rsidRDefault="00DE3B0D" w:rsidP="00AE374E">
      <w:pPr>
        <w:pStyle w:val="Heading4"/>
      </w:pPr>
      <w:r>
        <w:rPr>
          <w:color w:val="000000"/>
        </w:rPr>
        <w:lastRenderedPageBreak/>
        <w:t>Protecting</w:t>
      </w:r>
      <w:r w:rsidR="00D23ECC">
        <w:rPr>
          <w:color w:val="000000"/>
        </w:rPr>
        <w:t xml:space="preserve"> </w:t>
      </w:r>
      <w:r>
        <w:rPr>
          <w:color w:val="000000"/>
        </w:rPr>
        <w:t>residents</w:t>
      </w:r>
      <w:r w:rsidR="00D23ECC">
        <w:rPr>
          <w:color w:val="000000"/>
        </w:rPr>
        <w:t xml:space="preserve"> </w:t>
      </w:r>
      <w:r>
        <w:rPr>
          <w:color w:val="000000"/>
        </w:rPr>
        <w:t>of</w:t>
      </w:r>
      <w:r w:rsidR="00D23ECC">
        <w:rPr>
          <w:color w:val="000000"/>
        </w:rPr>
        <w:t xml:space="preserve"> </w:t>
      </w:r>
      <w:r>
        <w:rPr>
          <w:color w:val="000000"/>
        </w:rPr>
        <w:t>rooming</w:t>
      </w:r>
      <w:r w:rsidR="00D23ECC">
        <w:rPr>
          <w:color w:val="000000"/>
        </w:rPr>
        <w:t xml:space="preserve"> </w:t>
      </w:r>
      <w:r>
        <w:rPr>
          <w:color w:val="000000"/>
        </w:rPr>
        <w:t>houses</w:t>
      </w:r>
    </w:p>
    <w:p w14:paraId="45C1B52F" w14:textId="0BC5B18B" w:rsidR="00DE3B0D" w:rsidRDefault="00DE3B0D" w:rsidP="00D23ECC">
      <w:pPr>
        <w:pStyle w:val="BodyText"/>
      </w:pPr>
      <w:r>
        <w:t>COVID-19</w:t>
      </w:r>
      <w:r w:rsidR="00D23ECC">
        <w:t xml:space="preserve"> </w:t>
      </w:r>
      <w:r>
        <w:t>public</w:t>
      </w:r>
      <w:r w:rsidR="00D23ECC">
        <w:t xml:space="preserve"> </w:t>
      </w:r>
      <w:r>
        <w:t>health</w:t>
      </w:r>
      <w:r w:rsidR="00D23ECC">
        <w:t xml:space="preserve"> </w:t>
      </w:r>
      <w:r>
        <w:t>restrictions</w:t>
      </w:r>
      <w:r w:rsidR="00D23ECC">
        <w:t xml:space="preserve"> </w:t>
      </w:r>
      <w:r>
        <w:t>during</w:t>
      </w:r>
      <w:r w:rsidR="00D23ECC">
        <w:t xml:space="preserve"> </w:t>
      </w:r>
      <w:r>
        <w:t>the</w:t>
      </w:r>
      <w:r w:rsidR="00D23ECC">
        <w:t xml:space="preserve"> </w:t>
      </w:r>
      <w:r>
        <w:t>year</w:t>
      </w:r>
      <w:r w:rsidR="00D23ECC">
        <w:t xml:space="preserve"> </w:t>
      </w:r>
      <w:r>
        <w:t>had</w:t>
      </w:r>
      <w:r w:rsidR="00D23ECC">
        <w:t xml:space="preserve"> </w:t>
      </w:r>
      <w:r>
        <w:t>a</w:t>
      </w:r>
      <w:r w:rsidR="00D23ECC">
        <w:t xml:space="preserve"> </w:t>
      </w:r>
      <w:r>
        <w:t>significant</w:t>
      </w:r>
      <w:r w:rsidR="00D23ECC">
        <w:t xml:space="preserve"> </w:t>
      </w:r>
      <w:r>
        <w:t>impact</w:t>
      </w:r>
      <w:r w:rsidR="00D23ECC">
        <w:t xml:space="preserve"> </w:t>
      </w:r>
      <w:r>
        <w:t>on</w:t>
      </w:r>
      <w:r w:rsidR="00D23ECC">
        <w:t xml:space="preserve"> </w:t>
      </w:r>
      <w:r>
        <w:t>our</w:t>
      </w:r>
      <w:r w:rsidR="00D23ECC">
        <w:t xml:space="preserve"> </w:t>
      </w:r>
      <w:r>
        <w:t>ability</w:t>
      </w:r>
      <w:r w:rsidR="00D23ECC">
        <w:t xml:space="preserve"> </w:t>
      </w:r>
      <w:r>
        <w:t>to</w:t>
      </w:r>
      <w:r w:rsidR="00D23ECC">
        <w:t xml:space="preserve"> </w:t>
      </w:r>
      <w:r>
        <w:t>undertake</w:t>
      </w:r>
      <w:r w:rsidR="00D23ECC">
        <w:t xml:space="preserve"> </w:t>
      </w:r>
      <w:r>
        <w:t>in-person</w:t>
      </w:r>
      <w:r w:rsidR="00D23ECC">
        <w:t xml:space="preserve"> </w:t>
      </w:r>
      <w:r>
        <w:t>inspections</w:t>
      </w:r>
      <w:r w:rsidR="00D23ECC">
        <w:t xml:space="preserve"> </w:t>
      </w:r>
      <w:r>
        <w:t>during</w:t>
      </w:r>
      <w:r w:rsidR="00D23ECC">
        <w:t xml:space="preserve"> </w:t>
      </w:r>
      <w:r>
        <w:t>the</w:t>
      </w:r>
      <w:r w:rsidR="00D23ECC">
        <w:t xml:space="preserve"> </w:t>
      </w:r>
      <w:r>
        <w:t>past</w:t>
      </w:r>
      <w:r w:rsidR="00D23ECC">
        <w:t xml:space="preserve"> </w:t>
      </w:r>
      <w:r>
        <w:t>year.</w:t>
      </w:r>
      <w:r w:rsidR="00D23ECC">
        <w:t xml:space="preserve"> </w:t>
      </w:r>
      <w:r>
        <w:t>However,</w:t>
      </w:r>
      <w:r w:rsidR="00D23ECC">
        <w:t xml:space="preserve"> </w:t>
      </w:r>
      <w:r>
        <w:t>as</w:t>
      </w:r>
      <w:r w:rsidR="00D23ECC">
        <w:t xml:space="preserve"> </w:t>
      </w:r>
      <w:r>
        <w:t>restrictions</w:t>
      </w:r>
      <w:r w:rsidR="00D23ECC">
        <w:t xml:space="preserve"> </w:t>
      </w:r>
      <w:r>
        <w:t>eased</w:t>
      </w:r>
      <w:r w:rsidR="00D23ECC">
        <w:t xml:space="preserve"> </w:t>
      </w:r>
      <w:r>
        <w:t>from</w:t>
      </w:r>
      <w:r w:rsidR="00D23ECC">
        <w:t xml:space="preserve"> </w:t>
      </w:r>
      <w:r>
        <w:t>late</w:t>
      </w:r>
      <w:r w:rsidR="00D23ECC">
        <w:t xml:space="preserve"> </w:t>
      </w:r>
      <w:r>
        <w:t>2020,</w:t>
      </w:r>
      <w:r w:rsidR="00D23ECC">
        <w:t xml:space="preserve"> </w:t>
      </w:r>
      <w:r>
        <w:t>we</w:t>
      </w:r>
      <w:r w:rsidR="00D23ECC">
        <w:t xml:space="preserve"> </w:t>
      </w:r>
      <w:r>
        <w:t>increased</w:t>
      </w:r>
      <w:r w:rsidR="00D23ECC">
        <w:t xml:space="preserve"> </w:t>
      </w:r>
      <w:r>
        <w:t>our</w:t>
      </w:r>
      <w:r w:rsidR="00D23ECC">
        <w:t xml:space="preserve"> </w:t>
      </w:r>
      <w:r>
        <w:t>inspection</w:t>
      </w:r>
      <w:r w:rsidR="00D23ECC">
        <w:t xml:space="preserve"> </w:t>
      </w:r>
      <w:r>
        <w:t>activity</w:t>
      </w:r>
      <w:r w:rsidR="00D23ECC">
        <w:t xml:space="preserve"> </w:t>
      </w:r>
      <w:r>
        <w:t>substantially,</w:t>
      </w:r>
      <w:r w:rsidR="00D23ECC">
        <w:t xml:space="preserve"> </w:t>
      </w:r>
      <w:r>
        <w:t>focusing</w:t>
      </w:r>
      <w:r w:rsidR="00D23ECC">
        <w:t xml:space="preserve"> </w:t>
      </w:r>
      <w:r>
        <w:t>on</w:t>
      </w:r>
      <w:r w:rsidR="00D23ECC">
        <w:t xml:space="preserve"> </w:t>
      </w:r>
      <w:r>
        <w:t>high</w:t>
      </w:r>
      <w:r w:rsidR="00D23ECC">
        <w:t xml:space="preserve"> </w:t>
      </w:r>
      <w:r>
        <w:t>priorities</w:t>
      </w:r>
      <w:r w:rsidR="00D23ECC">
        <w:t xml:space="preserve"> </w:t>
      </w:r>
      <w:r>
        <w:t>such</w:t>
      </w:r>
      <w:r w:rsidR="00D23ECC">
        <w:t xml:space="preserve"> </w:t>
      </w:r>
      <w:r>
        <w:t>as</w:t>
      </w:r>
      <w:r w:rsidR="00D23ECC">
        <w:t xml:space="preserve"> </w:t>
      </w:r>
      <w:r>
        <w:t>rooming</w:t>
      </w:r>
      <w:r w:rsidR="00D23ECC">
        <w:t xml:space="preserve"> </w:t>
      </w:r>
      <w:r>
        <w:t>house</w:t>
      </w:r>
      <w:r w:rsidR="00D23ECC">
        <w:t xml:space="preserve"> </w:t>
      </w:r>
      <w:r>
        <w:t>accommodation,</w:t>
      </w:r>
      <w:r w:rsidR="00D23ECC">
        <w:t xml:space="preserve"> </w:t>
      </w:r>
      <w:r>
        <w:t>which</w:t>
      </w:r>
      <w:r w:rsidR="00D23ECC">
        <w:t xml:space="preserve"> </w:t>
      </w:r>
      <w:r>
        <w:t>is</w:t>
      </w:r>
      <w:r w:rsidR="00D23ECC">
        <w:t xml:space="preserve"> </w:t>
      </w:r>
      <w:r>
        <w:t>often</w:t>
      </w:r>
      <w:r w:rsidR="00D23ECC">
        <w:t xml:space="preserve"> </w:t>
      </w:r>
      <w:r>
        <w:t>used</w:t>
      </w:r>
      <w:r w:rsidR="00D23ECC">
        <w:t xml:space="preserve"> </w:t>
      </w:r>
      <w:r>
        <w:t>by</w:t>
      </w:r>
      <w:r w:rsidR="00D23ECC">
        <w:t xml:space="preserve"> </w:t>
      </w:r>
      <w:r>
        <w:t>more</w:t>
      </w:r>
      <w:r w:rsidR="00D23ECC">
        <w:t xml:space="preserve"> </w:t>
      </w:r>
      <w:r>
        <w:t>vulnerable</w:t>
      </w:r>
      <w:r w:rsidR="00D23ECC">
        <w:t xml:space="preserve"> </w:t>
      </w:r>
      <w:r>
        <w:t>or</w:t>
      </w:r>
      <w:r w:rsidR="00D23ECC">
        <w:t xml:space="preserve"> </w:t>
      </w:r>
      <w:r>
        <w:t>disadvantaged</w:t>
      </w:r>
      <w:r w:rsidR="00D23ECC">
        <w:t xml:space="preserve"> </w:t>
      </w:r>
      <w:r>
        <w:t>members</w:t>
      </w:r>
      <w:r w:rsidR="00D23ECC">
        <w:t xml:space="preserve"> </w:t>
      </w:r>
      <w:r>
        <w:t>of</w:t>
      </w:r>
      <w:r w:rsidR="00D23ECC">
        <w:t xml:space="preserve"> </w:t>
      </w:r>
      <w:r>
        <w:t>the</w:t>
      </w:r>
      <w:r w:rsidR="00D23ECC">
        <w:t xml:space="preserve"> </w:t>
      </w:r>
      <w:r>
        <w:t>community.</w:t>
      </w:r>
    </w:p>
    <w:p w14:paraId="3350B4E6" w14:textId="288D69D3" w:rsidR="00DE3B0D" w:rsidRDefault="00DE3B0D" w:rsidP="00D23ECC">
      <w:pPr>
        <w:pStyle w:val="BodyText"/>
      </w:pPr>
      <w:r>
        <w:t>This</w:t>
      </w:r>
      <w:r w:rsidR="00D23ECC">
        <w:t xml:space="preserve"> </w:t>
      </w:r>
      <w:r>
        <w:t>year</w:t>
      </w:r>
      <w:r w:rsidR="00D23ECC">
        <w:t xml:space="preserve"> </w:t>
      </w:r>
      <w:r>
        <w:t>we</w:t>
      </w:r>
      <w:r w:rsidR="00D23ECC">
        <w:t xml:space="preserve"> </w:t>
      </w:r>
      <w:r>
        <w:t>collaborated</w:t>
      </w:r>
      <w:r w:rsidR="00D23ECC">
        <w:t xml:space="preserve"> </w:t>
      </w:r>
      <w:r>
        <w:t>on</w:t>
      </w:r>
      <w:r w:rsidR="00D23ECC">
        <w:t xml:space="preserve"> </w:t>
      </w:r>
      <w:r>
        <w:t>a</w:t>
      </w:r>
      <w:r w:rsidR="00D23ECC">
        <w:t xml:space="preserve"> </w:t>
      </w:r>
      <w:r>
        <w:t>project</w:t>
      </w:r>
      <w:r w:rsidR="00D23ECC">
        <w:t xml:space="preserve"> </w:t>
      </w:r>
      <w:r>
        <w:t>with</w:t>
      </w:r>
      <w:r w:rsidR="00D23ECC">
        <w:t xml:space="preserve"> </w:t>
      </w:r>
      <w:r>
        <w:t>the</w:t>
      </w:r>
      <w:r w:rsidR="00D23ECC">
        <w:t xml:space="preserve"> </w:t>
      </w:r>
      <w:r>
        <w:t>Department</w:t>
      </w:r>
      <w:r w:rsidR="00D23ECC">
        <w:t xml:space="preserve"> </w:t>
      </w:r>
      <w:r>
        <w:t>of</w:t>
      </w:r>
      <w:r w:rsidR="00D23ECC">
        <w:t xml:space="preserve"> </w:t>
      </w:r>
      <w:r>
        <w:t>Families,</w:t>
      </w:r>
      <w:r w:rsidR="00D23ECC">
        <w:t xml:space="preserve"> </w:t>
      </w:r>
      <w:r>
        <w:t>Fairness</w:t>
      </w:r>
      <w:r w:rsidR="00D23ECC">
        <w:t xml:space="preserve"> </w:t>
      </w:r>
      <w:r>
        <w:t>and</w:t>
      </w:r>
      <w:r w:rsidR="00D23ECC">
        <w:t xml:space="preserve"> </w:t>
      </w:r>
      <w:r>
        <w:t>Housing,</w:t>
      </w:r>
      <w:r w:rsidR="00D23ECC">
        <w:t xml:space="preserve"> </w:t>
      </w:r>
      <w:r>
        <w:t>local</w:t>
      </w:r>
      <w:r w:rsidR="00773D96">
        <w:t> </w:t>
      </w:r>
      <w:r>
        <w:t>health</w:t>
      </w:r>
      <w:r w:rsidR="00D23ECC">
        <w:t xml:space="preserve"> </w:t>
      </w:r>
      <w:r>
        <w:t>services,</w:t>
      </w:r>
      <w:r w:rsidR="00D23ECC">
        <w:t xml:space="preserve"> </w:t>
      </w:r>
      <w:r>
        <w:t>community</w:t>
      </w:r>
      <w:r w:rsidR="00D23ECC">
        <w:t xml:space="preserve"> </w:t>
      </w:r>
      <w:r>
        <w:t>health</w:t>
      </w:r>
      <w:r w:rsidR="00D23ECC">
        <w:t xml:space="preserve"> </w:t>
      </w:r>
      <w:r>
        <w:t>providers</w:t>
      </w:r>
      <w:r w:rsidR="00D23ECC">
        <w:t xml:space="preserve"> </w:t>
      </w:r>
      <w:r>
        <w:t>and</w:t>
      </w:r>
      <w:r w:rsidR="00D23ECC">
        <w:t xml:space="preserve"> </w:t>
      </w:r>
      <w:r>
        <w:t>local</w:t>
      </w:r>
      <w:r w:rsidR="00D23ECC">
        <w:t xml:space="preserve"> </w:t>
      </w:r>
      <w:r>
        <w:t>councils.</w:t>
      </w:r>
      <w:r w:rsidR="00D23ECC">
        <w:t xml:space="preserve"> </w:t>
      </w:r>
      <w:r>
        <w:t>The</w:t>
      </w:r>
      <w:r w:rsidR="00D23ECC">
        <w:t xml:space="preserve"> </w:t>
      </w:r>
      <w:r>
        <w:t>focus</w:t>
      </w:r>
      <w:r w:rsidR="00D23ECC">
        <w:t xml:space="preserve"> </w:t>
      </w:r>
      <w:r>
        <w:t>of</w:t>
      </w:r>
      <w:r w:rsidR="00D23ECC">
        <w:t xml:space="preserve"> </w:t>
      </w:r>
      <w:r>
        <w:t>this</w:t>
      </w:r>
      <w:r w:rsidR="00D23ECC">
        <w:t xml:space="preserve"> </w:t>
      </w:r>
      <w:r>
        <w:t>work</w:t>
      </w:r>
      <w:r w:rsidR="00D23ECC">
        <w:t xml:space="preserve"> </w:t>
      </w:r>
      <w:r>
        <w:t>was</w:t>
      </w:r>
      <w:r w:rsidR="00D23ECC">
        <w:t xml:space="preserve"> </w:t>
      </w:r>
      <w:r>
        <w:t>to</w:t>
      </w:r>
      <w:r w:rsidR="00D23ECC">
        <w:t xml:space="preserve"> </w:t>
      </w:r>
      <w:r>
        <w:t>encourage</w:t>
      </w:r>
      <w:r w:rsidR="00D23ECC">
        <w:t xml:space="preserve"> </w:t>
      </w:r>
      <w:r>
        <w:t>COVIDSafe</w:t>
      </w:r>
      <w:r w:rsidR="00D23ECC">
        <w:t xml:space="preserve"> </w:t>
      </w:r>
      <w:r>
        <w:t>environments</w:t>
      </w:r>
      <w:r w:rsidR="00D23ECC">
        <w:t xml:space="preserve"> </w:t>
      </w:r>
      <w:r>
        <w:t>in</w:t>
      </w:r>
      <w:r w:rsidR="00D23ECC">
        <w:t xml:space="preserve"> </w:t>
      </w:r>
      <w:r>
        <w:t>rooming</w:t>
      </w:r>
      <w:r w:rsidR="00D23ECC">
        <w:t xml:space="preserve"> </w:t>
      </w:r>
      <w:r>
        <w:t>houses.</w:t>
      </w:r>
      <w:r w:rsidR="00D23ECC">
        <w:t xml:space="preserve"> </w:t>
      </w:r>
      <w:r>
        <w:t>Regulators</w:t>
      </w:r>
      <w:r w:rsidR="00D23ECC">
        <w:t xml:space="preserve"> </w:t>
      </w:r>
      <w:r>
        <w:t>worked</w:t>
      </w:r>
      <w:r w:rsidR="00D23ECC">
        <w:t xml:space="preserve"> </w:t>
      </w:r>
      <w:r>
        <w:t>together</w:t>
      </w:r>
      <w:r w:rsidR="00D23ECC">
        <w:t xml:space="preserve"> </w:t>
      </w:r>
      <w:r>
        <w:t>to</w:t>
      </w:r>
      <w:r w:rsidR="00D23ECC">
        <w:t xml:space="preserve"> </w:t>
      </w:r>
      <w:r>
        <w:t>identify</w:t>
      </w:r>
      <w:r w:rsidR="00D23ECC">
        <w:t xml:space="preserve"> </w:t>
      </w:r>
      <w:r>
        <w:t>and</w:t>
      </w:r>
      <w:r w:rsidR="00D23ECC">
        <w:t xml:space="preserve"> </w:t>
      </w:r>
      <w:r>
        <w:t>inspect</w:t>
      </w:r>
      <w:r w:rsidR="00D23ECC">
        <w:t xml:space="preserve"> </w:t>
      </w:r>
      <w:r>
        <w:t>high</w:t>
      </w:r>
      <w:r>
        <w:rPr>
          <w:rFonts w:ascii="Cambria Math" w:hAnsi="Cambria Math" w:cs="Cambria Math"/>
        </w:rPr>
        <w:t>‑</w:t>
      </w:r>
      <w:r>
        <w:t>risk</w:t>
      </w:r>
      <w:r w:rsidR="00D23ECC">
        <w:t xml:space="preserve"> </w:t>
      </w:r>
      <w:r>
        <w:t>rooming</w:t>
      </w:r>
      <w:r w:rsidR="00D23ECC">
        <w:t xml:space="preserve"> </w:t>
      </w:r>
      <w:r>
        <w:t>houses.</w:t>
      </w:r>
    </w:p>
    <w:p w14:paraId="3A38B9D1" w14:textId="3A9E3293" w:rsidR="00DE3B0D" w:rsidRDefault="00DE3B0D" w:rsidP="00D23ECC">
      <w:pPr>
        <w:pStyle w:val="BodyText"/>
      </w:pPr>
      <w:r>
        <w:t>A</w:t>
      </w:r>
      <w:r w:rsidR="00D23ECC">
        <w:t xml:space="preserve"> </w:t>
      </w:r>
      <w:r>
        <w:t>welcome</w:t>
      </w:r>
      <w:r w:rsidR="00D23ECC">
        <w:t xml:space="preserve"> </w:t>
      </w:r>
      <w:r>
        <w:t>observation</w:t>
      </w:r>
      <w:r w:rsidR="00D23ECC">
        <w:t xml:space="preserve"> </w:t>
      </w:r>
      <w:r>
        <w:t>was</w:t>
      </w:r>
      <w:r w:rsidR="00D23ECC">
        <w:t xml:space="preserve"> </w:t>
      </w:r>
      <w:r>
        <w:t>the</w:t>
      </w:r>
      <w:r w:rsidR="00D23ECC">
        <w:t xml:space="preserve"> </w:t>
      </w:r>
      <w:r>
        <w:t>strong</w:t>
      </w:r>
      <w:r w:rsidR="00D23ECC">
        <w:t xml:space="preserve"> </w:t>
      </w:r>
      <w:r>
        <w:t>attempts</w:t>
      </w:r>
      <w:r w:rsidR="00D23ECC">
        <w:t xml:space="preserve"> </w:t>
      </w:r>
      <w:r>
        <w:t>by</w:t>
      </w:r>
      <w:r w:rsidR="00D23ECC">
        <w:t xml:space="preserve"> </w:t>
      </w:r>
      <w:r>
        <w:t>rooming</w:t>
      </w:r>
      <w:r w:rsidR="00D23ECC">
        <w:t xml:space="preserve"> </w:t>
      </w:r>
      <w:r>
        <w:t>house</w:t>
      </w:r>
      <w:r w:rsidR="00D23ECC">
        <w:t xml:space="preserve"> </w:t>
      </w:r>
      <w:r>
        <w:t>operators</w:t>
      </w:r>
      <w:r w:rsidR="00D23ECC">
        <w:t xml:space="preserve"> </w:t>
      </w:r>
      <w:r>
        <w:t>to</w:t>
      </w:r>
      <w:r w:rsidR="00D23ECC">
        <w:t xml:space="preserve"> </w:t>
      </w:r>
      <w:r>
        <w:t>limit</w:t>
      </w:r>
      <w:r w:rsidR="00D23ECC">
        <w:t xml:space="preserve"> </w:t>
      </w:r>
      <w:r>
        <w:t>the</w:t>
      </w:r>
      <w:r w:rsidR="00D23ECC">
        <w:t xml:space="preserve"> </w:t>
      </w:r>
      <w:r>
        <w:t>spread</w:t>
      </w:r>
      <w:r w:rsidR="00D23ECC">
        <w:t xml:space="preserve"> </w:t>
      </w:r>
      <w:r>
        <w:t>of</w:t>
      </w:r>
      <w:r w:rsidR="00D23ECC">
        <w:t xml:space="preserve"> </w:t>
      </w:r>
      <w:r>
        <w:t>COVID-19.</w:t>
      </w:r>
      <w:r w:rsidR="00D23ECC">
        <w:t xml:space="preserve"> </w:t>
      </w:r>
      <w:r>
        <w:t>Some</w:t>
      </w:r>
      <w:r w:rsidR="00D23ECC">
        <w:t xml:space="preserve"> </w:t>
      </w:r>
      <w:r>
        <w:t>operators</w:t>
      </w:r>
      <w:r w:rsidR="00D23ECC">
        <w:t xml:space="preserve"> </w:t>
      </w:r>
      <w:r>
        <w:t>had</w:t>
      </w:r>
      <w:r w:rsidR="00D23ECC">
        <w:t xml:space="preserve"> </w:t>
      </w:r>
      <w:r>
        <w:t>proactively</w:t>
      </w:r>
      <w:r w:rsidR="00D23ECC">
        <w:t xml:space="preserve"> </w:t>
      </w:r>
      <w:r>
        <w:t>placed</w:t>
      </w:r>
      <w:r w:rsidR="00D23ECC">
        <w:t xml:space="preserve"> </w:t>
      </w:r>
      <w:r>
        <w:t>signs</w:t>
      </w:r>
      <w:r w:rsidR="00D23ECC">
        <w:t xml:space="preserve"> </w:t>
      </w:r>
      <w:r>
        <w:t>throughout</w:t>
      </w:r>
      <w:r w:rsidR="00D23ECC">
        <w:t xml:space="preserve"> </w:t>
      </w:r>
      <w:r>
        <w:t>properties</w:t>
      </w:r>
      <w:r w:rsidR="00D23ECC">
        <w:t xml:space="preserve"> </w:t>
      </w:r>
      <w:r>
        <w:t>instructing</w:t>
      </w:r>
      <w:r w:rsidR="00D23ECC">
        <w:t xml:space="preserve"> </w:t>
      </w:r>
      <w:r>
        <w:t>residents</w:t>
      </w:r>
      <w:r w:rsidR="00D23ECC">
        <w:t xml:space="preserve"> </w:t>
      </w:r>
      <w:r>
        <w:t>on</w:t>
      </w:r>
      <w:r w:rsidR="00D23ECC">
        <w:t xml:space="preserve"> </w:t>
      </w:r>
      <w:r>
        <w:t>how</w:t>
      </w:r>
      <w:r w:rsidR="00D23ECC">
        <w:t xml:space="preserve"> </w:t>
      </w:r>
      <w:r>
        <w:t>to</w:t>
      </w:r>
      <w:r w:rsidR="00D23ECC">
        <w:t xml:space="preserve"> </w:t>
      </w:r>
      <w:r>
        <w:t>maintain</w:t>
      </w:r>
      <w:r w:rsidR="00D23ECC">
        <w:t xml:space="preserve"> </w:t>
      </w:r>
      <w:r>
        <w:t>good</w:t>
      </w:r>
      <w:r w:rsidR="00D23ECC">
        <w:t xml:space="preserve"> </w:t>
      </w:r>
      <w:r>
        <w:t>hygiene</w:t>
      </w:r>
      <w:r w:rsidR="00D23ECC">
        <w:t xml:space="preserve"> </w:t>
      </w:r>
      <w:r>
        <w:t>to</w:t>
      </w:r>
      <w:r w:rsidR="00D23ECC">
        <w:t xml:space="preserve"> </w:t>
      </w:r>
      <w:r>
        <w:t>reduce</w:t>
      </w:r>
      <w:r w:rsidR="00D23ECC">
        <w:t xml:space="preserve"> </w:t>
      </w:r>
      <w:r>
        <w:t>spread</w:t>
      </w:r>
      <w:r w:rsidR="00D23ECC">
        <w:t xml:space="preserve"> </w:t>
      </w:r>
      <w:r>
        <w:t>of</w:t>
      </w:r>
      <w:r w:rsidR="00D23ECC">
        <w:t xml:space="preserve"> </w:t>
      </w:r>
      <w:r>
        <w:t>the</w:t>
      </w:r>
      <w:r w:rsidR="00D23ECC">
        <w:t xml:space="preserve"> </w:t>
      </w:r>
      <w:r>
        <w:t>virus.</w:t>
      </w:r>
      <w:r w:rsidR="00D23ECC">
        <w:t xml:space="preserve"> </w:t>
      </w:r>
      <w:r>
        <w:t>Some</w:t>
      </w:r>
      <w:r w:rsidR="00D23ECC">
        <w:t xml:space="preserve"> </w:t>
      </w:r>
      <w:r>
        <w:t>had</w:t>
      </w:r>
      <w:r w:rsidR="00D23ECC">
        <w:t xml:space="preserve"> </w:t>
      </w:r>
      <w:r>
        <w:t>developed</w:t>
      </w:r>
      <w:r w:rsidR="00D23ECC">
        <w:t xml:space="preserve"> </w:t>
      </w:r>
      <w:r>
        <w:t>procedures</w:t>
      </w:r>
      <w:r w:rsidR="00D23ECC">
        <w:t xml:space="preserve"> </w:t>
      </w:r>
      <w:r>
        <w:t>to</w:t>
      </w:r>
      <w:r w:rsidR="00D23ECC">
        <w:t xml:space="preserve"> </w:t>
      </w:r>
      <w:r>
        <w:t>manage</w:t>
      </w:r>
      <w:r w:rsidR="00D23ECC">
        <w:t xml:space="preserve"> </w:t>
      </w:r>
      <w:r>
        <w:t>guests</w:t>
      </w:r>
      <w:r w:rsidR="00D23ECC">
        <w:t xml:space="preserve"> </w:t>
      </w:r>
      <w:r>
        <w:t>by</w:t>
      </w:r>
      <w:r w:rsidR="00D23ECC">
        <w:t xml:space="preserve"> </w:t>
      </w:r>
      <w:r>
        <w:t>setting</w:t>
      </w:r>
      <w:r w:rsidR="00D23ECC">
        <w:t xml:space="preserve"> </w:t>
      </w:r>
      <w:r>
        <w:t>up</w:t>
      </w:r>
      <w:r w:rsidR="00D23ECC">
        <w:t xml:space="preserve"> </w:t>
      </w:r>
      <w:r>
        <w:t>registers.</w:t>
      </w:r>
      <w:r w:rsidR="00D23ECC">
        <w:t xml:space="preserve"> </w:t>
      </w:r>
      <w:r>
        <w:t>Remaining</w:t>
      </w:r>
      <w:r w:rsidR="00D23ECC">
        <w:t xml:space="preserve"> </w:t>
      </w:r>
      <w:r>
        <w:t>operators</w:t>
      </w:r>
      <w:r w:rsidR="00D23ECC">
        <w:t xml:space="preserve"> </w:t>
      </w:r>
      <w:r>
        <w:t>took</w:t>
      </w:r>
      <w:r w:rsidR="00D23ECC">
        <w:t xml:space="preserve"> </w:t>
      </w:r>
      <w:r>
        <w:t>action</w:t>
      </w:r>
      <w:r w:rsidR="00D23ECC">
        <w:t xml:space="preserve"> </w:t>
      </w:r>
      <w:r>
        <w:t>to</w:t>
      </w:r>
      <w:r w:rsidR="00D23ECC">
        <w:t xml:space="preserve"> </w:t>
      </w:r>
      <w:r>
        <w:t>make</w:t>
      </w:r>
      <w:r w:rsidR="00D23ECC">
        <w:t xml:space="preserve"> </w:t>
      </w:r>
      <w:r>
        <w:t>the</w:t>
      </w:r>
      <w:r w:rsidR="00D23ECC">
        <w:t xml:space="preserve"> </w:t>
      </w:r>
      <w:r>
        <w:t>rooming</w:t>
      </w:r>
      <w:r w:rsidR="00D23ECC">
        <w:t xml:space="preserve"> </w:t>
      </w:r>
      <w:r>
        <w:t>house</w:t>
      </w:r>
      <w:r w:rsidR="00D23ECC">
        <w:t xml:space="preserve"> </w:t>
      </w:r>
      <w:r>
        <w:t>COVIDSafe.</w:t>
      </w:r>
    </w:p>
    <w:p w14:paraId="2D3D4DBC" w14:textId="1FD0B708" w:rsidR="00DE3B0D" w:rsidRDefault="00DE3B0D" w:rsidP="00D23ECC">
      <w:pPr>
        <w:pStyle w:val="BodyText"/>
      </w:pPr>
      <w:r>
        <w:t>Under</w:t>
      </w:r>
      <w:r w:rsidR="00D23ECC">
        <w:t xml:space="preserve"> </w:t>
      </w:r>
      <w:r>
        <w:t>this</w:t>
      </w:r>
      <w:r w:rsidR="00D23ECC">
        <w:t xml:space="preserve"> </w:t>
      </w:r>
      <w:r>
        <w:t>collaborative</w:t>
      </w:r>
      <w:r w:rsidR="00D23ECC">
        <w:t xml:space="preserve"> </w:t>
      </w:r>
      <w:r>
        <w:t>project,</w:t>
      </w:r>
      <w:r w:rsidR="00D23ECC">
        <w:t xml:space="preserve"> </w:t>
      </w:r>
      <w:r>
        <w:t>we</w:t>
      </w:r>
      <w:r w:rsidR="00D23ECC">
        <w:t xml:space="preserve"> </w:t>
      </w:r>
      <w:r>
        <w:t>took</w:t>
      </w:r>
      <w:r w:rsidR="00D23ECC">
        <w:t xml:space="preserve"> </w:t>
      </w:r>
      <w:r>
        <w:t>the</w:t>
      </w:r>
      <w:r w:rsidR="00D23ECC">
        <w:t xml:space="preserve"> </w:t>
      </w:r>
      <w:r>
        <w:t>opportunity</w:t>
      </w:r>
      <w:r w:rsidR="00D23ECC">
        <w:t xml:space="preserve"> </w:t>
      </w:r>
      <w:r>
        <w:t>to</w:t>
      </w:r>
      <w:r w:rsidR="00D23ECC">
        <w:t xml:space="preserve"> </w:t>
      </w:r>
      <w:r>
        <w:t>examine</w:t>
      </w:r>
      <w:r w:rsidR="00D23ECC">
        <w:t xml:space="preserve"> </w:t>
      </w:r>
      <w:r>
        <w:t>compliance</w:t>
      </w:r>
      <w:r w:rsidR="00D23ECC">
        <w:t xml:space="preserve"> </w:t>
      </w:r>
      <w:r>
        <w:t>with</w:t>
      </w:r>
      <w:r w:rsidR="00D23ECC">
        <w:t xml:space="preserve"> </w:t>
      </w:r>
      <w:r>
        <w:t>minimum</w:t>
      </w:r>
      <w:r w:rsidR="00D23ECC">
        <w:t xml:space="preserve"> </w:t>
      </w:r>
      <w:r>
        <w:t>safety</w:t>
      </w:r>
      <w:r w:rsidR="00D23ECC">
        <w:t xml:space="preserve"> </w:t>
      </w:r>
      <w:r>
        <w:t>standards</w:t>
      </w:r>
      <w:r w:rsidR="00D23ECC">
        <w:t xml:space="preserve"> </w:t>
      </w:r>
      <w:r>
        <w:t>under</w:t>
      </w:r>
      <w:r w:rsidR="00D23ECC">
        <w:t xml:space="preserve"> </w:t>
      </w:r>
      <w:r>
        <w:t>the</w:t>
      </w:r>
      <w:r w:rsidR="00D23ECC">
        <w:t xml:space="preserve"> </w:t>
      </w:r>
      <w:r>
        <w:t>RTA.</w:t>
      </w:r>
      <w:r w:rsidR="00D23ECC">
        <w:t xml:space="preserve"> </w:t>
      </w:r>
      <w:r>
        <w:t>We</w:t>
      </w:r>
      <w:r w:rsidR="00D23ECC">
        <w:t xml:space="preserve"> </w:t>
      </w:r>
      <w:r>
        <w:t>completed</w:t>
      </w:r>
      <w:r w:rsidR="00D23ECC">
        <w:t xml:space="preserve"> </w:t>
      </w:r>
      <w:r>
        <w:t>110</w:t>
      </w:r>
      <w:r w:rsidR="00D23ECC">
        <w:t xml:space="preserve"> </w:t>
      </w:r>
      <w:r>
        <w:t>inspections</w:t>
      </w:r>
      <w:r w:rsidR="00D23ECC">
        <w:t xml:space="preserve"> </w:t>
      </w:r>
      <w:r>
        <w:t>of</w:t>
      </w:r>
      <w:r w:rsidR="00D23ECC">
        <w:t xml:space="preserve"> </w:t>
      </w:r>
      <w:r>
        <w:t>rooming</w:t>
      </w:r>
      <w:r w:rsidR="00D23ECC">
        <w:t xml:space="preserve"> </w:t>
      </w:r>
      <w:r>
        <w:t>houses.</w:t>
      </w:r>
      <w:r w:rsidR="00D23ECC">
        <w:t xml:space="preserve"> </w:t>
      </w:r>
      <w:r>
        <w:t>Non-compliance</w:t>
      </w:r>
      <w:r w:rsidR="00D23ECC">
        <w:t xml:space="preserve"> </w:t>
      </w:r>
      <w:r>
        <w:t>was</w:t>
      </w:r>
      <w:r w:rsidR="00D23ECC">
        <w:t xml:space="preserve"> </w:t>
      </w:r>
      <w:r>
        <w:t>addressed</w:t>
      </w:r>
      <w:r w:rsidR="00D23ECC">
        <w:t xml:space="preserve"> </w:t>
      </w:r>
      <w:r>
        <w:t>by</w:t>
      </w:r>
      <w:r w:rsidR="00D23ECC">
        <w:t xml:space="preserve"> </w:t>
      </w:r>
      <w:r>
        <w:t>issuing</w:t>
      </w:r>
      <w:r w:rsidR="00D23ECC">
        <w:t xml:space="preserve"> </w:t>
      </w:r>
      <w:r>
        <w:t>two</w:t>
      </w:r>
      <w:r w:rsidR="00D23ECC">
        <w:t xml:space="preserve"> </w:t>
      </w:r>
      <w:r>
        <w:t>infringements</w:t>
      </w:r>
      <w:r w:rsidR="00D23ECC">
        <w:t xml:space="preserve"> </w:t>
      </w:r>
      <w:r>
        <w:t>totalling</w:t>
      </w:r>
      <w:r w:rsidR="00D23ECC">
        <w:t xml:space="preserve"> </w:t>
      </w:r>
      <w:r>
        <w:t>$6,608</w:t>
      </w:r>
      <w:r w:rsidR="00D23ECC">
        <w:t xml:space="preserve"> </w:t>
      </w:r>
      <w:r>
        <w:t>and</w:t>
      </w:r>
      <w:r w:rsidR="00D23ECC">
        <w:t xml:space="preserve"> </w:t>
      </w:r>
      <w:r>
        <w:t>15</w:t>
      </w:r>
      <w:r w:rsidR="00D23ECC">
        <w:t xml:space="preserve"> </w:t>
      </w:r>
      <w:r>
        <w:t>official</w:t>
      </w:r>
      <w:r w:rsidR="00D23ECC">
        <w:t xml:space="preserve"> </w:t>
      </w:r>
      <w:r>
        <w:t>warnings.</w:t>
      </w:r>
      <w:r w:rsidR="00D23ECC">
        <w:t xml:space="preserve"> </w:t>
      </w:r>
      <w:r>
        <w:t>Remediation</w:t>
      </w:r>
      <w:r w:rsidR="00D23ECC">
        <w:t xml:space="preserve"> </w:t>
      </w:r>
      <w:r>
        <w:t>checks</w:t>
      </w:r>
      <w:r w:rsidR="00D23ECC">
        <w:t xml:space="preserve"> </w:t>
      </w:r>
      <w:r>
        <w:t>were</w:t>
      </w:r>
      <w:r w:rsidR="00D23ECC">
        <w:t xml:space="preserve"> </w:t>
      </w:r>
      <w:r>
        <w:t>also</w:t>
      </w:r>
      <w:r w:rsidR="00D23ECC">
        <w:t xml:space="preserve"> </w:t>
      </w:r>
      <w:r>
        <w:t>undertaken</w:t>
      </w:r>
      <w:r w:rsidR="00D23ECC">
        <w:t xml:space="preserve"> </w:t>
      </w:r>
      <w:r>
        <w:t>to</w:t>
      </w:r>
      <w:r w:rsidR="00D23ECC">
        <w:t xml:space="preserve"> </w:t>
      </w:r>
      <w:r>
        <w:t>ensure</w:t>
      </w:r>
      <w:r w:rsidR="00D23ECC">
        <w:t xml:space="preserve"> </w:t>
      </w:r>
      <w:r>
        <w:t>compliance</w:t>
      </w:r>
      <w:r w:rsidR="00D23ECC">
        <w:t xml:space="preserve"> </w:t>
      </w:r>
      <w:r>
        <w:t>was</w:t>
      </w:r>
      <w:r w:rsidR="00D23ECC">
        <w:t xml:space="preserve"> </w:t>
      </w:r>
      <w:r>
        <w:t>met.</w:t>
      </w:r>
    </w:p>
    <w:p w14:paraId="23DBF1BA" w14:textId="3AC7C3E4" w:rsidR="00DE3B0D" w:rsidRDefault="00DE3B0D" w:rsidP="00D23ECC">
      <w:pPr>
        <w:pStyle w:val="BodyText"/>
      </w:pPr>
      <w:r>
        <w:t>In</w:t>
      </w:r>
      <w:r w:rsidR="00D23ECC">
        <w:t xml:space="preserve"> </w:t>
      </w:r>
      <w:r>
        <w:t>March</w:t>
      </w:r>
      <w:r w:rsidR="00D23ECC">
        <w:t xml:space="preserve"> </w:t>
      </w:r>
      <w:r>
        <w:t>2021,</w:t>
      </w:r>
      <w:r w:rsidR="00D23ECC">
        <w:t xml:space="preserve"> </w:t>
      </w:r>
      <w:r>
        <w:t>we</w:t>
      </w:r>
      <w:r w:rsidR="00D23ECC">
        <w:t xml:space="preserve"> </w:t>
      </w:r>
      <w:r>
        <w:t>conducted</w:t>
      </w:r>
      <w:r w:rsidR="00D23ECC">
        <w:t xml:space="preserve"> </w:t>
      </w:r>
      <w:r>
        <w:t>another</w:t>
      </w:r>
      <w:r w:rsidR="00D23ECC">
        <w:t xml:space="preserve"> </w:t>
      </w:r>
      <w:r>
        <w:t>risk</w:t>
      </w:r>
      <w:r w:rsidR="00D23ECC">
        <w:t xml:space="preserve"> </w:t>
      </w:r>
      <w:r>
        <w:t>assessment</w:t>
      </w:r>
      <w:r w:rsidR="00D23ECC">
        <w:t xml:space="preserve"> </w:t>
      </w:r>
      <w:r>
        <w:t>of</w:t>
      </w:r>
      <w:r w:rsidR="00D23ECC">
        <w:t xml:space="preserve"> </w:t>
      </w:r>
      <w:r>
        <w:t>registered</w:t>
      </w:r>
      <w:r w:rsidR="00D23ECC">
        <w:t xml:space="preserve"> </w:t>
      </w:r>
      <w:r>
        <w:t>rooming</w:t>
      </w:r>
      <w:r w:rsidR="00D23ECC">
        <w:t xml:space="preserve"> </w:t>
      </w:r>
      <w:r>
        <w:t>houses</w:t>
      </w:r>
      <w:r w:rsidR="00D23ECC">
        <w:t xml:space="preserve"> </w:t>
      </w:r>
      <w:r>
        <w:t>to</w:t>
      </w:r>
      <w:r w:rsidR="00D23ECC">
        <w:t xml:space="preserve"> </w:t>
      </w:r>
      <w:r>
        <w:t>identify</w:t>
      </w:r>
      <w:r w:rsidR="00D23ECC">
        <w:t xml:space="preserve"> </w:t>
      </w:r>
      <w:r>
        <w:t>licensed</w:t>
      </w:r>
      <w:r w:rsidR="00D23ECC">
        <w:t xml:space="preserve"> </w:t>
      </w:r>
      <w:r>
        <w:t>operators</w:t>
      </w:r>
      <w:r w:rsidR="00D23ECC">
        <w:t xml:space="preserve"> </w:t>
      </w:r>
      <w:r>
        <w:t>with</w:t>
      </w:r>
      <w:r w:rsidR="00D23ECC">
        <w:t xml:space="preserve"> </w:t>
      </w:r>
      <w:r>
        <w:t>significant</w:t>
      </w:r>
      <w:r w:rsidR="00D23ECC">
        <w:t xml:space="preserve"> </w:t>
      </w:r>
      <w:r>
        <w:t>market</w:t>
      </w:r>
      <w:r w:rsidR="00D23ECC">
        <w:t xml:space="preserve"> </w:t>
      </w:r>
      <w:r>
        <w:t>share</w:t>
      </w:r>
      <w:r w:rsidR="00D23ECC">
        <w:t xml:space="preserve"> </w:t>
      </w:r>
      <w:r>
        <w:t>and/or</w:t>
      </w:r>
      <w:r w:rsidR="00D23ECC">
        <w:t xml:space="preserve"> </w:t>
      </w:r>
      <w:r>
        <w:t>the</w:t>
      </w:r>
      <w:r w:rsidR="00D23ECC">
        <w:t xml:space="preserve"> </w:t>
      </w:r>
      <w:r>
        <w:t>highest</w:t>
      </w:r>
      <w:r w:rsidR="00D23ECC">
        <w:t xml:space="preserve"> </w:t>
      </w:r>
      <w:r>
        <w:t>risk</w:t>
      </w:r>
      <w:r w:rsidR="00D23ECC">
        <w:t xml:space="preserve"> </w:t>
      </w:r>
      <w:r>
        <w:t>of</w:t>
      </w:r>
      <w:r w:rsidR="00D23ECC">
        <w:t xml:space="preserve"> </w:t>
      </w:r>
      <w:r>
        <w:t>non-compliance.</w:t>
      </w:r>
      <w:r w:rsidR="00D23ECC">
        <w:t xml:space="preserve"> </w:t>
      </w:r>
      <w:r>
        <w:t>A</w:t>
      </w:r>
      <w:r w:rsidR="00D23ECC">
        <w:t xml:space="preserve"> </w:t>
      </w:r>
      <w:r>
        <w:t>total</w:t>
      </w:r>
      <w:r w:rsidR="00D23ECC">
        <w:t xml:space="preserve"> </w:t>
      </w:r>
      <w:r>
        <w:t>of</w:t>
      </w:r>
      <w:r w:rsidR="00773D96">
        <w:t> </w:t>
      </w:r>
      <w:r>
        <w:t>60</w:t>
      </w:r>
      <w:r w:rsidR="00D23ECC">
        <w:t xml:space="preserve"> </w:t>
      </w:r>
      <w:r>
        <w:t>inspections</w:t>
      </w:r>
      <w:r w:rsidR="00D23ECC">
        <w:t xml:space="preserve"> </w:t>
      </w:r>
      <w:r>
        <w:t>of</w:t>
      </w:r>
      <w:r w:rsidR="00D23ECC">
        <w:t xml:space="preserve"> </w:t>
      </w:r>
      <w:r>
        <w:t>rooming</w:t>
      </w:r>
      <w:r w:rsidR="00D23ECC">
        <w:t xml:space="preserve"> </w:t>
      </w:r>
      <w:r>
        <w:t>houses</w:t>
      </w:r>
      <w:r w:rsidR="00D23ECC">
        <w:t xml:space="preserve"> </w:t>
      </w:r>
      <w:r>
        <w:t>run</w:t>
      </w:r>
      <w:r w:rsidR="00D23ECC">
        <w:t xml:space="preserve"> </w:t>
      </w:r>
      <w:r>
        <w:t>by</w:t>
      </w:r>
      <w:r w:rsidR="00D23ECC">
        <w:t xml:space="preserve"> </w:t>
      </w:r>
      <w:r>
        <w:t>those</w:t>
      </w:r>
      <w:r w:rsidR="00D23ECC">
        <w:t xml:space="preserve"> </w:t>
      </w:r>
      <w:r>
        <w:t>operators</w:t>
      </w:r>
      <w:r w:rsidR="00D23ECC">
        <w:t xml:space="preserve"> </w:t>
      </w:r>
      <w:r>
        <w:t>followed.</w:t>
      </w:r>
      <w:r w:rsidR="00D23ECC">
        <w:t xml:space="preserve"> </w:t>
      </w:r>
      <w:r>
        <w:t>Our</w:t>
      </w:r>
      <w:r w:rsidR="00D23ECC">
        <w:t xml:space="preserve"> </w:t>
      </w:r>
      <w:r>
        <w:t>compliance</w:t>
      </w:r>
      <w:r w:rsidR="00D23ECC">
        <w:t xml:space="preserve"> </w:t>
      </w:r>
      <w:r>
        <w:t>checks</w:t>
      </w:r>
      <w:r w:rsidR="00D23ECC">
        <w:t xml:space="preserve"> </w:t>
      </w:r>
      <w:r>
        <w:t>focused</w:t>
      </w:r>
      <w:r w:rsidR="00D23ECC">
        <w:t xml:space="preserve"> </w:t>
      </w:r>
      <w:r>
        <w:t>on</w:t>
      </w:r>
      <w:r w:rsidR="00D23ECC">
        <w:t xml:space="preserve"> </w:t>
      </w:r>
      <w:r>
        <w:t>six</w:t>
      </w:r>
      <w:r w:rsidR="00D23ECC">
        <w:t xml:space="preserve"> </w:t>
      </w:r>
      <w:r>
        <w:t>key</w:t>
      </w:r>
      <w:r w:rsidR="00D23ECC">
        <w:t xml:space="preserve"> </w:t>
      </w:r>
      <w:r>
        <w:t>safety</w:t>
      </w:r>
      <w:r w:rsidR="00D23ECC">
        <w:t xml:space="preserve"> </w:t>
      </w:r>
      <w:r>
        <w:t>standards</w:t>
      </w:r>
      <w:r w:rsidR="00D23ECC">
        <w:t xml:space="preserve"> </w:t>
      </w:r>
      <w:r>
        <w:t>designed</w:t>
      </w:r>
      <w:r w:rsidR="00D23ECC">
        <w:t xml:space="preserve"> </w:t>
      </w:r>
      <w:r>
        <w:t>to</w:t>
      </w:r>
      <w:r w:rsidR="00D23ECC">
        <w:t xml:space="preserve"> </w:t>
      </w:r>
      <w:r>
        <w:t>control</w:t>
      </w:r>
      <w:r w:rsidR="00D23ECC">
        <w:t xml:space="preserve"> </w:t>
      </w:r>
      <w:r>
        <w:t>potential</w:t>
      </w:r>
      <w:r w:rsidR="00D23ECC">
        <w:t xml:space="preserve"> </w:t>
      </w:r>
      <w:r>
        <w:t>fire</w:t>
      </w:r>
      <w:r w:rsidR="00D23ECC">
        <w:t xml:space="preserve"> </w:t>
      </w:r>
      <w:r>
        <w:t>hazards.</w:t>
      </w:r>
      <w:r w:rsidR="00D23ECC">
        <w:t xml:space="preserve"> </w:t>
      </w:r>
      <w:r>
        <w:t>Our</w:t>
      </w:r>
      <w:r w:rsidR="00D23ECC">
        <w:t xml:space="preserve"> </w:t>
      </w:r>
      <w:r>
        <w:t>initial</w:t>
      </w:r>
      <w:r w:rsidR="00D23ECC">
        <w:t xml:space="preserve"> </w:t>
      </w:r>
      <w:r>
        <w:t>regulatory</w:t>
      </w:r>
      <w:r w:rsidR="00D23ECC">
        <w:t xml:space="preserve"> </w:t>
      </w:r>
      <w:r>
        <w:t>response</w:t>
      </w:r>
      <w:r w:rsidR="00D23ECC">
        <w:t xml:space="preserve"> </w:t>
      </w:r>
      <w:r>
        <w:t>was</w:t>
      </w:r>
      <w:r w:rsidR="00D23ECC">
        <w:t xml:space="preserve"> </w:t>
      </w:r>
      <w:r>
        <w:t>to</w:t>
      </w:r>
      <w:r w:rsidR="00D23ECC">
        <w:t xml:space="preserve"> </w:t>
      </w:r>
      <w:r>
        <w:t>issue</w:t>
      </w:r>
      <w:r w:rsidR="00D23ECC">
        <w:t xml:space="preserve"> </w:t>
      </w:r>
      <w:r>
        <w:t>official</w:t>
      </w:r>
      <w:r w:rsidR="00D23ECC">
        <w:t xml:space="preserve"> </w:t>
      </w:r>
      <w:r>
        <w:t>warnings</w:t>
      </w:r>
      <w:r w:rsidR="00D23ECC">
        <w:t xml:space="preserve"> </w:t>
      </w:r>
      <w:r>
        <w:t>for</w:t>
      </w:r>
      <w:r w:rsidR="00D23ECC">
        <w:t xml:space="preserve"> </w:t>
      </w:r>
      <w:r>
        <w:t>each</w:t>
      </w:r>
      <w:r w:rsidR="00D23ECC">
        <w:t xml:space="preserve"> </w:t>
      </w:r>
      <w:r>
        <w:t>breach</w:t>
      </w:r>
      <w:r w:rsidR="00D23ECC">
        <w:t xml:space="preserve"> </w:t>
      </w:r>
      <w:r>
        <w:t>and</w:t>
      </w:r>
      <w:r w:rsidR="00D23ECC">
        <w:t xml:space="preserve"> </w:t>
      </w:r>
      <w:r>
        <w:t>ask</w:t>
      </w:r>
      <w:r w:rsidR="00D23ECC">
        <w:t xml:space="preserve"> </w:t>
      </w:r>
      <w:r>
        <w:t>for</w:t>
      </w:r>
      <w:r w:rsidR="00D23ECC">
        <w:t xml:space="preserve"> </w:t>
      </w:r>
      <w:r>
        <w:t>proof</w:t>
      </w:r>
      <w:r w:rsidR="00D23ECC">
        <w:t xml:space="preserve"> </w:t>
      </w:r>
      <w:r>
        <w:t>of</w:t>
      </w:r>
      <w:r w:rsidR="00D23ECC">
        <w:t xml:space="preserve"> </w:t>
      </w:r>
      <w:r>
        <w:t>remediation.</w:t>
      </w:r>
      <w:r w:rsidR="00D23ECC">
        <w:t xml:space="preserve"> </w:t>
      </w:r>
      <w:r>
        <w:t>Our</w:t>
      </w:r>
      <w:r w:rsidR="00D23ECC">
        <w:t xml:space="preserve"> </w:t>
      </w:r>
      <w:r>
        <w:t>focus</w:t>
      </w:r>
      <w:r w:rsidR="00D23ECC">
        <w:t xml:space="preserve"> </w:t>
      </w:r>
      <w:r>
        <w:t>was</w:t>
      </w:r>
      <w:r w:rsidR="00D23ECC">
        <w:t xml:space="preserve"> </w:t>
      </w:r>
      <w:r>
        <w:t>not</w:t>
      </w:r>
      <w:r w:rsidR="00D23ECC">
        <w:t xml:space="preserve"> </w:t>
      </w:r>
      <w:r>
        <w:t>simply</w:t>
      </w:r>
      <w:r w:rsidR="00D23ECC">
        <w:t xml:space="preserve"> </w:t>
      </w:r>
      <w:r>
        <w:t>to</w:t>
      </w:r>
      <w:r w:rsidR="00D23ECC">
        <w:t xml:space="preserve"> </w:t>
      </w:r>
      <w:r>
        <w:t>penalise</w:t>
      </w:r>
      <w:r w:rsidR="00D23ECC">
        <w:t xml:space="preserve"> </w:t>
      </w:r>
      <w:r>
        <w:t>non-compliance</w:t>
      </w:r>
      <w:r w:rsidR="00D23ECC">
        <w:t xml:space="preserve"> </w:t>
      </w:r>
      <w:r>
        <w:t>but</w:t>
      </w:r>
      <w:r w:rsidR="00D23ECC">
        <w:t xml:space="preserve"> </w:t>
      </w:r>
      <w:r>
        <w:t>to</w:t>
      </w:r>
      <w:r w:rsidR="00D23ECC">
        <w:t xml:space="preserve"> </w:t>
      </w:r>
      <w:r>
        <w:t>secure</w:t>
      </w:r>
      <w:r w:rsidR="00D23ECC">
        <w:t xml:space="preserve"> </w:t>
      </w:r>
      <w:r>
        <w:t>safe</w:t>
      </w:r>
      <w:r w:rsidR="00D23ECC">
        <w:t xml:space="preserve"> </w:t>
      </w:r>
      <w:r>
        <w:t>living</w:t>
      </w:r>
      <w:r w:rsidR="00D23ECC">
        <w:t xml:space="preserve"> </w:t>
      </w:r>
      <w:r>
        <w:t>conditions</w:t>
      </w:r>
      <w:r w:rsidR="00D23ECC">
        <w:t xml:space="preserve"> </w:t>
      </w:r>
      <w:r>
        <w:t>for</w:t>
      </w:r>
      <w:r w:rsidR="00D23ECC">
        <w:t xml:space="preserve"> </w:t>
      </w:r>
      <w:r>
        <w:t>residents.</w:t>
      </w:r>
      <w:r w:rsidR="00D23ECC">
        <w:t xml:space="preserve"> </w:t>
      </w:r>
      <w:r>
        <w:t>We</w:t>
      </w:r>
      <w:r w:rsidR="00D23ECC">
        <w:t xml:space="preserve"> </w:t>
      </w:r>
      <w:r>
        <w:t>have</w:t>
      </w:r>
      <w:r w:rsidR="00D23ECC">
        <w:t xml:space="preserve"> </w:t>
      </w:r>
      <w:r>
        <w:t>begun</w:t>
      </w:r>
      <w:r w:rsidR="00D23ECC">
        <w:t xml:space="preserve"> </w:t>
      </w:r>
      <w:r>
        <w:t>reinspecting</w:t>
      </w:r>
      <w:r w:rsidR="00D23ECC">
        <w:t xml:space="preserve"> </w:t>
      </w:r>
      <w:r>
        <w:t>these</w:t>
      </w:r>
      <w:r w:rsidR="00D23ECC">
        <w:t xml:space="preserve"> </w:t>
      </w:r>
      <w:r>
        <w:t>rooming</w:t>
      </w:r>
      <w:r w:rsidR="00D23ECC">
        <w:t xml:space="preserve"> </w:t>
      </w:r>
      <w:r>
        <w:t>houses</w:t>
      </w:r>
      <w:r w:rsidR="00D23ECC">
        <w:t xml:space="preserve"> </w:t>
      </w:r>
      <w:r>
        <w:t>to</w:t>
      </w:r>
      <w:r w:rsidR="00D23ECC">
        <w:t xml:space="preserve"> </w:t>
      </w:r>
      <w:r>
        <w:t>confirm</w:t>
      </w:r>
      <w:r w:rsidR="00D23ECC">
        <w:t xml:space="preserve"> </w:t>
      </w:r>
      <w:r>
        <w:t>all</w:t>
      </w:r>
      <w:r w:rsidR="00D23ECC">
        <w:t xml:space="preserve"> </w:t>
      </w:r>
      <w:r>
        <w:t>breaches</w:t>
      </w:r>
      <w:r w:rsidR="00D23ECC">
        <w:t xml:space="preserve"> </w:t>
      </w:r>
      <w:r>
        <w:t>have</w:t>
      </w:r>
      <w:r w:rsidR="00D23ECC">
        <w:t xml:space="preserve"> </w:t>
      </w:r>
      <w:r>
        <w:t>been</w:t>
      </w:r>
      <w:r w:rsidR="00D23ECC">
        <w:t xml:space="preserve"> </w:t>
      </w:r>
      <w:r>
        <w:t>remedied</w:t>
      </w:r>
      <w:r w:rsidR="00D23ECC">
        <w:t xml:space="preserve"> </w:t>
      </w:r>
      <w:r>
        <w:t>and</w:t>
      </w:r>
      <w:r w:rsidR="00D23ECC">
        <w:t xml:space="preserve"> </w:t>
      </w:r>
      <w:r>
        <w:t>will</w:t>
      </w:r>
      <w:r w:rsidR="00D23ECC">
        <w:t xml:space="preserve"> </w:t>
      </w:r>
      <w:r>
        <w:t>take</w:t>
      </w:r>
      <w:r w:rsidR="00D23ECC">
        <w:t xml:space="preserve"> </w:t>
      </w:r>
      <w:r>
        <w:t>escalated</w:t>
      </w:r>
      <w:r w:rsidR="00D23ECC">
        <w:t xml:space="preserve"> </w:t>
      </w:r>
      <w:r>
        <w:t>enforcement</w:t>
      </w:r>
      <w:r w:rsidR="00D23ECC">
        <w:t xml:space="preserve"> </w:t>
      </w:r>
      <w:r>
        <w:t>action</w:t>
      </w:r>
      <w:r w:rsidR="00D23ECC">
        <w:t xml:space="preserve"> </w:t>
      </w:r>
      <w:r>
        <w:t>for</w:t>
      </w:r>
      <w:r w:rsidR="00D23ECC">
        <w:t xml:space="preserve"> </w:t>
      </w:r>
      <w:r>
        <w:t>ongoing</w:t>
      </w:r>
      <w:r w:rsidR="00D23ECC">
        <w:t xml:space="preserve"> </w:t>
      </w:r>
      <w:r>
        <w:t>non-compliance.</w:t>
      </w:r>
    </w:p>
    <w:p w14:paraId="47D52A89" w14:textId="27228DC7" w:rsidR="00DE3B0D" w:rsidRDefault="00DE3B0D" w:rsidP="00D23ECC">
      <w:pPr>
        <w:pStyle w:val="BodyText"/>
      </w:pPr>
      <w:r>
        <w:t>We</w:t>
      </w:r>
      <w:r w:rsidR="00D23ECC">
        <w:t xml:space="preserve"> </w:t>
      </w:r>
      <w:r>
        <w:t>also</w:t>
      </w:r>
      <w:r w:rsidR="00D23ECC">
        <w:t xml:space="preserve"> </w:t>
      </w:r>
      <w:r>
        <w:t>protected</w:t>
      </w:r>
      <w:r w:rsidR="00D23ECC">
        <w:t xml:space="preserve"> </w:t>
      </w:r>
      <w:r>
        <w:t>rooming</w:t>
      </w:r>
      <w:r w:rsidR="00D23ECC">
        <w:t xml:space="preserve"> </w:t>
      </w:r>
      <w:r>
        <w:t>house</w:t>
      </w:r>
      <w:r w:rsidR="00D23ECC">
        <w:t xml:space="preserve"> </w:t>
      </w:r>
      <w:r>
        <w:t>residents</w:t>
      </w:r>
      <w:r w:rsidR="00D23ECC">
        <w:t xml:space="preserve"> </w:t>
      </w:r>
      <w:r>
        <w:t>from</w:t>
      </w:r>
      <w:r w:rsidR="00D23ECC">
        <w:t xml:space="preserve"> </w:t>
      </w:r>
      <w:r>
        <w:t>living</w:t>
      </w:r>
      <w:r w:rsidR="00D23ECC">
        <w:t xml:space="preserve"> </w:t>
      </w:r>
      <w:r>
        <w:t>in</w:t>
      </w:r>
      <w:r w:rsidR="00D23ECC">
        <w:t xml:space="preserve"> </w:t>
      </w:r>
      <w:r>
        <w:t>properties</w:t>
      </w:r>
      <w:r w:rsidR="00D23ECC">
        <w:t xml:space="preserve"> </w:t>
      </w:r>
      <w:r>
        <w:t>run</w:t>
      </w:r>
      <w:r w:rsidR="00D23ECC">
        <w:t xml:space="preserve"> </w:t>
      </w:r>
      <w:r>
        <w:t>by</w:t>
      </w:r>
      <w:r w:rsidR="00D23ECC">
        <w:t xml:space="preserve"> </w:t>
      </w:r>
      <w:r>
        <w:t>operators</w:t>
      </w:r>
      <w:r w:rsidR="00D23ECC">
        <w:t xml:space="preserve"> </w:t>
      </w:r>
      <w:r>
        <w:t>who</w:t>
      </w:r>
      <w:r w:rsidR="00D23ECC">
        <w:t xml:space="preserve"> </w:t>
      </w:r>
      <w:r>
        <w:t>were</w:t>
      </w:r>
      <w:r w:rsidR="00D23ECC">
        <w:t xml:space="preserve"> </w:t>
      </w:r>
      <w:r>
        <w:t>not</w:t>
      </w:r>
      <w:r w:rsidR="00D23ECC">
        <w:t xml:space="preserve"> </w:t>
      </w:r>
      <w:r>
        <w:t>‘fit</w:t>
      </w:r>
      <w:r w:rsidR="00773D96">
        <w:t> </w:t>
      </w:r>
      <w:r>
        <w:t>and</w:t>
      </w:r>
      <w:r w:rsidR="00D23ECC">
        <w:t xml:space="preserve"> </w:t>
      </w:r>
      <w:r>
        <w:t>proper</w:t>
      </w:r>
      <w:r w:rsidR="00D23ECC">
        <w:t xml:space="preserve"> </w:t>
      </w:r>
      <w:r>
        <w:t>persons’</w:t>
      </w:r>
      <w:r w:rsidR="00D23ECC">
        <w:t xml:space="preserve"> </w:t>
      </w:r>
      <w:r>
        <w:t>as</w:t>
      </w:r>
      <w:r w:rsidR="00D23ECC">
        <w:t xml:space="preserve"> </w:t>
      </w:r>
      <w:r>
        <w:t>set</w:t>
      </w:r>
      <w:r w:rsidR="00D23ECC">
        <w:t xml:space="preserve"> </w:t>
      </w:r>
      <w:r>
        <w:t>out</w:t>
      </w:r>
      <w:r w:rsidR="00D23ECC">
        <w:t xml:space="preserve"> </w:t>
      </w:r>
      <w:r>
        <w:t>in</w:t>
      </w:r>
      <w:r w:rsidR="00D23ECC">
        <w:t xml:space="preserve"> </w:t>
      </w:r>
      <w:r>
        <w:t>the</w:t>
      </w:r>
      <w:r w:rsidR="00D23ECC">
        <w:t xml:space="preserve"> </w:t>
      </w:r>
      <w:r w:rsidRPr="00ED78BD">
        <w:rPr>
          <w:rStyle w:val="Emphasis"/>
        </w:rPr>
        <w:t>Rooming</w:t>
      </w:r>
      <w:r w:rsidR="00D23ECC" w:rsidRPr="00ED78BD">
        <w:rPr>
          <w:rStyle w:val="Emphasis"/>
        </w:rPr>
        <w:t xml:space="preserve"> </w:t>
      </w:r>
      <w:r w:rsidRPr="00ED78BD">
        <w:rPr>
          <w:rStyle w:val="Emphasis"/>
        </w:rPr>
        <w:t>House</w:t>
      </w:r>
      <w:r w:rsidR="00D23ECC" w:rsidRPr="00ED78BD">
        <w:rPr>
          <w:rStyle w:val="Emphasis"/>
        </w:rPr>
        <w:t xml:space="preserve"> </w:t>
      </w:r>
      <w:r w:rsidRPr="00ED78BD">
        <w:rPr>
          <w:rStyle w:val="Emphasis"/>
        </w:rPr>
        <w:t>Operators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2016</w:t>
      </w:r>
      <w:r>
        <w:t>.</w:t>
      </w:r>
    </w:p>
    <w:p w14:paraId="57CDABED" w14:textId="04C89B9B" w:rsidR="00DE3B0D" w:rsidRDefault="00DE3B0D" w:rsidP="00D23ECC">
      <w:pPr>
        <w:pStyle w:val="BodyText"/>
      </w:pPr>
      <w:r>
        <w:t>In</w:t>
      </w:r>
      <w:r w:rsidR="00D23ECC">
        <w:t xml:space="preserve"> </w:t>
      </w:r>
      <w:r>
        <w:t>the</w:t>
      </w:r>
      <w:r w:rsidR="00D23ECC">
        <w:t xml:space="preserve"> </w:t>
      </w:r>
      <w:r>
        <w:t>first</w:t>
      </w:r>
      <w:r w:rsidR="00D23ECC">
        <w:t xml:space="preserve"> </w:t>
      </w:r>
      <w:r>
        <w:t>half</w:t>
      </w:r>
      <w:r w:rsidR="00D23ECC">
        <w:t xml:space="preserve"> </w:t>
      </w:r>
      <w:r>
        <w:t>of</w:t>
      </w:r>
      <w:r w:rsidR="00D23ECC">
        <w:t xml:space="preserve"> </w:t>
      </w:r>
      <w:r>
        <w:t>2020,</w:t>
      </w:r>
      <w:r w:rsidR="00D23ECC">
        <w:t xml:space="preserve"> </w:t>
      </w:r>
      <w:r>
        <w:t>the</w:t>
      </w:r>
      <w:r w:rsidR="00D23ECC">
        <w:t xml:space="preserve"> </w:t>
      </w:r>
      <w:r>
        <w:t>BLA</w:t>
      </w:r>
      <w:r w:rsidR="00D23ECC">
        <w:t xml:space="preserve"> </w:t>
      </w:r>
      <w:r>
        <w:t>refused</w:t>
      </w:r>
      <w:r w:rsidR="00D23ECC">
        <w:t xml:space="preserve"> </w:t>
      </w:r>
      <w:r>
        <w:t>five</w:t>
      </w:r>
      <w:r w:rsidR="00D23ECC">
        <w:t xml:space="preserve"> </w:t>
      </w:r>
      <w:r>
        <w:t>rooming</w:t>
      </w:r>
      <w:r w:rsidR="00D23ECC">
        <w:t xml:space="preserve"> </w:t>
      </w:r>
      <w:r>
        <w:t>house</w:t>
      </w:r>
      <w:r w:rsidR="00D23ECC">
        <w:t xml:space="preserve"> </w:t>
      </w:r>
      <w:r>
        <w:t>operators</w:t>
      </w:r>
      <w:r w:rsidR="00D23ECC">
        <w:t xml:space="preserve"> </w:t>
      </w:r>
      <w:r>
        <w:t>licence</w:t>
      </w:r>
      <w:r w:rsidR="00D23ECC">
        <w:t xml:space="preserve"> </w:t>
      </w:r>
      <w:r>
        <w:t>renewals</w:t>
      </w:r>
      <w:r w:rsidR="00D23ECC">
        <w:t xml:space="preserve"> </w:t>
      </w:r>
      <w:r>
        <w:t>due</w:t>
      </w:r>
      <w:r w:rsidR="00D23ECC">
        <w:t xml:space="preserve"> </w:t>
      </w:r>
      <w:r>
        <w:t>to</w:t>
      </w:r>
      <w:r w:rsidR="00D23ECC">
        <w:t xml:space="preserve"> </w:t>
      </w:r>
      <w:r>
        <w:t>disqualifying</w:t>
      </w:r>
      <w:r w:rsidR="00D23ECC">
        <w:t xml:space="preserve"> </w:t>
      </w:r>
      <w:r>
        <w:t>offences.</w:t>
      </w:r>
      <w:r w:rsidR="00D23ECC">
        <w:t xml:space="preserve"> </w:t>
      </w:r>
      <w:r>
        <w:t>Upon</w:t>
      </w:r>
      <w:r w:rsidR="00D23ECC">
        <w:t xml:space="preserve"> </w:t>
      </w:r>
      <w:r>
        <w:t>receipt</w:t>
      </w:r>
      <w:r w:rsidR="00D23ECC">
        <w:t xml:space="preserve"> </w:t>
      </w:r>
      <w:r>
        <w:t>of</w:t>
      </w:r>
      <w:r w:rsidR="00D23ECC">
        <w:t xml:space="preserve"> </w:t>
      </w:r>
      <w:r>
        <w:t>this</w:t>
      </w:r>
      <w:r w:rsidR="00D23ECC">
        <w:t xml:space="preserve"> </w:t>
      </w:r>
      <w:r>
        <w:t>intelligence,</w:t>
      </w:r>
      <w:r w:rsidR="00D23ECC">
        <w:t xml:space="preserve"> </w:t>
      </w:r>
      <w:r>
        <w:t>CAV</w:t>
      </w:r>
      <w:r w:rsidR="00D23ECC">
        <w:t xml:space="preserve"> </w:t>
      </w:r>
      <w:r>
        <w:t>sought</w:t>
      </w:r>
      <w:r w:rsidR="00D23ECC">
        <w:t xml:space="preserve"> </w:t>
      </w:r>
      <w:r>
        <w:t>to</w:t>
      </w:r>
      <w:r w:rsidR="00D23ECC">
        <w:t xml:space="preserve"> </w:t>
      </w:r>
      <w:r>
        <w:t>reduce</w:t>
      </w:r>
      <w:r w:rsidR="00D23ECC">
        <w:t xml:space="preserve"> </w:t>
      </w:r>
      <w:r>
        <w:t>the</w:t>
      </w:r>
      <w:r w:rsidR="00D23ECC">
        <w:t xml:space="preserve"> </w:t>
      </w:r>
      <w:r>
        <w:t>risk</w:t>
      </w:r>
      <w:r w:rsidR="00D23ECC">
        <w:t xml:space="preserve"> </w:t>
      </w:r>
      <w:r>
        <w:t>of</w:t>
      </w:r>
      <w:r w:rsidR="00D23ECC">
        <w:t xml:space="preserve"> </w:t>
      </w:r>
      <w:r>
        <w:t>other</w:t>
      </w:r>
      <w:r w:rsidR="00D23ECC">
        <w:t xml:space="preserve"> </w:t>
      </w:r>
      <w:r>
        <w:t>disqualified</w:t>
      </w:r>
      <w:r w:rsidR="00D23ECC">
        <w:t xml:space="preserve"> </w:t>
      </w:r>
      <w:r>
        <w:t>persons</w:t>
      </w:r>
      <w:r w:rsidR="00D23ECC">
        <w:t xml:space="preserve"> </w:t>
      </w:r>
      <w:r>
        <w:t>operating</w:t>
      </w:r>
      <w:r w:rsidR="00D23ECC">
        <w:t xml:space="preserve"> </w:t>
      </w:r>
      <w:r>
        <w:t>in</w:t>
      </w:r>
      <w:r w:rsidR="00D23ECC">
        <w:t xml:space="preserve"> </w:t>
      </w:r>
      <w:r>
        <w:t>the</w:t>
      </w:r>
      <w:r w:rsidR="00D23ECC">
        <w:t xml:space="preserve"> </w:t>
      </w:r>
      <w:r>
        <w:t>sector</w:t>
      </w:r>
      <w:r w:rsidR="00D23ECC">
        <w:t xml:space="preserve"> </w:t>
      </w:r>
      <w:r>
        <w:t>by</w:t>
      </w:r>
      <w:r w:rsidR="00D23ECC">
        <w:t xml:space="preserve"> </w:t>
      </w:r>
      <w:r>
        <w:t>messaging</w:t>
      </w:r>
      <w:r w:rsidR="00D23ECC">
        <w:t xml:space="preserve"> </w:t>
      </w:r>
      <w:r>
        <w:t>all</w:t>
      </w:r>
      <w:r w:rsidR="00D23ECC">
        <w:t xml:space="preserve"> </w:t>
      </w:r>
      <w:r>
        <w:t>licensees</w:t>
      </w:r>
      <w:r w:rsidR="00D23ECC">
        <w:t xml:space="preserve"> </w:t>
      </w:r>
      <w:r>
        <w:t>to</w:t>
      </w:r>
      <w:r w:rsidR="00D23ECC">
        <w:t xml:space="preserve"> </w:t>
      </w:r>
      <w:r>
        <w:t>remind</w:t>
      </w:r>
      <w:r w:rsidR="00D23ECC">
        <w:t xml:space="preserve"> </w:t>
      </w:r>
      <w:r>
        <w:t>them</w:t>
      </w:r>
      <w:r w:rsidR="00D23ECC">
        <w:t xml:space="preserve"> </w:t>
      </w:r>
      <w:r>
        <w:t>of</w:t>
      </w:r>
      <w:r w:rsidR="00D23ECC">
        <w:t xml:space="preserve"> </w:t>
      </w:r>
      <w:r>
        <w:t>disqualifying</w:t>
      </w:r>
      <w:r w:rsidR="00D23ECC">
        <w:t xml:space="preserve"> </w:t>
      </w:r>
      <w:r>
        <w:t>criteria.</w:t>
      </w:r>
      <w:r w:rsidR="00D23ECC">
        <w:t xml:space="preserve"> </w:t>
      </w:r>
      <w:r>
        <w:t>In</w:t>
      </w:r>
      <w:r w:rsidR="00D23ECC">
        <w:t xml:space="preserve"> </w:t>
      </w:r>
      <w:r>
        <w:t>response,</w:t>
      </w:r>
      <w:r w:rsidR="00D23ECC">
        <w:t xml:space="preserve"> </w:t>
      </w:r>
      <w:r>
        <w:t>a</w:t>
      </w:r>
      <w:r w:rsidR="00D23ECC">
        <w:t xml:space="preserve"> </w:t>
      </w:r>
      <w:r>
        <w:t>further</w:t>
      </w:r>
      <w:r w:rsidR="00D23ECC">
        <w:t xml:space="preserve"> </w:t>
      </w:r>
      <w:r>
        <w:t>licensee</w:t>
      </w:r>
      <w:r w:rsidR="00D23ECC">
        <w:t xml:space="preserve"> </w:t>
      </w:r>
      <w:r>
        <w:t>voluntarily</w:t>
      </w:r>
      <w:r w:rsidR="00D23ECC">
        <w:t xml:space="preserve"> </w:t>
      </w:r>
      <w:r>
        <w:t>advised</w:t>
      </w:r>
      <w:r w:rsidR="00D23ECC">
        <w:t xml:space="preserve"> </w:t>
      </w:r>
      <w:r>
        <w:t>of</w:t>
      </w:r>
      <w:r w:rsidR="00D23ECC">
        <w:t xml:space="preserve"> </w:t>
      </w:r>
      <w:r>
        <w:t>a</w:t>
      </w:r>
      <w:r w:rsidR="00D23ECC">
        <w:t xml:space="preserve"> </w:t>
      </w:r>
      <w:r>
        <w:t>disqualifying</w:t>
      </w:r>
      <w:r w:rsidR="00D23ECC">
        <w:t xml:space="preserve"> </w:t>
      </w:r>
      <w:r>
        <w:t>offence.</w:t>
      </w:r>
      <w:r w:rsidR="00D23ECC">
        <w:t xml:space="preserve"> </w:t>
      </w:r>
      <w:r>
        <w:t>Those</w:t>
      </w:r>
      <w:r w:rsidR="00D23ECC">
        <w:t xml:space="preserve"> </w:t>
      </w:r>
      <w:r>
        <w:t>operators</w:t>
      </w:r>
      <w:r w:rsidR="00D23ECC">
        <w:t xml:space="preserve"> </w:t>
      </w:r>
      <w:r>
        <w:t>no</w:t>
      </w:r>
      <w:r w:rsidR="00D23ECC">
        <w:t xml:space="preserve"> </w:t>
      </w:r>
      <w:r>
        <w:t>longer</w:t>
      </w:r>
      <w:r w:rsidR="00D23ECC">
        <w:t xml:space="preserve"> </w:t>
      </w:r>
      <w:r>
        <w:t>hold</w:t>
      </w:r>
      <w:r w:rsidR="00D23ECC">
        <w:t xml:space="preserve"> </w:t>
      </w:r>
      <w:r>
        <w:t>a</w:t>
      </w:r>
      <w:r w:rsidR="00D23ECC">
        <w:t xml:space="preserve"> </w:t>
      </w:r>
      <w:r>
        <w:t>licence</w:t>
      </w:r>
      <w:r w:rsidR="00D23ECC">
        <w:t xml:space="preserve"> </w:t>
      </w:r>
      <w:r>
        <w:t>in</w:t>
      </w:r>
      <w:r w:rsidR="00D23ECC">
        <w:t xml:space="preserve"> </w:t>
      </w:r>
      <w:r>
        <w:t>Victoria.</w:t>
      </w:r>
    </w:p>
    <w:p w14:paraId="08497AFE" w14:textId="4D485D56" w:rsidR="00DE3B0D" w:rsidRDefault="00DE3B0D" w:rsidP="00AE374E">
      <w:pPr>
        <w:pStyle w:val="Heading4"/>
      </w:pPr>
      <w:r>
        <w:rPr>
          <w:color w:val="000000"/>
        </w:rPr>
        <w:t>Tenancy</w:t>
      </w:r>
      <w:r w:rsidR="00D23ECC">
        <w:rPr>
          <w:color w:val="000000"/>
        </w:rPr>
        <w:t xml:space="preserve"> </w:t>
      </w:r>
      <w:r>
        <w:rPr>
          <w:color w:val="000000"/>
        </w:rPr>
        <w:t>Programs</w:t>
      </w:r>
    </w:p>
    <w:p w14:paraId="0600183A" w14:textId="5416132F" w:rsidR="00DE3B0D" w:rsidRDefault="00DE3B0D" w:rsidP="00D23ECC">
      <w:pPr>
        <w:pStyle w:val="BodyText"/>
      </w:pPr>
      <w:r>
        <w:t>Tenancy</w:t>
      </w:r>
      <w:r w:rsidR="00D23ECC">
        <w:t xml:space="preserve"> </w:t>
      </w:r>
      <w:r>
        <w:t>Programs</w:t>
      </w:r>
      <w:r w:rsidR="00D23ECC">
        <w:t xml:space="preserve"> </w:t>
      </w:r>
      <w:r>
        <w:t>are</w:t>
      </w:r>
      <w:r w:rsidR="00D23ECC">
        <w:t xml:space="preserve"> </w:t>
      </w:r>
      <w:r>
        <w:t>comprised</w:t>
      </w:r>
      <w:r w:rsidR="00D23ECC">
        <w:t xml:space="preserve"> </w:t>
      </w:r>
      <w:r>
        <w:t>of</w:t>
      </w:r>
      <w:r w:rsidR="00D23ECC">
        <w:t xml:space="preserve"> </w:t>
      </w:r>
      <w:r>
        <w:t>the</w:t>
      </w:r>
      <w:r w:rsidR="00D23ECC">
        <w:t xml:space="preserve"> </w:t>
      </w:r>
      <w:r>
        <w:t>Tenancy</w:t>
      </w:r>
      <w:r w:rsidR="00D23ECC">
        <w:t xml:space="preserve"> </w:t>
      </w:r>
      <w:r>
        <w:t>Assistance</w:t>
      </w:r>
      <w:r w:rsidR="00D23ECC">
        <w:t xml:space="preserve"> </w:t>
      </w:r>
      <w:r>
        <w:t>and</w:t>
      </w:r>
      <w:r w:rsidR="00D23ECC">
        <w:t xml:space="preserve"> </w:t>
      </w:r>
      <w:r>
        <w:t>Advocacy</w:t>
      </w:r>
      <w:r w:rsidR="00D23ECC">
        <w:t xml:space="preserve"> </w:t>
      </w:r>
      <w:r>
        <w:t>Program</w:t>
      </w:r>
      <w:r w:rsidR="00D23ECC">
        <w:t xml:space="preserve"> </w:t>
      </w:r>
      <w:r>
        <w:t>(TAAP),</w:t>
      </w:r>
      <w:r w:rsidR="00D23ECC">
        <w:t xml:space="preserve"> </w:t>
      </w:r>
      <w:r>
        <w:t>the</w:t>
      </w:r>
      <w:r w:rsidR="00D23ECC">
        <w:t xml:space="preserve"> </w:t>
      </w:r>
      <w:r>
        <w:t>Tenancy</w:t>
      </w:r>
      <w:r w:rsidR="00D23ECC">
        <w:t xml:space="preserve"> </w:t>
      </w:r>
      <w:r>
        <w:t>Central</w:t>
      </w:r>
      <w:r w:rsidR="00D23ECC">
        <w:t xml:space="preserve"> </w:t>
      </w:r>
      <w:r>
        <w:t>Program</w:t>
      </w:r>
      <w:r w:rsidR="00D23ECC">
        <w:t xml:space="preserve"> </w:t>
      </w:r>
      <w:r>
        <w:t>and</w:t>
      </w:r>
      <w:r w:rsidR="00D23ECC">
        <w:t xml:space="preserve"> </w:t>
      </w:r>
      <w:r>
        <w:t>the</w:t>
      </w:r>
      <w:r w:rsidR="00D23ECC">
        <w:t xml:space="preserve"> </w:t>
      </w:r>
      <w:r>
        <w:t>Retirement</w:t>
      </w:r>
      <w:r w:rsidR="00D23ECC">
        <w:t xml:space="preserve"> </w:t>
      </w:r>
      <w:r>
        <w:t>Housing</w:t>
      </w:r>
      <w:r w:rsidR="00D23ECC">
        <w:t xml:space="preserve"> </w:t>
      </w:r>
      <w:r>
        <w:t>Assistance</w:t>
      </w:r>
      <w:r w:rsidR="00D23ECC">
        <w:t xml:space="preserve"> </w:t>
      </w:r>
      <w:r>
        <w:t>and</w:t>
      </w:r>
      <w:r w:rsidR="00D23ECC">
        <w:t xml:space="preserve"> </w:t>
      </w:r>
      <w:r>
        <w:t>Advocacy</w:t>
      </w:r>
      <w:r w:rsidR="00D23ECC">
        <w:t xml:space="preserve"> </w:t>
      </w:r>
      <w:r>
        <w:t>Program.</w:t>
      </w:r>
      <w:r w:rsidR="00D23ECC">
        <w:t xml:space="preserve"> </w:t>
      </w:r>
      <w:r>
        <w:t>During</w:t>
      </w:r>
      <w:r w:rsidR="00D23ECC">
        <w:t xml:space="preserve"> </w:t>
      </w:r>
      <w:r>
        <w:t>2020–21</w:t>
      </w:r>
      <w:r w:rsidR="00D23ECC">
        <w:t xml:space="preserve"> </w:t>
      </w:r>
      <w:r>
        <w:t>these</w:t>
      </w:r>
      <w:r w:rsidR="00D23ECC">
        <w:t xml:space="preserve"> </w:t>
      </w:r>
      <w:r>
        <w:t>programs</w:t>
      </w:r>
      <w:r w:rsidR="00D23ECC">
        <w:t xml:space="preserve"> </w:t>
      </w:r>
      <w:r>
        <w:t>provided</w:t>
      </w:r>
      <w:r w:rsidR="00D23ECC">
        <w:t xml:space="preserve"> </w:t>
      </w:r>
      <w:r>
        <w:t>much</w:t>
      </w:r>
      <w:r w:rsidR="00D23ECC">
        <w:t xml:space="preserve"> </w:t>
      </w:r>
      <w:r>
        <w:t>needed</w:t>
      </w:r>
      <w:r w:rsidR="00D23ECC">
        <w:t xml:space="preserve"> </w:t>
      </w:r>
      <w:r>
        <w:t>support</w:t>
      </w:r>
      <w:r w:rsidR="00D23ECC">
        <w:t xml:space="preserve"> </w:t>
      </w:r>
      <w:r>
        <w:t>to</w:t>
      </w:r>
      <w:r w:rsidR="00D23ECC">
        <w:t xml:space="preserve"> </w:t>
      </w:r>
      <w:r>
        <w:t>vulnerable</w:t>
      </w:r>
      <w:r w:rsidR="00D23ECC">
        <w:t xml:space="preserve"> </w:t>
      </w:r>
      <w:r>
        <w:t>and</w:t>
      </w:r>
      <w:r w:rsidR="00D23ECC">
        <w:t xml:space="preserve"> </w:t>
      </w:r>
      <w:r>
        <w:t>disadvantaged</w:t>
      </w:r>
      <w:r w:rsidR="00D23ECC">
        <w:t xml:space="preserve"> </w:t>
      </w:r>
      <w:r>
        <w:t>Victorians</w:t>
      </w:r>
      <w:r w:rsidR="00D23ECC">
        <w:t xml:space="preserve"> </w:t>
      </w:r>
      <w:r>
        <w:t>despite</w:t>
      </w:r>
      <w:r w:rsidR="00D23ECC">
        <w:t xml:space="preserve"> </w:t>
      </w:r>
      <w:r>
        <w:t>the</w:t>
      </w:r>
      <w:r w:rsidR="00D23ECC">
        <w:t xml:space="preserve"> </w:t>
      </w:r>
      <w:r>
        <w:t>challenges</w:t>
      </w:r>
      <w:r w:rsidR="00D23ECC">
        <w:t xml:space="preserve"> </w:t>
      </w:r>
      <w:r>
        <w:t>of</w:t>
      </w:r>
      <w:r w:rsidR="00D23ECC">
        <w:t xml:space="preserve"> </w:t>
      </w:r>
      <w:r>
        <w:t>the</w:t>
      </w:r>
      <w:r w:rsidR="00D23ECC">
        <w:t xml:space="preserve"> </w:t>
      </w:r>
      <w:r>
        <w:t>COVID-19</w:t>
      </w:r>
      <w:r w:rsidR="00D23ECC">
        <w:t xml:space="preserve"> </w:t>
      </w:r>
      <w:r>
        <w:t>pandemic.</w:t>
      </w:r>
      <w:r w:rsidR="00D23ECC">
        <w:t xml:space="preserve"> </w:t>
      </w:r>
      <w:r>
        <w:t>Additionally,</w:t>
      </w:r>
      <w:r w:rsidR="00D23ECC">
        <w:t xml:space="preserve"> </w:t>
      </w:r>
      <w:r>
        <w:t>all</w:t>
      </w:r>
      <w:r w:rsidR="00D23ECC">
        <w:t xml:space="preserve"> </w:t>
      </w:r>
      <w:r>
        <w:t>Tenancy</w:t>
      </w:r>
      <w:r w:rsidR="00D23ECC">
        <w:t xml:space="preserve"> </w:t>
      </w:r>
      <w:r>
        <w:t>Programs</w:t>
      </w:r>
      <w:r w:rsidR="00D23ECC">
        <w:t xml:space="preserve"> </w:t>
      </w:r>
      <w:r>
        <w:t>continue</w:t>
      </w:r>
      <w:r w:rsidR="00D23ECC">
        <w:t xml:space="preserve"> </w:t>
      </w:r>
      <w:r>
        <w:t>to</w:t>
      </w:r>
      <w:r w:rsidR="00D23ECC">
        <w:t xml:space="preserve"> </w:t>
      </w:r>
      <w:r>
        <w:t>be</w:t>
      </w:r>
      <w:r w:rsidR="00D23ECC">
        <w:t xml:space="preserve"> </w:t>
      </w:r>
      <w:r>
        <w:t>funded</w:t>
      </w:r>
      <w:r w:rsidR="00D23ECC">
        <w:t xml:space="preserve"> </w:t>
      </w:r>
      <w:r>
        <w:t>through</w:t>
      </w:r>
      <w:r w:rsidR="00D23ECC">
        <w:t xml:space="preserve"> </w:t>
      </w:r>
      <w:r>
        <w:t>2021–22.</w:t>
      </w:r>
    </w:p>
    <w:p w14:paraId="4CAE1427" w14:textId="55C0F5AC" w:rsidR="00DE3B0D" w:rsidRDefault="00DE3B0D" w:rsidP="00773D96">
      <w:pPr>
        <w:pStyle w:val="BodyText"/>
        <w:keepLines/>
      </w:pPr>
      <w:r>
        <w:lastRenderedPageBreak/>
        <w:t>The</w:t>
      </w:r>
      <w:r w:rsidR="00D23ECC">
        <w:t xml:space="preserve"> </w:t>
      </w:r>
      <w:r>
        <w:t>TAAP</w:t>
      </w:r>
      <w:r w:rsidR="00D23ECC">
        <w:t xml:space="preserve"> </w:t>
      </w:r>
      <w:r>
        <w:t>continued</w:t>
      </w:r>
      <w:r w:rsidR="00D23ECC">
        <w:t xml:space="preserve"> </w:t>
      </w:r>
      <w:r>
        <w:t>to</w:t>
      </w:r>
      <w:r w:rsidR="00D23ECC">
        <w:t xml:space="preserve"> </w:t>
      </w:r>
      <w:r>
        <w:t>provide</w:t>
      </w:r>
      <w:r w:rsidR="00D23ECC">
        <w:t xml:space="preserve"> </w:t>
      </w:r>
      <w:r>
        <w:t>much</w:t>
      </w:r>
      <w:r w:rsidR="00D23ECC">
        <w:t xml:space="preserve"> </w:t>
      </w:r>
      <w:r>
        <w:t>needed</w:t>
      </w:r>
      <w:r w:rsidR="00D23ECC">
        <w:t xml:space="preserve"> </w:t>
      </w:r>
      <w:r>
        <w:t>support</w:t>
      </w:r>
      <w:r w:rsidR="00D23ECC">
        <w:t xml:space="preserve"> </w:t>
      </w:r>
      <w:r>
        <w:t>to</w:t>
      </w:r>
      <w:r w:rsidR="00D23ECC">
        <w:t xml:space="preserve"> </w:t>
      </w:r>
      <w:r>
        <w:t>disadvantaged</w:t>
      </w:r>
      <w:r w:rsidR="00D23ECC">
        <w:t xml:space="preserve"> </w:t>
      </w:r>
      <w:r>
        <w:t>renters</w:t>
      </w:r>
      <w:r w:rsidR="00D23ECC">
        <w:t xml:space="preserve"> </w:t>
      </w:r>
      <w:r>
        <w:t>in</w:t>
      </w:r>
      <w:r w:rsidR="00D23ECC">
        <w:t xml:space="preserve"> </w:t>
      </w:r>
      <w:r>
        <w:t>what</w:t>
      </w:r>
      <w:r w:rsidR="00D23ECC">
        <w:t xml:space="preserve"> </w:t>
      </w:r>
      <w:r>
        <w:t>has</w:t>
      </w:r>
      <w:r w:rsidR="00D23ECC">
        <w:t xml:space="preserve"> </w:t>
      </w:r>
      <w:r>
        <w:t>been</w:t>
      </w:r>
      <w:r w:rsidR="00D23ECC">
        <w:t xml:space="preserve"> </w:t>
      </w:r>
      <w:r>
        <w:t>a</w:t>
      </w:r>
      <w:r w:rsidR="00D23ECC">
        <w:t xml:space="preserve"> </w:t>
      </w:r>
      <w:r>
        <w:t>challenging</w:t>
      </w:r>
      <w:r w:rsidR="00D23ECC">
        <w:t xml:space="preserve"> </w:t>
      </w:r>
      <w:r>
        <w:t>year.</w:t>
      </w:r>
      <w:r w:rsidR="00D23ECC">
        <w:t xml:space="preserve"> </w:t>
      </w:r>
      <w:r>
        <w:t>The</w:t>
      </w:r>
      <w:r w:rsidR="00D23ECC">
        <w:t xml:space="preserve"> </w:t>
      </w:r>
      <w:r>
        <w:t>program</w:t>
      </w:r>
      <w:r w:rsidR="00D23ECC">
        <w:t xml:space="preserve"> </w:t>
      </w:r>
      <w:r>
        <w:t>was</w:t>
      </w:r>
      <w:r w:rsidR="00D23ECC">
        <w:t xml:space="preserve"> </w:t>
      </w:r>
      <w:r>
        <w:t>particularly</w:t>
      </w:r>
      <w:r w:rsidR="00D23ECC">
        <w:t xml:space="preserve"> </w:t>
      </w:r>
      <w:r>
        <w:t>important</w:t>
      </w:r>
      <w:r w:rsidR="00D23ECC">
        <w:t xml:space="preserve"> </w:t>
      </w:r>
      <w:r>
        <w:t>for</w:t>
      </w:r>
      <w:r w:rsidR="00D23ECC">
        <w:t xml:space="preserve"> </w:t>
      </w:r>
      <w:r>
        <w:t>many</w:t>
      </w:r>
      <w:r w:rsidR="00D23ECC">
        <w:t xml:space="preserve"> </w:t>
      </w:r>
      <w:r>
        <w:t>renters</w:t>
      </w:r>
      <w:r w:rsidR="00D23ECC">
        <w:t xml:space="preserve"> </w:t>
      </w:r>
      <w:r>
        <w:t>who</w:t>
      </w:r>
      <w:r w:rsidR="00D23ECC">
        <w:t xml:space="preserve"> </w:t>
      </w:r>
      <w:r>
        <w:t>faced</w:t>
      </w:r>
      <w:r w:rsidR="00D23ECC">
        <w:t xml:space="preserve"> </w:t>
      </w:r>
      <w:r>
        <w:t>greater</w:t>
      </w:r>
      <w:r w:rsidR="00D23ECC">
        <w:t xml:space="preserve"> </w:t>
      </w:r>
      <w:r>
        <w:t>difficulty</w:t>
      </w:r>
      <w:r w:rsidR="00D23ECC">
        <w:t xml:space="preserve"> </w:t>
      </w:r>
      <w:r>
        <w:t>paying</w:t>
      </w:r>
      <w:r w:rsidR="00D23ECC">
        <w:t xml:space="preserve"> </w:t>
      </w:r>
      <w:r>
        <w:t>the</w:t>
      </w:r>
      <w:r w:rsidR="00D23ECC">
        <w:t xml:space="preserve"> </w:t>
      </w:r>
      <w:r>
        <w:t>rent</w:t>
      </w:r>
      <w:r w:rsidR="00D23ECC">
        <w:t xml:space="preserve"> </w:t>
      </w:r>
      <w:r>
        <w:t>after</w:t>
      </w:r>
      <w:r w:rsidR="00D23ECC">
        <w:t xml:space="preserve"> </w:t>
      </w:r>
      <w:r>
        <w:t>losing</w:t>
      </w:r>
      <w:r w:rsidR="00D23ECC">
        <w:t xml:space="preserve"> </w:t>
      </w:r>
      <w:r>
        <w:t>jobs</w:t>
      </w:r>
      <w:r w:rsidR="00D23ECC">
        <w:t xml:space="preserve"> </w:t>
      </w:r>
      <w:r>
        <w:t>or</w:t>
      </w:r>
      <w:r w:rsidR="00D23ECC">
        <w:t xml:space="preserve"> </w:t>
      </w:r>
      <w:r>
        <w:t>work</w:t>
      </w:r>
      <w:r w:rsidR="00D23ECC">
        <w:t xml:space="preserve"> </w:t>
      </w:r>
      <w:r>
        <w:t>hours.</w:t>
      </w:r>
      <w:r w:rsidR="00D23ECC">
        <w:t xml:space="preserve"> </w:t>
      </w:r>
      <w:r>
        <w:t>Through</w:t>
      </w:r>
      <w:r w:rsidR="00D23ECC">
        <w:t xml:space="preserve"> </w:t>
      </w:r>
      <w:r>
        <w:t>this</w:t>
      </w:r>
      <w:r w:rsidR="00D23ECC">
        <w:t xml:space="preserve"> </w:t>
      </w:r>
      <w:r>
        <w:t>program</w:t>
      </w:r>
      <w:r w:rsidR="00D23ECC">
        <w:t xml:space="preserve"> </w:t>
      </w:r>
      <w:r>
        <w:t>6,644</w:t>
      </w:r>
      <w:r w:rsidR="00D23ECC">
        <w:t xml:space="preserve"> </w:t>
      </w:r>
      <w:r>
        <w:t>Victorians</w:t>
      </w:r>
      <w:r w:rsidR="00D23ECC">
        <w:t xml:space="preserve"> </w:t>
      </w:r>
      <w:r>
        <w:t>were</w:t>
      </w:r>
      <w:r w:rsidR="00D23ECC">
        <w:t xml:space="preserve"> </w:t>
      </w:r>
      <w:r>
        <w:t>able</w:t>
      </w:r>
      <w:r w:rsidR="00D23ECC">
        <w:t xml:space="preserve"> </w:t>
      </w:r>
      <w:r>
        <w:t>to</w:t>
      </w:r>
      <w:r w:rsidR="00D23ECC">
        <w:t xml:space="preserve"> </w:t>
      </w:r>
      <w:r>
        <w:t>receive</w:t>
      </w:r>
      <w:r w:rsidR="00D23ECC">
        <w:t xml:space="preserve"> </w:t>
      </w:r>
      <w:r>
        <w:t>valuable</w:t>
      </w:r>
      <w:r w:rsidR="00D23ECC">
        <w:t xml:space="preserve"> </w:t>
      </w:r>
      <w:r>
        <w:t>help</w:t>
      </w:r>
      <w:r w:rsidR="00D23ECC">
        <w:t xml:space="preserve"> </w:t>
      </w:r>
      <w:r>
        <w:t>negotiating</w:t>
      </w:r>
      <w:r w:rsidR="00D23ECC">
        <w:t xml:space="preserve"> </w:t>
      </w:r>
      <w:r>
        <w:t>rent</w:t>
      </w:r>
      <w:r w:rsidR="00D23ECC">
        <w:t xml:space="preserve"> </w:t>
      </w:r>
      <w:r>
        <w:t>reduction</w:t>
      </w:r>
      <w:r w:rsidR="00D23ECC">
        <w:t xml:space="preserve"> </w:t>
      </w:r>
      <w:r>
        <w:t>agreements,</w:t>
      </w:r>
      <w:r w:rsidR="00D23ECC">
        <w:t xml:space="preserve"> </w:t>
      </w:r>
      <w:r>
        <w:t>understanding</w:t>
      </w:r>
      <w:r w:rsidR="00D23ECC">
        <w:t xml:space="preserve"> </w:t>
      </w:r>
      <w:r>
        <w:t>their</w:t>
      </w:r>
      <w:r w:rsidR="00D23ECC">
        <w:t xml:space="preserve"> </w:t>
      </w:r>
      <w:r>
        <w:t>rights</w:t>
      </w:r>
      <w:r w:rsidR="00D23ECC">
        <w:t xml:space="preserve"> </w:t>
      </w:r>
      <w:r>
        <w:t>under</w:t>
      </w:r>
      <w:r w:rsidR="00D23ECC">
        <w:t xml:space="preserve"> </w:t>
      </w:r>
      <w:r>
        <w:t>the</w:t>
      </w:r>
      <w:r w:rsidR="00D23ECC">
        <w:t xml:space="preserve"> </w:t>
      </w:r>
      <w:r>
        <w:t>temporary</w:t>
      </w:r>
      <w:r w:rsidR="00D23ECC">
        <w:t xml:space="preserve"> </w:t>
      </w:r>
      <w:r>
        <w:t>eviction</w:t>
      </w:r>
      <w:r w:rsidR="00D23ECC">
        <w:t xml:space="preserve"> </w:t>
      </w:r>
      <w:r>
        <w:t>moratorium,</w:t>
      </w:r>
      <w:r w:rsidR="00D23ECC">
        <w:t xml:space="preserve"> </w:t>
      </w:r>
      <w:r>
        <w:t>and</w:t>
      </w:r>
      <w:r w:rsidR="00D23ECC">
        <w:t xml:space="preserve"> </w:t>
      </w:r>
      <w:r>
        <w:t>resolving</w:t>
      </w:r>
      <w:r w:rsidR="00D23ECC">
        <w:t xml:space="preserve"> </w:t>
      </w:r>
      <w:r>
        <w:t>disputes</w:t>
      </w:r>
      <w:r w:rsidR="00D23ECC">
        <w:t xml:space="preserve"> </w:t>
      </w:r>
      <w:r>
        <w:t>with</w:t>
      </w:r>
      <w:r w:rsidR="00D23ECC">
        <w:t xml:space="preserve"> </w:t>
      </w:r>
      <w:r>
        <w:t>rental</w:t>
      </w:r>
      <w:r w:rsidR="00D23ECC">
        <w:t xml:space="preserve"> </w:t>
      </w:r>
      <w:r>
        <w:t>providers.</w:t>
      </w:r>
      <w:r w:rsidR="00D23ECC">
        <w:t xml:space="preserve"> </w:t>
      </w:r>
      <w:r>
        <w:t>Additionally,</w:t>
      </w:r>
      <w:r w:rsidR="00D23ECC">
        <w:t xml:space="preserve"> </w:t>
      </w:r>
      <w:r>
        <w:t>the</w:t>
      </w:r>
      <w:r w:rsidR="00D23ECC">
        <w:t xml:space="preserve"> </w:t>
      </w:r>
      <w:r>
        <w:t>Retirement</w:t>
      </w:r>
      <w:r w:rsidR="00D23ECC">
        <w:t xml:space="preserve"> </w:t>
      </w:r>
      <w:r>
        <w:t>Housing</w:t>
      </w:r>
      <w:r w:rsidR="00D23ECC">
        <w:t xml:space="preserve"> </w:t>
      </w:r>
      <w:r>
        <w:t>Assistance</w:t>
      </w:r>
      <w:r w:rsidR="00D23ECC">
        <w:t xml:space="preserve"> </w:t>
      </w:r>
      <w:r>
        <w:t>and</w:t>
      </w:r>
      <w:r w:rsidR="00D23ECC">
        <w:t xml:space="preserve"> </w:t>
      </w:r>
      <w:r>
        <w:t>Advocacy</w:t>
      </w:r>
      <w:r w:rsidR="00D23ECC">
        <w:t xml:space="preserve"> </w:t>
      </w:r>
      <w:r>
        <w:t>Program</w:t>
      </w:r>
      <w:r w:rsidR="00D23ECC">
        <w:t xml:space="preserve"> </w:t>
      </w:r>
      <w:r>
        <w:t>was</w:t>
      </w:r>
      <w:r w:rsidR="00D23ECC">
        <w:t xml:space="preserve"> </w:t>
      </w:r>
      <w:r>
        <w:t>able</w:t>
      </w:r>
      <w:r w:rsidR="00D23ECC">
        <w:t xml:space="preserve"> </w:t>
      </w:r>
      <w:r>
        <w:t>to</w:t>
      </w:r>
      <w:r w:rsidR="00D23ECC">
        <w:t xml:space="preserve"> </w:t>
      </w:r>
      <w:r>
        <w:t>assist</w:t>
      </w:r>
      <w:r w:rsidR="00D23ECC">
        <w:t xml:space="preserve"> </w:t>
      </w:r>
      <w:r>
        <w:t>373</w:t>
      </w:r>
      <w:r w:rsidR="00D23ECC">
        <w:t xml:space="preserve"> </w:t>
      </w:r>
      <w:r>
        <w:t>vulnerable</w:t>
      </w:r>
      <w:r w:rsidR="00D23ECC">
        <w:t xml:space="preserve"> </w:t>
      </w:r>
      <w:r>
        <w:t>elderly</w:t>
      </w:r>
      <w:r w:rsidR="00D23ECC">
        <w:t xml:space="preserve"> </w:t>
      </w:r>
      <w:r>
        <w:t>Victorians</w:t>
      </w:r>
      <w:r w:rsidR="00D23ECC">
        <w:t xml:space="preserve"> </w:t>
      </w:r>
      <w:r>
        <w:t>maintain</w:t>
      </w:r>
      <w:r w:rsidR="00D23ECC">
        <w:t xml:space="preserve"> </w:t>
      </w:r>
      <w:r>
        <w:t>their</w:t>
      </w:r>
      <w:r w:rsidR="00D23ECC">
        <w:t xml:space="preserve"> </w:t>
      </w:r>
      <w:r>
        <w:t>tenancy.</w:t>
      </w:r>
    </w:p>
    <w:p w14:paraId="4D480704" w14:textId="6DD9E874" w:rsidR="00DE3B0D" w:rsidRDefault="00DE3B0D" w:rsidP="00AE374E">
      <w:pPr>
        <w:pStyle w:val="Heading4"/>
      </w:pPr>
      <w:bookmarkStart w:id="30" w:name="_Ref85883364"/>
      <w:r>
        <w:rPr>
          <w:color w:val="000000"/>
        </w:rPr>
        <w:t>Victorian</w:t>
      </w:r>
      <w:r w:rsidR="00D23ECC">
        <w:rPr>
          <w:color w:val="000000"/>
        </w:rPr>
        <w:t xml:space="preserve"> </w:t>
      </w:r>
      <w:r>
        <w:rPr>
          <w:color w:val="000000"/>
        </w:rPr>
        <w:t>Property</w:t>
      </w:r>
      <w:r w:rsidR="00D23ECC">
        <w:rPr>
          <w:color w:val="000000"/>
        </w:rPr>
        <w:t xml:space="preserve"> </w:t>
      </w:r>
      <w:r>
        <w:rPr>
          <w:color w:val="000000"/>
        </w:rPr>
        <w:t>Fund</w:t>
      </w:r>
      <w:r w:rsidR="00D23ECC">
        <w:rPr>
          <w:color w:val="000000"/>
        </w:rPr>
        <w:t xml:space="preserve"> </w:t>
      </w:r>
      <w:r>
        <w:rPr>
          <w:color w:val="000000"/>
        </w:rPr>
        <w:t>in</w:t>
      </w:r>
      <w:r w:rsidR="00D23ECC">
        <w:rPr>
          <w:color w:val="000000"/>
        </w:rPr>
        <w:t xml:space="preserve"> </w:t>
      </w:r>
      <w:r>
        <w:rPr>
          <w:color w:val="000000"/>
        </w:rPr>
        <w:t>2020–21</w:t>
      </w:r>
      <w:bookmarkEnd w:id="30"/>
    </w:p>
    <w:p w14:paraId="5F41FF0A" w14:textId="2FDCFDAF" w:rsidR="00DE3B0D" w:rsidRDefault="00DE3B0D" w:rsidP="00D23ECC">
      <w:pPr>
        <w:pStyle w:val="BodyText"/>
      </w:pPr>
      <w:r>
        <w:t>The</w:t>
      </w:r>
      <w:r w:rsidR="00D23ECC">
        <w:t xml:space="preserve"> </w:t>
      </w: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r w:rsidR="00D23ECC">
        <w:t xml:space="preserve"> </w:t>
      </w:r>
      <w:r>
        <w:t>allows</w:t>
      </w:r>
      <w:r w:rsidR="00D23ECC">
        <w:t xml:space="preserve"> </w:t>
      </w:r>
      <w:r>
        <w:t>the</w:t>
      </w:r>
      <w:r w:rsidR="00D23ECC">
        <w:t xml:space="preserve"> </w:t>
      </w:r>
      <w:r>
        <w:t>Minister</w:t>
      </w:r>
      <w:r w:rsidR="00D23ECC">
        <w:t xml:space="preserve"> </w:t>
      </w:r>
      <w:r>
        <w:t>for</w:t>
      </w:r>
      <w:r w:rsidR="00D23ECC">
        <w:t xml:space="preserve"> </w:t>
      </w:r>
      <w:r>
        <w:t>Consumer</w:t>
      </w:r>
      <w:r w:rsidR="00D23ECC">
        <w:t xml:space="preserve"> </w:t>
      </w:r>
      <w:r>
        <w:t>Affairs</w:t>
      </w:r>
      <w:r w:rsidR="00D23ECC">
        <w:t xml:space="preserve"> </w:t>
      </w:r>
      <w:r>
        <w:t>to</w:t>
      </w:r>
      <w:r w:rsidR="00D23ECC">
        <w:t xml:space="preserve"> </w:t>
      </w:r>
      <w:r>
        <w:t>make</w:t>
      </w:r>
      <w:r w:rsidR="00D23ECC">
        <w:t xml:space="preserve"> </w:t>
      </w:r>
      <w:r>
        <w:t>grants</w:t>
      </w:r>
      <w:r w:rsidR="00D23ECC">
        <w:t xml:space="preserve"> </w:t>
      </w:r>
      <w:r>
        <w:t>from</w:t>
      </w:r>
      <w:r w:rsidR="00D23ECC">
        <w:t xml:space="preserve"> </w:t>
      </w:r>
      <w:r>
        <w:t>the</w:t>
      </w:r>
      <w:r w:rsidR="00D23ECC">
        <w:t xml:space="preserve"> </w:t>
      </w:r>
      <w:r>
        <w:t>Victorian</w:t>
      </w:r>
      <w:r w:rsidR="00D23ECC">
        <w:t xml:space="preserve"> </w:t>
      </w:r>
      <w:r>
        <w:t>Property</w:t>
      </w:r>
      <w:r w:rsidR="00D23ECC">
        <w:t xml:space="preserve"> </w:t>
      </w:r>
      <w:r>
        <w:t>Fund</w:t>
      </w:r>
      <w:r w:rsidR="00D23ECC">
        <w:t xml:space="preserve"> </w:t>
      </w:r>
      <w:r>
        <w:t>(VPF)</w:t>
      </w:r>
      <w:r w:rsidR="00D23ECC">
        <w:t xml:space="preserve"> </w:t>
      </w:r>
      <w:r>
        <w:t>for</w:t>
      </w:r>
      <w:r w:rsidR="00D23ECC">
        <w:t xml:space="preserve"> </w:t>
      </w:r>
      <w:r>
        <w:t>certain</w:t>
      </w:r>
      <w:r w:rsidR="00D23ECC">
        <w:t xml:space="preserve"> </w:t>
      </w:r>
      <w:r>
        <w:t>purposes.</w:t>
      </w:r>
      <w:r w:rsidR="00D23ECC">
        <w:t xml:space="preserve"> </w:t>
      </w:r>
      <w:r>
        <w:t>The</w:t>
      </w:r>
      <w:r w:rsidR="00D23ECC">
        <w:t xml:space="preserve"> </w:t>
      </w:r>
      <w:r>
        <w:t>Minister</w:t>
      </w:r>
      <w:r w:rsidR="00D23ECC">
        <w:t xml:space="preserve"> </w:t>
      </w:r>
      <w:r>
        <w:t>makes</w:t>
      </w:r>
      <w:r w:rsidR="00D23ECC">
        <w:t xml:space="preserve"> </w:t>
      </w:r>
      <w:r>
        <w:t>her</w:t>
      </w:r>
      <w:r w:rsidR="00D23ECC">
        <w:t xml:space="preserve"> </w:t>
      </w:r>
      <w:r>
        <w:t>decision</w:t>
      </w:r>
      <w:r w:rsidR="00D23ECC">
        <w:t xml:space="preserve"> </w:t>
      </w:r>
      <w:r>
        <w:t>on</w:t>
      </w:r>
      <w:r w:rsidR="00D23ECC">
        <w:t xml:space="preserve"> </w:t>
      </w:r>
      <w:r>
        <w:t>grants</w:t>
      </w:r>
      <w:r w:rsidR="00D23ECC">
        <w:t xml:space="preserve"> </w:t>
      </w:r>
      <w:r>
        <w:t>after</w:t>
      </w:r>
      <w:r w:rsidR="00FE6587">
        <w:t> </w:t>
      </w:r>
      <w:r>
        <w:t>consultation</w:t>
      </w:r>
      <w:r w:rsidR="00D23ECC">
        <w:t xml:space="preserve"> </w:t>
      </w:r>
      <w:r>
        <w:t>with</w:t>
      </w:r>
      <w:r w:rsidR="00D23ECC">
        <w:t xml:space="preserve"> </w:t>
      </w:r>
      <w:r>
        <w:t>us,</w:t>
      </w:r>
      <w:r w:rsidR="00D23ECC">
        <w:t xml:space="preserve"> </w:t>
      </w:r>
      <w:r>
        <w:t>the</w:t>
      </w:r>
      <w:r w:rsidR="00D23ECC">
        <w:t xml:space="preserve"> </w:t>
      </w:r>
      <w:r>
        <w:t>Estate</w:t>
      </w:r>
      <w:r w:rsidR="00D23ECC">
        <w:t xml:space="preserve"> </w:t>
      </w:r>
      <w:r>
        <w:t>Agents</w:t>
      </w:r>
      <w:r w:rsidR="00D23ECC">
        <w:t xml:space="preserve"> </w:t>
      </w:r>
      <w:r>
        <w:t>Council</w:t>
      </w:r>
      <w:r w:rsidR="00D23ECC">
        <w:t xml:space="preserve"> </w:t>
      </w:r>
      <w:r>
        <w:t>and</w:t>
      </w:r>
      <w:r>
        <w:rPr>
          <w:rFonts w:ascii="Cambria Math" w:hAnsi="Cambria Math" w:cs="Cambria Math"/>
        </w:rPr>
        <w:t> </w:t>
      </w:r>
      <w:r>
        <w:t>any</w:t>
      </w:r>
      <w:r w:rsidR="00D23ECC">
        <w:t xml:space="preserve"> </w:t>
      </w:r>
      <w:r>
        <w:t>industry</w:t>
      </w:r>
      <w:r w:rsidR="00D23ECC">
        <w:t xml:space="preserve"> </w:t>
      </w:r>
      <w:r>
        <w:t>associations,</w:t>
      </w:r>
      <w:r w:rsidR="00D23ECC">
        <w:t xml:space="preserve"> </w:t>
      </w:r>
      <w:r>
        <w:t>government</w:t>
      </w:r>
      <w:r w:rsidR="00D23ECC">
        <w:t xml:space="preserve"> </w:t>
      </w:r>
      <w:r>
        <w:t>departments</w:t>
      </w:r>
      <w:r w:rsidR="00D23ECC">
        <w:t xml:space="preserve"> </w:t>
      </w:r>
      <w:r>
        <w:t>and</w:t>
      </w:r>
      <w:r w:rsidR="00D23ECC">
        <w:t xml:space="preserve"> </w:t>
      </w:r>
      <w:r>
        <w:t>other</w:t>
      </w:r>
      <w:r w:rsidR="00D23ECC">
        <w:t xml:space="preserve"> </w:t>
      </w:r>
      <w:r>
        <w:t>organisations,</w:t>
      </w:r>
      <w:r w:rsidR="00D23ECC">
        <w:t xml:space="preserve"> </w:t>
      </w:r>
      <w:r>
        <w:t>as</w:t>
      </w:r>
      <w:r w:rsidR="00D23ECC">
        <w:t xml:space="preserve"> </w:t>
      </w:r>
      <w:r>
        <w:t>appropriate.</w:t>
      </w:r>
    </w:p>
    <w:p w14:paraId="01E213A1" w14:textId="2EE6356C" w:rsidR="00DE3B0D" w:rsidRDefault="00DE3B0D" w:rsidP="00D23ECC">
      <w:pPr>
        <w:pStyle w:val="BodyText"/>
      </w:pPr>
      <w:r>
        <w:t>We</w:t>
      </w:r>
      <w:r w:rsidR="00D23ECC">
        <w:t xml:space="preserve"> </w:t>
      </w:r>
      <w:r>
        <w:t>administer</w:t>
      </w:r>
      <w:r w:rsidR="00D23ECC">
        <w:t xml:space="preserve"> </w:t>
      </w:r>
      <w:r>
        <w:t>the</w:t>
      </w:r>
      <w:r w:rsidR="00D23ECC">
        <w:t xml:space="preserve"> </w:t>
      </w:r>
      <w:r>
        <w:t>VPF</w:t>
      </w:r>
      <w:r w:rsidR="00D23ECC">
        <w:t xml:space="preserve"> </w:t>
      </w:r>
      <w:r>
        <w:t>grants</w:t>
      </w:r>
      <w:r w:rsidR="00D23ECC">
        <w:t xml:space="preserve"> </w:t>
      </w:r>
      <w:r>
        <w:t>program.</w:t>
      </w:r>
      <w:r w:rsidR="00D23ECC">
        <w:t xml:space="preserve"> </w:t>
      </w:r>
      <w:r>
        <w:t>This</w:t>
      </w:r>
      <w:r w:rsidR="00D23ECC">
        <w:t xml:space="preserve"> </w:t>
      </w:r>
      <w:r>
        <w:t>includes</w:t>
      </w:r>
      <w:r w:rsidR="00D23ECC">
        <w:t xml:space="preserve"> </w:t>
      </w:r>
      <w:r>
        <w:t>evaluating</w:t>
      </w:r>
      <w:r w:rsidR="00D23ECC">
        <w:t xml:space="preserve"> </w:t>
      </w:r>
      <w:r>
        <w:t>applications,</w:t>
      </w:r>
      <w:r w:rsidR="00D23ECC">
        <w:t xml:space="preserve"> </w:t>
      </w:r>
      <w:r>
        <w:t>making</w:t>
      </w:r>
      <w:r w:rsidR="00D23ECC">
        <w:t xml:space="preserve"> </w:t>
      </w:r>
      <w:r>
        <w:t>recommendations</w:t>
      </w:r>
      <w:r w:rsidR="00D23ECC">
        <w:t xml:space="preserve"> </w:t>
      </w:r>
      <w:r>
        <w:t>about</w:t>
      </w:r>
      <w:r w:rsidR="00D23ECC">
        <w:t xml:space="preserve"> </w:t>
      </w:r>
      <w:r>
        <w:t>proposals</w:t>
      </w:r>
      <w:r w:rsidR="00D23ECC">
        <w:t xml:space="preserve"> </w:t>
      </w:r>
      <w:r>
        <w:t>to</w:t>
      </w:r>
      <w:r w:rsidR="00D23ECC">
        <w:t xml:space="preserve"> </w:t>
      </w:r>
      <w:r>
        <w:t>the</w:t>
      </w:r>
      <w:r w:rsidR="00D23ECC">
        <w:t xml:space="preserve"> </w:t>
      </w:r>
      <w:r>
        <w:t>Minister,</w:t>
      </w:r>
      <w:r w:rsidR="00D23ECC">
        <w:t xml:space="preserve"> </w:t>
      </w:r>
      <w:r>
        <w:t>and</w:t>
      </w:r>
      <w:r w:rsidR="00D23ECC">
        <w:t xml:space="preserve"> </w:t>
      </w:r>
      <w:r>
        <w:t>administering</w:t>
      </w:r>
      <w:r w:rsidR="00D23ECC">
        <w:t xml:space="preserve"> </w:t>
      </w:r>
      <w:r>
        <w:t>the</w:t>
      </w:r>
      <w:r w:rsidR="00D23ECC">
        <w:t xml:space="preserve"> </w:t>
      </w:r>
      <w:r>
        <w:t>grants.</w:t>
      </w:r>
    </w:p>
    <w:p w14:paraId="5917B7AA" w14:textId="75F75254" w:rsidR="00DE3B0D" w:rsidRDefault="00DE3B0D" w:rsidP="00D23ECC">
      <w:pPr>
        <w:pStyle w:val="BodyText"/>
      </w:pPr>
      <w:r>
        <w:t>In</w:t>
      </w:r>
      <w:r w:rsidR="00D23ECC">
        <w:t xml:space="preserve"> </w:t>
      </w:r>
      <w:r>
        <w:t>2020–21,</w:t>
      </w:r>
      <w:r w:rsidR="00D23ECC">
        <w:t xml:space="preserve"> </w:t>
      </w:r>
      <w:r>
        <w:t>more</w:t>
      </w:r>
      <w:r w:rsidR="00D23ECC">
        <w:t xml:space="preserve"> </w:t>
      </w:r>
      <w:r>
        <w:t>than</w:t>
      </w:r>
      <w:r w:rsidR="00D23ECC">
        <w:t xml:space="preserve"> </w:t>
      </w:r>
      <w:r>
        <w:t>$7.7</w:t>
      </w:r>
      <w:r w:rsidR="00D23ECC">
        <w:t xml:space="preserve"> </w:t>
      </w:r>
      <w:r>
        <w:t>million</w:t>
      </w:r>
      <w:r w:rsidR="00D23ECC">
        <w:t xml:space="preserve"> </w:t>
      </w:r>
      <w:r>
        <w:t>was</w:t>
      </w:r>
      <w:r w:rsidR="00D23ECC">
        <w:t xml:space="preserve"> </w:t>
      </w:r>
      <w:r>
        <w:t>spent</w:t>
      </w:r>
      <w:r w:rsidR="00D23ECC">
        <w:t xml:space="preserve"> </w:t>
      </w:r>
      <w:r>
        <w:t>on</w:t>
      </w:r>
      <w:r w:rsidR="00D23ECC">
        <w:t xml:space="preserve"> </w:t>
      </w:r>
      <w:r>
        <w:t>existing</w:t>
      </w:r>
      <w:r w:rsidR="00D23ECC">
        <w:t xml:space="preserve"> </w:t>
      </w:r>
      <w:r>
        <w:t>grants</w:t>
      </w:r>
      <w:r w:rsidR="00D23ECC">
        <w:t xml:space="preserve"> </w:t>
      </w:r>
      <w:r>
        <w:t>to</w:t>
      </w:r>
      <w:r w:rsidR="00D23ECC">
        <w:t xml:space="preserve"> </w:t>
      </w:r>
      <w:r>
        <w:t>community</w:t>
      </w:r>
      <w:r w:rsidR="00D23ECC">
        <w:t xml:space="preserve"> </w:t>
      </w:r>
      <w:r>
        <w:t>organisations</w:t>
      </w:r>
      <w:r w:rsidR="00D23ECC">
        <w:t xml:space="preserve"> </w:t>
      </w:r>
      <w:r>
        <w:t>to</w:t>
      </w:r>
      <w:r w:rsidR="00FE6587">
        <w:t> </w:t>
      </w:r>
      <w:r>
        <w:t>deliver</w:t>
      </w:r>
      <w:r w:rsidR="00FE6587">
        <w:t> </w:t>
      </w:r>
      <w:r>
        <w:t>estate</w:t>
      </w:r>
      <w:r w:rsidR="00D23ECC">
        <w:t xml:space="preserve"> </w:t>
      </w:r>
      <w:r>
        <w:t>agent</w:t>
      </w:r>
      <w:r w:rsidR="00D23ECC">
        <w:t xml:space="preserve"> </w:t>
      </w:r>
      <w:r>
        <w:t>professional</w:t>
      </w:r>
      <w:r w:rsidR="00D23ECC">
        <w:t xml:space="preserve"> </w:t>
      </w:r>
      <w:r>
        <w:t>development</w:t>
      </w:r>
      <w:r w:rsidR="00D23ECC">
        <w:t xml:space="preserve"> </w:t>
      </w:r>
      <w:r>
        <w:t>training,</w:t>
      </w:r>
      <w:r w:rsidR="00D23ECC">
        <w:t xml:space="preserve"> </w:t>
      </w:r>
      <w:r>
        <w:t>social</w:t>
      </w:r>
      <w:r w:rsidR="00D23ECC">
        <w:t xml:space="preserve"> </w:t>
      </w:r>
      <w:r>
        <w:t>housing</w:t>
      </w:r>
      <w:r w:rsidR="00D23ECC">
        <w:t xml:space="preserve"> </w:t>
      </w:r>
      <w:r>
        <w:t>development</w:t>
      </w:r>
      <w:r w:rsidR="00D23ECC">
        <w:t xml:space="preserve"> </w:t>
      </w:r>
      <w:r>
        <w:t>and</w:t>
      </w:r>
      <w:r w:rsidR="00D23ECC">
        <w:t xml:space="preserve"> </w:t>
      </w:r>
      <w:r>
        <w:t>environmental</w:t>
      </w:r>
      <w:r w:rsidR="00D23ECC">
        <w:t xml:space="preserve"> </w:t>
      </w:r>
      <w:r>
        <w:t>housing</w:t>
      </w:r>
      <w:r w:rsidR="00D23ECC">
        <w:t xml:space="preserve"> </w:t>
      </w:r>
      <w:r>
        <w:t>development</w:t>
      </w:r>
      <w:r w:rsidR="00D23ECC">
        <w:t xml:space="preserve"> </w:t>
      </w:r>
      <w:r>
        <w:t>projects.</w:t>
      </w:r>
      <w:r w:rsidR="00D23ECC">
        <w:t xml:space="preserve"> </w:t>
      </w:r>
      <w:r>
        <w:t>The</w:t>
      </w:r>
      <w:r w:rsidR="00D23ECC">
        <w:t xml:space="preserve"> </w:t>
      </w:r>
      <w:r>
        <w:t>table</w:t>
      </w:r>
      <w:r w:rsidR="00D23ECC">
        <w:t xml:space="preserve"> </w:t>
      </w:r>
      <w:r>
        <w:t>below</w:t>
      </w:r>
      <w:r w:rsidR="00D23ECC">
        <w:t xml:space="preserve"> </w:t>
      </w:r>
      <w:r>
        <w:t>details</w:t>
      </w:r>
      <w:r w:rsidR="00D23ECC">
        <w:t xml:space="preserve"> </w:t>
      </w:r>
      <w:r>
        <w:t>this</w:t>
      </w:r>
      <w:r w:rsidR="00D23ECC">
        <w:t xml:space="preserve"> </w:t>
      </w:r>
      <w:r>
        <w:t>year’s</w:t>
      </w:r>
      <w:r w:rsidR="00D23ECC">
        <w:t xml:space="preserve"> </w:t>
      </w:r>
      <w:r>
        <w:t>grant</w:t>
      </w:r>
      <w:r w:rsidR="00D23ECC">
        <w:t xml:space="preserve"> </w:t>
      </w:r>
      <w:r>
        <w:t>expenditure</w:t>
      </w:r>
      <w:r w:rsidR="00D23ECC">
        <w:t xml:space="preserve"> </w:t>
      </w:r>
      <w:r>
        <w:t>by</w:t>
      </w:r>
      <w:r w:rsidR="00FE6587">
        <w:t> </w:t>
      </w:r>
      <w:r>
        <w:t>purpose</w:t>
      </w:r>
      <w:r w:rsidR="00D23ECC">
        <w:t xml:space="preserve"> </w:t>
      </w:r>
      <w:r>
        <w:t>and</w:t>
      </w:r>
      <w:r w:rsidR="00D23ECC">
        <w:t xml:space="preserve"> </w:t>
      </w:r>
      <w:r>
        <w:t>recipients.</w:t>
      </w:r>
      <w:r w:rsidR="00D23ECC">
        <w:t xml:space="preserve"> </w:t>
      </w:r>
      <w:r>
        <w:t>No</w:t>
      </w:r>
      <w:r w:rsidR="00D23ECC">
        <w:t xml:space="preserve"> </w:t>
      </w:r>
      <w:r>
        <w:t>new</w:t>
      </w:r>
      <w:r w:rsidR="00D23ECC">
        <w:t xml:space="preserve"> </w:t>
      </w:r>
      <w:r>
        <w:t>grants</w:t>
      </w:r>
      <w:r w:rsidR="00D23ECC">
        <w:t xml:space="preserve"> </w:t>
      </w:r>
      <w:r>
        <w:t>were</w:t>
      </w:r>
      <w:r w:rsidR="00D23ECC">
        <w:t xml:space="preserve"> </w:t>
      </w:r>
      <w:r>
        <w:t>awarded</w:t>
      </w:r>
      <w:r w:rsidR="00D23ECC">
        <w:t xml:space="preserve"> </w:t>
      </w:r>
      <w:r>
        <w:t>from</w:t>
      </w:r>
      <w:r w:rsidR="00D23ECC">
        <w:t xml:space="preserve"> </w:t>
      </w:r>
      <w:r>
        <w:t>the</w:t>
      </w:r>
      <w:r w:rsidR="00D23ECC">
        <w:t xml:space="preserve"> </w:t>
      </w:r>
      <w:r>
        <w:t>VPF</w:t>
      </w:r>
      <w:r w:rsidR="00D23ECC">
        <w:t xml:space="preserve"> </w:t>
      </w:r>
      <w:r>
        <w:t>in</w:t>
      </w:r>
      <w:r w:rsidR="00D23ECC">
        <w:t xml:space="preserve"> </w:t>
      </w:r>
      <w:r>
        <w:t>2020–21.</w:t>
      </w:r>
    </w:p>
    <w:tbl>
      <w:tblPr>
        <w:tblStyle w:val="TableGrid"/>
        <w:tblW w:w="9072" w:type="dxa"/>
        <w:tblLayout w:type="fixed"/>
        <w:tblLook w:val="00A0" w:firstRow="1" w:lastRow="0" w:firstColumn="1" w:lastColumn="0" w:noHBand="0" w:noVBand="0"/>
      </w:tblPr>
      <w:tblGrid>
        <w:gridCol w:w="2299"/>
        <w:gridCol w:w="5271"/>
        <w:gridCol w:w="1502"/>
      </w:tblGrid>
      <w:tr w:rsidR="00DE3B0D" w14:paraId="06194B8D" w14:textId="77777777" w:rsidTr="00336D25">
        <w:trPr>
          <w:cnfStyle w:val="100000000000" w:firstRow="1" w:lastRow="0" w:firstColumn="0" w:lastColumn="0" w:oddVBand="0" w:evenVBand="0" w:oddHBand="0" w:evenHBand="0" w:firstRowFirstColumn="0" w:firstRowLastColumn="0" w:lastRowFirstColumn="0" w:lastRowLastColumn="0"/>
          <w:trHeight w:val="300"/>
          <w:tblHeader/>
        </w:trPr>
        <w:tc>
          <w:tcPr>
            <w:tcW w:w="2438" w:type="dxa"/>
          </w:tcPr>
          <w:p w14:paraId="7DEDED17" w14:textId="6A3CB417" w:rsidR="00DE3B0D" w:rsidRDefault="00DE3B0D" w:rsidP="00A95E63">
            <w:pPr>
              <w:pStyle w:val="TableColHead"/>
            </w:pPr>
            <w:r>
              <w:t>Grant</w:t>
            </w:r>
            <w:r w:rsidR="00D23ECC">
              <w:t xml:space="preserve"> </w:t>
            </w:r>
            <w:r>
              <w:t>purpose</w:t>
            </w:r>
            <w:r w:rsidR="00D23ECC">
              <w:t xml:space="preserve"> </w:t>
            </w:r>
            <w:r>
              <w:t>under</w:t>
            </w:r>
            <w:r w:rsidR="00D23ECC">
              <w:t xml:space="preserve"> </w:t>
            </w:r>
            <w:r>
              <w:t>Section</w:t>
            </w:r>
            <w:r w:rsidR="00D23ECC">
              <w:t xml:space="preserve"> </w:t>
            </w:r>
            <w:r>
              <w:t>76(3)</w:t>
            </w:r>
            <w:r w:rsidR="00D23ECC">
              <w:t xml:space="preserve"> </w:t>
            </w:r>
            <w:r w:rsidRPr="00FE6587">
              <w:rPr>
                <w:i/>
                <w:iCs/>
              </w:rPr>
              <w:t>Estate</w:t>
            </w:r>
            <w:r w:rsidR="00D23ECC" w:rsidRPr="00FE6587">
              <w:rPr>
                <w:i/>
                <w:iCs/>
              </w:rPr>
              <w:t xml:space="preserve"> </w:t>
            </w:r>
            <w:r w:rsidRPr="00FE6587">
              <w:rPr>
                <w:i/>
                <w:iCs/>
              </w:rPr>
              <w:t>Agents</w:t>
            </w:r>
            <w:r w:rsidR="00D23ECC" w:rsidRPr="00FE6587">
              <w:rPr>
                <w:i/>
                <w:iCs/>
              </w:rPr>
              <w:t xml:space="preserve"> </w:t>
            </w:r>
            <w:r w:rsidRPr="00FE6587">
              <w:rPr>
                <w:i/>
                <w:iCs/>
              </w:rPr>
              <w:t>Act</w:t>
            </w:r>
            <w:r w:rsidR="00D23ECC" w:rsidRPr="00FE6587">
              <w:rPr>
                <w:i/>
                <w:iCs/>
              </w:rPr>
              <w:t xml:space="preserve"> </w:t>
            </w:r>
            <w:r w:rsidRPr="00FE6587">
              <w:rPr>
                <w:i/>
                <w:iCs/>
              </w:rPr>
              <w:t>1980</w:t>
            </w:r>
          </w:p>
        </w:tc>
        <w:tc>
          <w:tcPr>
            <w:tcW w:w="5612" w:type="dxa"/>
          </w:tcPr>
          <w:p w14:paraId="2BAD979F" w14:textId="77777777" w:rsidR="00DE3B0D" w:rsidRDefault="00DE3B0D" w:rsidP="00A95E63">
            <w:pPr>
              <w:pStyle w:val="TableColHead"/>
            </w:pPr>
            <w:r>
              <w:t>Recipients</w:t>
            </w:r>
          </w:p>
        </w:tc>
        <w:tc>
          <w:tcPr>
            <w:tcW w:w="1588" w:type="dxa"/>
          </w:tcPr>
          <w:p w14:paraId="3D9E89CD" w14:textId="574361F5" w:rsidR="00DE3B0D" w:rsidRDefault="00DE3B0D" w:rsidP="00A95E63">
            <w:pPr>
              <w:pStyle w:val="TableColHeadRight"/>
            </w:pPr>
            <w:r>
              <w:t>2020–21</w:t>
            </w:r>
            <w:r w:rsidR="00D23ECC">
              <w:t xml:space="preserve"> </w:t>
            </w:r>
            <w:r>
              <w:t>expenditure</w:t>
            </w:r>
            <w:r w:rsidR="00D23ECC">
              <w:t xml:space="preserve"> </w:t>
            </w:r>
          </w:p>
        </w:tc>
      </w:tr>
      <w:tr w:rsidR="00DE3B0D" w14:paraId="609981E7" w14:textId="77777777" w:rsidTr="00336D25">
        <w:trPr>
          <w:trHeight w:val="300"/>
        </w:trPr>
        <w:tc>
          <w:tcPr>
            <w:tcW w:w="2438" w:type="dxa"/>
          </w:tcPr>
          <w:p w14:paraId="13741E0B" w14:textId="6B74CD22" w:rsidR="00DE3B0D" w:rsidRDefault="00DE3B0D" w:rsidP="00A95E63">
            <w:pPr>
              <w:pStyle w:val="TableText"/>
            </w:pPr>
            <w:r>
              <w:t>Estate</w:t>
            </w:r>
            <w:r w:rsidR="00D23ECC">
              <w:t xml:space="preserve"> </w:t>
            </w:r>
            <w:r>
              <w:t>agent</w:t>
            </w:r>
            <w:r w:rsidR="00D23ECC">
              <w:t xml:space="preserve"> </w:t>
            </w:r>
            <w:r>
              <w:t>training</w:t>
            </w:r>
          </w:p>
        </w:tc>
        <w:tc>
          <w:tcPr>
            <w:tcW w:w="5612" w:type="dxa"/>
          </w:tcPr>
          <w:p w14:paraId="68B139DA" w14:textId="57857A41" w:rsidR="00DE3B0D" w:rsidRDefault="00DE3B0D" w:rsidP="00A95E63">
            <w:pPr>
              <w:pStyle w:val="TableText"/>
            </w:pPr>
            <w:r>
              <w:t>Real</w:t>
            </w:r>
            <w:r w:rsidR="00D23ECC">
              <w:t xml:space="preserve"> </w:t>
            </w:r>
            <w:r>
              <w:t>Estate</w:t>
            </w:r>
            <w:r w:rsidR="00D23ECC">
              <w:t xml:space="preserve"> </w:t>
            </w:r>
            <w:r>
              <w:t>Institute</w:t>
            </w:r>
            <w:r w:rsidR="00D23ECC">
              <w:t xml:space="preserve"> </w:t>
            </w:r>
            <w:r>
              <w:t>Victoria</w:t>
            </w:r>
          </w:p>
          <w:p w14:paraId="72054053" w14:textId="1EE23B3D" w:rsidR="00DE3B0D" w:rsidRDefault="00DE3B0D" w:rsidP="00A95E63">
            <w:pPr>
              <w:pStyle w:val="TableText"/>
            </w:pPr>
            <w:r>
              <w:t>Australian</w:t>
            </w:r>
            <w:r w:rsidR="00D23ECC">
              <w:t xml:space="preserve"> </w:t>
            </w:r>
            <w:r>
              <w:t>Livestock</w:t>
            </w:r>
            <w:r w:rsidR="00D23ECC">
              <w:t xml:space="preserve"> </w:t>
            </w:r>
            <w:r>
              <w:t>and</w:t>
            </w:r>
            <w:r w:rsidR="00D23ECC">
              <w:t xml:space="preserve"> </w:t>
            </w:r>
            <w:r>
              <w:t>Property</w:t>
            </w:r>
            <w:r w:rsidR="00D23ECC">
              <w:t xml:space="preserve"> </w:t>
            </w:r>
            <w:r>
              <w:t>Agents</w:t>
            </w:r>
            <w:r w:rsidR="00D23ECC">
              <w:t xml:space="preserve"> </w:t>
            </w:r>
            <w:r>
              <w:t>Association</w:t>
            </w:r>
          </w:p>
        </w:tc>
        <w:tc>
          <w:tcPr>
            <w:tcW w:w="1588" w:type="dxa"/>
          </w:tcPr>
          <w:p w14:paraId="4E81B214" w14:textId="75304A4F" w:rsidR="00DE3B0D" w:rsidRDefault="00DE3B0D" w:rsidP="00A95E63">
            <w:pPr>
              <w:pStyle w:val="TableTextRight"/>
            </w:pPr>
            <w:r>
              <w:t>$94,751</w:t>
            </w:r>
          </w:p>
        </w:tc>
      </w:tr>
      <w:tr w:rsidR="00DE3B0D" w14:paraId="4C98ED9F" w14:textId="77777777" w:rsidTr="00336D25">
        <w:trPr>
          <w:trHeight w:val="300"/>
        </w:trPr>
        <w:tc>
          <w:tcPr>
            <w:tcW w:w="2438" w:type="dxa"/>
          </w:tcPr>
          <w:p w14:paraId="7C19768C" w14:textId="7A3297CD" w:rsidR="00DE3B0D" w:rsidRDefault="00DE3B0D" w:rsidP="00A95E63">
            <w:pPr>
              <w:pStyle w:val="TableText"/>
            </w:pPr>
            <w:r>
              <w:t>Housing</w:t>
            </w:r>
            <w:r w:rsidR="00D23ECC">
              <w:t xml:space="preserve"> </w:t>
            </w:r>
            <w:r>
              <w:t>assistance</w:t>
            </w:r>
            <w:r w:rsidR="00D23ECC">
              <w:t xml:space="preserve"> </w:t>
            </w:r>
            <w:r>
              <w:t>projects</w:t>
            </w:r>
            <w:r w:rsidR="00D23ECC">
              <w:t xml:space="preserve"> </w:t>
            </w:r>
            <w:r>
              <w:t>for</w:t>
            </w:r>
            <w:r w:rsidR="00D23ECC">
              <w:t xml:space="preserve"> </w:t>
            </w:r>
            <w:r>
              <w:t>low</w:t>
            </w:r>
            <w:r>
              <w:rPr>
                <w:rFonts w:ascii="Cambria Math" w:hAnsi="Cambria Math" w:cs="Cambria Math"/>
              </w:rPr>
              <w:t>‑</w:t>
            </w:r>
            <w:r>
              <w:t>income</w:t>
            </w:r>
            <w:r w:rsidR="00D23ECC">
              <w:t xml:space="preserve"> </w:t>
            </w:r>
            <w:r>
              <w:t>or</w:t>
            </w:r>
            <w:r w:rsidR="00D23ECC">
              <w:t xml:space="preserve"> </w:t>
            </w:r>
            <w:r>
              <w:t>disadvantaged</w:t>
            </w:r>
            <w:r w:rsidR="00D23ECC">
              <w:t xml:space="preserve"> </w:t>
            </w:r>
            <w:r>
              <w:t>Victorians</w:t>
            </w:r>
          </w:p>
        </w:tc>
        <w:tc>
          <w:tcPr>
            <w:tcW w:w="5612" w:type="dxa"/>
          </w:tcPr>
          <w:p w14:paraId="77E5CDD2" w14:textId="0348ED9E" w:rsidR="00DE3B0D" w:rsidRDefault="00DE3B0D" w:rsidP="00A95E63">
            <w:pPr>
              <w:pStyle w:val="TableText"/>
            </w:pPr>
            <w:r>
              <w:t>Aboriginal</w:t>
            </w:r>
            <w:r w:rsidR="00D23ECC">
              <w:t xml:space="preserve"> </w:t>
            </w:r>
            <w:r>
              <w:t>Housing</w:t>
            </w:r>
            <w:r w:rsidR="00D23ECC">
              <w:t xml:space="preserve"> </w:t>
            </w:r>
            <w:r>
              <w:t>Victoria</w:t>
            </w:r>
          </w:p>
          <w:p w14:paraId="4615DFF5" w14:textId="1ACF4456" w:rsidR="00DE3B0D" w:rsidRDefault="00DE3B0D" w:rsidP="00A95E63">
            <w:pPr>
              <w:pStyle w:val="TableText"/>
            </w:pPr>
            <w:r>
              <w:t>Beyond</w:t>
            </w:r>
            <w:r w:rsidR="00D23ECC">
              <w:t xml:space="preserve"> </w:t>
            </w:r>
            <w:r>
              <w:t>Housing</w:t>
            </w:r>
          </w:p>
          <w:p w14:paraId="503D9EC8" w14:textId="37AEA385" w:rsidR="00DE3B0D" w:rsidRDefault="00DE3B0D" w:rsidP="00A95E63">
            <w:pPr>
              <w:pStyle w:val="TableText"/>
            </w:pPr>
            <w:r>
              <w:t>Kids</w:t>
            </w:r>
            <w:r w:rsidR="00D23ECC">
              <w:t xml:space="preserve"> </w:t>
            </w:r>
            <w:r>
              <w:t>Under</w:t>
            </w:r>
            <w:r w:rsidR="00D23ECC">
              <w:t xml:space="preserve"> </w:t>
            </w:r>
            <w:r>
              <w:t>Cover</w:t>
            </w:r>
          </w:p>
          <w:p w14:paraId="67014442" w14:textId="22F3DF5A" w:rsidR="00DE3B0D" w:rsidRDefault="00DE3B0D" w:rsidP="00A95E63">
            <w:pPr>
              <w:pStyle w:val="TableText"/>
            </w:pPr>
            <w:r>
              <w:t>Community</w:t>
            </w:r>
            <w:r w:rsidR="00D23ECC">
              <w:t xml:space="preserve"> </w:t>
            </w:r>
            <w:r>
              <w:t>Housing</w:t>
            </w:r>
            <w:r w:rsidR="00D23ECC">
              <w:t xml:space="preserve"> </w:t>
            </w:r>
            <w:r>
              <w:t>(Vic)</w:t>
            </w:r>
            <w:r w:rsidR="00D23ECC">
              <w:t xml:space="preserve"> </w:t>
            </w:r>
            <w:r>
              <w:t>Ltd</w:t>
            </w:r>
          </w:p>
          <w:p w14:paraId="36A47D81" w14:textId="36EAAF9B" w:rsidR="00DE3B0D" w:rsidRDefault="00DE3B0D" w:rsidP="00A95E63">
            <w:pPr>
              <w:pStyle w:val="TableText"/>
            </w:pPr>
            <w:r>
              <w:t>HousingFirst</w:t>
            </w:r>
            <w:r w:rsidR="00D23ECC">
              <w:t xml:space="preserve"> </w:t>
            </w:r>
            <w:r>
              <w:t>Ltd</w:t>
            </w:r>
          </w:p>
          <w:p w14:paraId="5F6F9C6C" w14:textId="7927D0E3" w:rsidR="00DE3B0D" w:rsidRDefault="00DE3B0D" w:rsidP="00A95E63">
            <w:pPr>
              <w:pStyle w:val="TableText"/>
            </w:pPr>
            <w:r>
              <w:t>Launch</w:t>
            </w:r>
            <w:r w:rsidR="00D23ECC">
              <w:t xml:space="preserve"> </w:t>
            </w:r>
            <w:r>
              <w:t>Housing</w:t>
            </w:r>
            <w:r w:rsidR="00D23ECC">
              <w:t xml:space="preserve"> </w:t>
            </w:r>
            <w:r>
              <w:t>Ltd</w:t>
            </w:r>
          </w:p>
          <w:p w14:paraId="57D0BDEA" w14:textId="72E0D70A" w:rsidR="00DE3B0D" w:rsidRDefault="00DE3B0D" w:rsidP="00A95E63">
            <w:pPr>
              <w:pStyle w:val="TableText"/>
            </w:pPr>
            <w:r>
              <w:t>Women’s</w:t>
            </w:r>
            <w:r w:rsidR="00D23ECC">
              <w:t xml:space="preserve"> </w:t>
            </w:r>
            <w:r>
              <w:t>Property</w:t>
            </w:r>
            <w:r w:rsidR="00D23ECC">
              <w:t xml:space="preserve"> </w:t>
            </w:r>
            <w:r>
              <w:t>Initiatives</w:t>
            </w:r>
          </w:p>
          <w:p w14:paraId="7E129C4F" w14:textId="7430F5D0" w:rsidR="00DE3B0D" w:rsidRDefault="00DE3B0D" w:rsidP="00A95E63">
            <w:pPr>
              <w:pStyle w:val="TableText"/>
            </w:pPr>
            <w:r>
              <w:t>Housing</w:t>
            </w:r>
            <w:r w:rsidR="00D23ECC">
              <w:t xml:space="preserve"> </w:t>
            </w:r>
            <w:r>
              <w:t>Choices</w:t>
            </w:r>
            <w:r w:rsidR="00D23ECC">
              <w:t xml:space="preserve"> </w:t>
            </w:r>
            <w:r>
              <w:t>Australia</w:t>
            </w:r>
          </w:p>
          <w:p w14:paraId="2B038EE4" w14:textId="23C61080" w:rsidR="00DE3B0D" w:rsidRDefault="00DE3B0D" w:rsidP="00A95E63">
            <w:pPr>
              <w:pStyle w:val="TableText"/>
            </w:pPr>
            <w:r>
              <w:t>Wintringham</w:t>
            </w:r>
            <w:r w:rsidR="00D23ECC">
              <w:t xml:space="preserve"> </w:t>
            </w:r>
            <w:r>
              <w:t>Housing</w:t>
            </w:r>
            <w:r w:rsidR="00D23ECC">
              <w:t xml:space="preserve"> </w:t>
            </w:r>
            <w:r>
              <w:t>Limited</w:t>
            </w:r>
          </w:p>
        </w:tc>
        <w:tc>
          <w:tcPr>
            <w:tcW w:w="1588" w:type="dxa"/>
          </w:tcPr>
          <w:p w14:paraId="428D94F9" w14:textId="77777777" w:rsidR="00DE3B0D" w:rsidRDefault="00DE3B0D" w:rsidP="00A95E63">
            <w:pPr>
              <w:pStyle w:val="TableTextRight"/>
            </w:pPr>
            <w:r>
              <w:t>$7,617,111</w:t>
            </w:r>
          </w:p>
        </w:tc>
      </w:tr>
      <w:tr w:rsidR="00DE3B0D" w14:paraId="72214C46" w14:textId="77777777" w:rsidTr="00336D25">
        <w:trPr>
          <w:trHeight w:val="300"/>
        </w:trPr>
        <w:tc>
          <w:tcPr>
            <w:tcW w:w="2438" w:type="dxa"/>
          </w:tcPr>
          <w:p w14:paraId="21E0CC73" w14:textId="25F0E5B7" w:rsidR="00DE3B0D" w:rsidRDefault="00DE3B0D" w:rsidP="00A95E63">
            <w:pPr>
              <w:pStyle w:val="TableText"/>
            </w:pPr>
            <w:r>
              <w:t>Development</w:t>
            </w:r>
            <w:r w:rsidR="00D23ECC">
              <w:t xml:space="preserve"> </w:t>
            </w:r>
            <w:r>
              <w:t>of</w:t>
            </w:r>
            <w:r w:rsidR="00D23ECC">
              <w:t xml:space="preserve"> </w:t>
            </w:r>
            <w:r>
              <w:t>environmentally</w:t>
            </w:r>
            <w:r w:rsidR="00D23ECC">
              <w:t xml:space="preserve"> </w:t>
            </w:r>
            <w:r>
              <w:t>sustainable</w:t>
            </w:r>
            <w:r w:rsidR="00D23ECC">
              <w:t xml:space="preserve"> </w:t>
            </w:r>
            <w:r>
              <w:t>housing</w:t>
            </w:r>
          </w:p>
        </w:tc>
        <w:tc>
          <w:tcPr>
            <w:tcW w:w="5612" w:type="dxa"/>
          </w:tcPr>
          <w:p w14:paraId="48100988" w14:textId="71946846" w:rsidR="00DE3B0D" w:rsidRDefault="00DE3B0D" w:rsidP="00A95E63">
            <w:pPr>
              <w:pStyle w:val="TableText"/>
            </w:pPr>
            <w:r>
              <w:t>Unison</w:t>
            </w:r>
            <w:r w:rsidR="00D23ECC">
              <w:t xml:space="preserve"> </w:t>
            </w:r>
            <w:r>
              <w:t>Housing</w:t>
            </w:r>
            <w:r w:rsidR="00D23ECC">
              <w:t xml:space="preserve"> </w:t>
            </w:r>
            <w:r>
              <w:t>Ltd</w:t>
            </w:r>
          </w:p>
          <w:p w14:paraId="2A4A7143" w14:textId="1621D290" w:rsidR="00DE3B0D" w:rsidRDefault="00DE3B0D" w:rsidP="00A95E63">
            <w:pPr>
              <w:pStyle w:val="TableText"/>
            </w:pPr>
            <w:r>
              <w:t>Community</w:t>
            </w:r>
            <w:r w:rsidR="00D23ECC">
              <w:t xml:space="preserve"> </w:t>
            </w:r>
            <w:r>
              <w:t>Housing</w:t>
            </w:r>
            <w:r w:rsidR="00D23ECC">
              <w:t xml:space="preserve"> </w:t>
            </w:r>
            <w:r>
              <w:t>(Vic)</w:t>
            </w:r>
            <w:r w:rsidR="00D23ECC">
              <w:t xml:space="preserve"> </w:t>
            </w:r>
            <w:r>
              <w:t>Ltd</w:t>
            </w:r>
          </w:p>
          <w:p w14:paraId="04E7DC6D" w14:textId="36D6E786" w:rsidR="00DE3B0D" w:rsidRDefault="00DE3B0D" w:rsidP="00A95E63">
            <w:pPr>
              <w:pStyle w:val="TableText"/>
            </w:pPr>
            <w:r>
              <w:t>Community</w:t>
            </w:r>
            <w:r w:rsidR="00D23ECC">
              <w:t xml:space="preserve"> </w:t>
            </w:r>
            <w:r>
              <w:t>Housing</w:t>
            </w:r>
            <w:r w:rsidR="00D23ECC">
              <w:t xml:space="preserve"> </w:t>
            </w:r>
            <w:r>
              <w:t>Industry</w:t>
            </w:r>
            <w:r w:rsidR="00D23ECC">
              <w:t xml:space="preserve"> </w:t>
            </w:r>
            <w:r>
              <w:t>Assoc</w:t>
            </w:r>
            <w:r w:rsidR="00D23ECC">
              <w:t xml:space="preserve"> </w:t>
            </w:r>
            <w:r>
              <w:t>of</w:t>
            </w:r>
            <w:r w:rsidR="00D23ECC">
              <w:t xml:space="preserve"> </w:t>
            </w:r>
            <w:r>
              <w:t>Victoria</w:t>
            </w:r>
          </w:p>
        </w:tc>
        <w:tc>
          <w:tcPr>
            <w:tcW w:w="1588" w:type="dxa"/>
          </w:tcPr>
          <w:p w14:paraId="4E000735" w14:textId="676CEF1C" w:rsidR="00DE3B0D" w:rsidRDefault="00DE3B0D" w:rsidP="00A95E63">
            <w:pPr>
              <w:pStyle w:val="TableTextRight"/>
            </w:pPr>
            <w:r>
              <w:t>$66,212</w:t>
            </w:r>
            <w:r w:rsidR="00D23ECC">
              <w:t xml:space="preserve"> </w:t>
            </w:r>
          </w:p>
        </w:tc>
      </w:tr>
      <w:tr w:rsidR="00DE3B0D" w14:paraId="50278BD9" w14:textId="77777777" w:rsidTr="00336D25">
        <w:trPr>
          <w:trHeight w:val="300"/>
        </w:trPr>
        <w:tc>
          <w:tcPr>
            <w:tcW w:w="2438" w:type="dxa"/>
          </w:tcPr>
          <w:p w14:paraId="02781956" w14:textId="25A96AA9" w:rsidR="00DE3B0D" w:rsidRDefault="00DE3B0D" w:rsidP="00336D25">
            <w:pPr>
              <w:pStyle w:val="TableTextBold"/>
            </w:pPr>
            <w:r>
              <w:t>Total</w:t>
            </w:r>
          </w:p>
        </w:tc>
        <w:tc>
          <w:tcPr>
            <w:tcW w:w="5612" w:type="dxa"/>
          </w:tcPr>
          <w:p w14:paraId="5470AE1D" w14:textId="77777777" w:rsidR="00DE3B0D" w:rsidRDefault="00DE3B0D" w:rsidP="00E871C1">
            <w:pPr>
              <w:pStyle w:val="TableTextBold"/>
            </w:pPr>
          </w:p>
        </w:tc>
        <w:tc>
          <w:tcPr>
            <w:tcW w:w="1588" w:type="dxa"/>
          </w:tcPr>
          <w:p w14:paraId="01D47F62" w14:textId="6664361B" w:rsidR="00DE3B0D" w:rsidRDefault="00DE3B0D" w:rsidP="00A95E63">
            <w:pPr>
              <w:pStyle w:val="TableTextRightBold"/>
            </w:pPr>
            <w:r>
              <w:t>$7,778,074</w:t>
            </w:r>
            <w:r w:rsidR="00D23ECC">
              <w:t xml:space="preserve"> </w:t>
            </w:r>
          </w:p>
        </w:tc>
      </w:tr>
    </w:tbl>
    <w:p w14:paraId="0AF3872A" w14:textId="74B4894E" w:rsidR="00DE3B0D" w:rsidRDefault="00DE3B0D" w:rsidP="00AE374E">
      <w:pPr>
        <w:pStyle w:val="Heading2"/>
      </w:pPr>
      <w:bookmarkStart w:id="31" w:name="_Toc85912301"/>
      <w:r>
        <w:lastRenderedPageBreak/>
        <w:t>Trust</w:t>
      </w:r>
      <w:r w:rsidR="00D23ECC">
        <w:t xml:space="preserve"> </w:t>
      </w:r>
      <w:r>
        <w:t>funds</w:t>
      </w:r>
      <w:r w:rsidR="00D23ECC">
        <w:t xml:space="preserve"> </w:t>
      </w:r>
      <w:r>
        <w:t>managed</w:t>
      </w:r>
      <w:r w:rsidR="00D23ECC">
        <w:t xml:space="preserve"> </w:t>
      </w:r>
      <w:r>
        <w:t>by</w:t>
      </w:r>
      <w:r w:rsidR="00773D96">
        <w:br/>
      </w:r>
      <w:r>
        <w:t>Consumer</w:t>
      </w:r>
      <w:r w:rsidR="00D23ECC">
        <w:t xml:space="preserve"> </w:t>
      </w:r>
      <w:r>
        <w:t>Affairs</w:t>
      </w:r>
      <w:r w:rsidR="00D23ECC">
        <w:t xml:space="preserve"> </w:t>
      </w:r>
      <w:r>
        <w:t>Victoria</w:t>
      </w:r>
      <w:bookmarkEnd w:id="31"/>
    </w:p>
    <w:p w14:paraId="3B9511E7" w14:textId="51FFA7EA" w:rsidR="00DE3B0D" w:rsidRDefault="00DE3B0D" w:rsidP="00D23ECC">
      <w:pPr>
        <w:pStyle w:val="BodyText"/>
      </w:pPr>
      <w:r>
        <w:t>We</w:t>
      </w:r>
      <w:r w:rsidR="00D23ECC">
        <w:t xml:space="preserve"> </w:t>
      </w:r>
      <w:r>
        <w:t>manage</w:t>
      </w:r>
      <w:r w:rsidR="00D23ECC">
        <w:t xml:space="preserve"> </w:t>
      </w:r>
      <w:r>
        <w:t>eight</w:t>
      </w:r>
      <w:r w:rsidR="00D23ECC">
        <w:t xml:space="preserve"> </w:t>
      </w:r>
      <w:r>
        <w:t>funds</w:t>
      </w:r>
      <w:r w:rsidR="00D23ECC">
        <w:t xml:space="preserve"> </w:t>
      </w:r>
      <w:r>
        <w:t>established</w:t>
      </w:r>
      <w:r w:rsidR="00D23ECC">
        <w:t xml:space="preserve"> </w:t>
      </w:r>
      <w:r>
        <w:t>by</w:t>
      </w:r>
      <w:r w:rsidR="00D23ECC">
        <w:t xml:space="preserve"> </w:t>
      </w:r>
      <w:r>
        <w:t>Acts</w:t>
      </w:r>
      <w:r w:rsidR="00D23ECC">
        <w:t xml:space="preserve"> </w:t>
      </w:r>
      <w:r>
        <w:t>of</w:t>
      </w:r>
      <w:r w:rsidR="00D23ECC">
        <w:t xml:space="preserve"> </w:t>
      </w:r>
      <w:r>
        <w:t>Parliament.</w:t>
      </w:r>
      <w:r w:rsidR="00D23ECC">
        <w:t xml:space="preserve"> </w:t>
      </w:r>
      <w:r>
        <w:t>The</w:t>
      </w:r>
      <w:r w:rsidR="00D23ECC">
        <w:t xml:space="preserve"> </w:t>
      </w:r>
      <w:r>
        <w:t>funds,</w:t>
      </w:r>
      <w:r w:rsidR="00D23ECC">
        <w:t xml:space="preserve"> </w:t>
      </w:r>
      <w:r>
        <w:t>and</w:t>
      </w:r>
      <w:r w:rsidR="00D23ECC">
        <w:t xml:space="preserve"> </w:t>
      </w:r>
      <w:r>
        <w:t>their</w:t>
      </w:r>
      <w:r w:rsidR="00D23ECC">
        <w:t xml:space="preserve"> </w:t>
      </w:r>
      <w:r>
        <w:t>expenditure</w:t>
      </w:r>
      <w:r w:rsidR="00D23ECC">
        <w:t xml:space="preserve"> </w:t>
      </w:r>
      <w:r>
        <w:t>purposes,</w:t>
      </w:r>
      <w:r w:rsidR="00D23ECC">
        <w:t xml:space="preserve"> </w:t>
      </w:r>
      <w:r>
        <w:t>are</w:t>
      </w:r>
      <w:r w:rsidR="00D23ECC">
        <w:t xml:space="preserve"> </w:t>
      </w:r>
      <w:r>
        <w:t>reflected</w:t>
      </w:r>
      <w:r w:rsidR="00D23ECC">
        <w:t xml:space="preserve"> </w:t>
      </w:r>
      <w:r>
        <w:t>in</w:t>
      </w:r>
      <w:r w:rsidR="00D23ECC">
        <w:t xml:space="preserve"> </w:t>
      </w:r>
      <w:r>
        <w:t>Table</w:t>
      </w:r>
      <w:r w:rsidR="00D23ECC">
        <w:t xml:space="preserve"> </w:t>
      </w:r>
      <w:r>
        <w:t>6.</w:t>
      </w:r>
    </w:p>
    <w:p w14:paraId="60DC94DF" w14:textId="334179B7" w:rsidR="00DE3B0D" w:rsidRDefault="00DE3B0D" w:rsidP="00A95E63">
      <w:pPr>
        <w:pStyle w:val="Caption"/>
      </w:pPr>
      <w:r>
        <w:rPr>
          <w:color w:val="000000"/>
        </w:rPr>
        <w:t>Table</w:t>
      </w:r>
      <w:r w:rsidR="00D23ECC">
        <w:rPr>
          <w:color w:val="000000"/>
        </w:rPr>
        <w:t xml:space="preserve"> </w:t>
      </w:r>
      <w:r>
        <w:rPr>
          <w:color w:val="000000"/>
        </w:rPr>
        <w:t>6:</w:t>
      </w:r>
      <w:r w:rsidR="00D23ECC">
        <w:rPr>
          <w:color w:val="000000"/>
        </w:rPr>
        <w:t xml:space="preserve"> </w:t>
      </w:r>
      <w:r>
        <w:rPr>
          <w:color w:val="000000"/>
        </w:rPr>
        <w:t>Trust</w:t>
      </w:r>
      <w:r w:rsidR="00D23ECC">
        <w:rPr>
          <w:color w:val="000000"/>
        </w:rPr>
        <w:t xml:space="preserve"> </w:t>
      </w:r>
      <w:r>
        <w:rPr>
          <w:color w:val="000000"/>
        </w:rPr>
        <w:t>funds</w:t>
      </w:r>
      <w:r w:rsidR="00D23ECC">
        <w:rPr>
          <w:color w:val="000000"/>
        </w:rPr>
        <w:t xml:space="preserve"> </w:t>
      </w:r>
      <w:r>
        <w:rPr>
          <w:color w:val="000000"/>
        </w:rPr>
        <w:t>we</w:t>
      </w:r>
      <w:r w:rsidR="00D23ECC">
        <w:rPr>
          <w:color w:val="000000"/>
        </w:rPr>
        <w:t xml:space="preserve"> </w:t>
      </w:r>
      <w:r>
        <w:rPr>
          <w:color w:val="000000"/>
        </w:rPr>
        <w:t>administer</w:t>
      </w:r>
    </w:p>
    <w:tbl>
      <w:tblPr>
        <w:tblStyle w:val="TableGrid"/>
        <w:tblW w:w="9072" w:type="dxa"/>
        <w:tblLayout w:type="fixed"/>
        <w:tblLook w:val="00A0" w:firstRow="1" w:lastRow="0" w:firstColumn="1" w:lastColumn="0" w:noHBand="0" w:noVBand="0"/>
      </w:tblPr>
      <w:tblGrid>
        <w:gridCol w:w="2675"/>
        <w:gridCol w:w="6397"/>
      </w:tblGrid>
      <w:tr w:rsidR="00DE3B0D" w14:paraId="43E79867" w14:textId="77777777" w:rsidTr="00DE629A">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09481392" w14:textId="4EB06C66" w:rsidR="00DE3B0D" w:rsidRDefault="00DE3B0D" w:rsidP="00A95E63">
            <w:pPr>
              <w:pStyle w:val="TableColHead"/>
            </w:pPr>
            <w:r>
              <w:t>Trust</w:t>
            </w:r>
            <w:r w:rsidR="00D23ECC">
              <w:t xml:space="preserve"> </w:t>
            </w:r>
            <w:r>
              <w:t>fund</w:t>
            </w:r>
          </w:p>
        </w:tc>
        <w:tc>
          <w:tcPr>
            <w:tcW w:w="6803" w:type="dxa"/>
          </w:tcPr>
          <w:p w14:paraId="2D237260" w14:textId="4129A108" w:rsidR="00DE3B0D" w:rsidRDefault="00DE3B0D" w:rsidP="00A95E63">
            <w:pPr>
              <w:pStyle w:val="TableColHead"/>
            </w:pPr>
            <w:r>
              <w:t>Expenditure</w:t>
            </w:r>
            <w:r w:rsidR="00D23ECC">
              <w:t xml:space="preserve"> </w:t>
            </w:r>
            <w:r>
              <w:t>includes</w:t>
            </w:r>
          </w:p>
        </w:tc>
      </w:tr>
      <w:tr w:rsidR="00DE3B0D" w14:paraId="2AD79E73" w14:textId="77777777" w:rsidTr="00DE629A">
        <w:trPr>
          <w:trHeight w:val="60"/>
        </w:trPr>
        <w:tc>
          <w:tcPr>
            <w:tcW w:w="2835" w:type="dxa"/>
          </w:tcPr>
          <w:p w14:paraId="26CE84DB" w14:textId="3AB17A31" w:rsidR="00DE3B0D" w:rsidRDefault="00DE3B0D" w:rsidP="00A95E63">
            <w:pPr>
              <w:pStyle w:val="TableText"/>
            </w:pPr>
            <w:r>
              <w:t>Domestic</w:t>
            </w:r>
            <w:r w:rsidR="00D23ECC">
              <w:t xml:space="preserve"> </w:t>
            </w:r>
            <w:r>
              <w:t>Builders</w:t>
            </w:r>
            <w:r w:rsidR="00D23ECC">
              <w:t xml:space="preserve"> </w:t>
            </w:r>
            <w:r>
              <w:t>Fund</w:t>
            </w:r>
          </w:p>
        </w:tc>
        <w:tc>
          <w:tcPr>
            <w:tcW w:w="6803" w:type="dxa"/>
          </w:tcPr>
          <w:p w14:paraId="5BCB8C70" w14:textId="2F0593AF" w:rsidR="00DE3B0D" w:rsidRDefault="00DE3B0D" w:rsidP="00A95E63">
            <w:pPr>
              <w:pStyle w:val="TableText"/>
            </w:pPr>
            <w:r>
              <w:t>Administration</w:t>
            </w:r>
            <w:r w:rsidR="00D23ECC">
              <w:t xml:space="preserve"> </w:t>
            </w:r>
            <w:r>
              <w:t>of</w:t>
            </w:r>
            <w:r w:rsidR="00D23ECC">
              <w:t xml:space="preserve"> </w:t>
            </w:r>
            <w:r>
              <w:t>the</w:t>
            </w:r>
            <w:r w:rsidR="00D23ECC">
              <w:t xml:space="preserve"> </w:t>
            </w:r>
            <w:r w:rsidRPr="00ED78BD">
              <w:rPr>
                <w:rStyle w:val="Emphasis"/>
              </w:rPr>
              <w:t>Domestic</w:t>
            </w:r>
            <w:r w:rsidR="00D23ECC" w:rsidRPr="00ED78BD">
              <w:rPr>
                <w:rStyle w:val="Emphasis"/>
              </w:rPr>
              <w:t xml:space="preserve"> </w:t>
            </w:r>
            <w:r w:rsidRPr="00ED78BD">
              <w:rPr>
                <w:rStyle w:val="Emphasis"/>
              </w:rPr>
              <w:t>Building</w:t>
            </w:r>
            <w:r w:rsidR="00D23ECC" w:rsidRPr="00ED78BD">
              <w:rPr>
                <w:rStyle w:val="Emphasis"/>
              </w:rPr>
              <w:t xml:space="preserve"> </w:t>
            </w:r>
            <w:r w:rsidRPr="00ED78BD">
              <w:rPr>
                <w:rStyle w:val="Emphasis"/>
              </w:rPr>
              <w:t>Contracts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1995</w:t>
            </w:r>
            <w:r>
              <w:t>,</w:t>
            </w:r>
            <w:r w:rsidR="00D23ECC">
              <w:t xml:space="preserve"> </w:t>
            </w:r>
            <w:r>
              <w:t>costs</w:t>
            </w:r>
            <w:r w:rsidR="00D23ECC">
              <w:t xml:space="preserve"> </w:t>
            </w:r>
            <w:r>
              <w:t>relating</w:t>
            </w:r>
            <w:r w:rsidR="00D23ECC">
              <w:t xml:space="preserve"> </w:t>
            </w:r>
            <w:r>
              <w:t>to</w:t>
            </w:r>
            <w:r w:rsidR="00D23ECC">
              <w:t xml:space="preserve"> </w:t>
            </w:r>
            <w:r>
              <w:t>the</w:t>
            </w:r>
            <w:r w:rsidR="00D23ECC">
              <w:t xml:space="preserve"> </w:t>
            </w:r>
            <w:r>
              <w:t>Victorian</w:t>
            </w:r>
            <w:r w:rsidR="00D23ECC">
              <w:t xml:space="preserve"> </w:t>
            </w:r>
            <w:r>
              <w:t>Civil</w:t>
            </w:r>
            <w:r w:rsidR="00D23ECC">
              <w:t xml:space="preserve"> </w:t>
            </w:r>
            <w:r>
              <w:t>and</w:t>
            </w:r>
            <w:r w:rsidR="00D23ECC">
              <w:t xml:space="preserve"> </w:t>
            </w:r>
            <w:r>
              <w:t>Administrative</w:t>
            </w:r>
            <w:r w:rsidR="00D23ECC">
              <w:t xml:space="preserve"> </w:t>
            </w:r>
            <w:r>
              <w:t>Tribunal</w:t>
            </w:r>
            <w:r w:rsidR="00D23ECC">
              <w:t xml:space="preserve"> </w:t>
            </w:r>
            <w:r>
              <w:t>(VCAT)</w:t>
            </w:r>
            <w:r w:rsidR="00D23ECC">
              <w:t xml:space="preserve"> </w:t>
            </w:r>
            <w:r>
              <w:t>Building</w:t>
            </w:r>
            <w:r w:rsidR="00D23ECC">
              <w:t xml:space="preserve"> </w:t>
            </w:r>
            <w:r>
              <w:t>and</w:t>
            </w:r>
            <w:r w:rsidR="00D23ECC">
              <w:t xml:space="preserve"> </w:t>
            </w:r>
            <w:r>
              <w:t>Property</w:t>
            </w:r>
            <w:r w:rsidR="00D23ECC">
              <w:t xml:space="preserve"> </w:t>
            </w:r>
            <w:r>
              <w:t>List</w:t>
            </w:r>
            <w:r w:rsidR="00D23ECC">
              <w:t xml:space="preserve"> </w:t>
            </w:r>
            <w:r>
              <w:t>and</w:t>
            </w:r>
            <w:r w:rsidR="00D23ECC">
              <w:t xml:space="preserve"> </w:t>
            </w:r>
            <w:r>
              <w:t>Domestic</w:t>
            </w:r>
            <w:r w:rsidR="00D23ECC">
              <w:t xml:space="preserve"> </w:t>
            </w:r>
            <w:r>
              <w:t>Building</w:t>
            </w:r>
            <w:r w:rsidR="00D23ECC">
              <w:t xml:space="preserve"> </w:t>
            </w:r>
            <w:r>
              <w:t>Dispute</w:t>
            </w:r>
            <w:r w:rsidR="00D23ECC">
              <w:t xml:space="preserve"> </w:t>
            </w:r>
            <w:r>
              <w:t>Resolution</w:t>
            </w:r>
            <w:r w:rsidR="00D23ECC">
              <w:t xml:space="preserve"> </w:t>
            </w:r>
            <w:r>
              <w:t>Victoria</w:t>
            </w:r>
            <w:r w:rsidR="00D23ECC">
              <w:t xml:space="preserve"> </w:t>
            </w:r>
            <w:r>
              <w:t>(DBDRV).</w:t>
            </w:r>
          </w:p>
        </w:tc>
      </w:tr>
      <w:tr w:rsidR="00DE3B0D" w14:paraId="217EA29E" w14:textId="77777777" w:rsidTr="00DE629A">
        <w:trPr>
          <w:trHeight w:val="60"/>
        </w:trPr>
        <w:tc>
          <w:tcPr>
            <w:tcW w:w="2835" w:type="dxa"/>
          </w:tcPr>
          <w:p w14:paraId="2CE65BA0" w14:textId="5FE7BAFC" w:rsidR="00DE3B0D" w:rsidRDefault="00DE3B0D" w:rsidP="00A95E63">
            <w:pPr>
              <w:pStyle w:val="TableText"/>
            </w:pPr>
            <w:r>
              <w:t>Motor</w:t>
            </w:r>
            <w:r w:rsidR="00D23ECC">
              <w:t xml:space="preserve"> </w:t>
            </w:r>
            <w:r>
              <w:t>Car</w:t>
            </w:r>
            <w:r w:rsidR="00D23ECC">
              <w:t xml:space="preserve"> </w:t>
            </w:r>
            <w:r>
              <w:t>Traders</w:t>
            </w:r>
            <w:r w:rsidR="00D23ECC">
              <w:t xml:space="preserve"> </w:t>
            </w:r>
            <w:r>
              <w:t>Guarantee</w:t>
            </w:r>
            <w:r w:rsidR="00D23ECC">
              <w:t xml:space="preserve"> </w:t>
            </w:r>
            <w:r>
              <w:t>Fund</w:t>
            </w:r>
          </w:p>
        </w:tc>
        <w:tc>
          <w:tcPr>
            <w:tcW w:w="6803" w:type="dxa"/>
          </w:tcPr>
          <w:p w14:paraId="1C55C54C" w14:textId="264F4004" w:rsidR="00DE3B0D" w:rsidRDefault="00DE3B0D" w:rsidP="00A95E63">
            <w:pPr>
              <w:pStyle w:val="TableText"/>
            </w:pPr>
            <w:r>
              <w:t>Administration</w:t>
            </w:r>
            <w:r w:rsidR="00D23ECC">
              <w:t xml:space="preserve"> </w:t>
            </w:r>
            <w:r>
              <w:t>of</w:t>
            </w:r>
            <w:r w:rsidR="00D23ECC">
              <w:t xml:space="preserve"> </w:t>
            </w:r>
            <w:r>
              <w:t>the</w:t>
            </w:r>
            <w:r w:rsidR="00D23ECC" w:rsidRPr="00ED78BD">
              <w:rPr>
                <w:rStyle w:val="Emphasis"/>
              </w:rPr>
              <w:t xml:space="preserve"> </w:t>
            </w: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r>
              <w:t>,</w:t>
            </w:r>
            <w:r w:rsidR="00D23ECC">
              <w:t xml:space="preserve"> </w:t>
            </w:r>
            <w:r>
              <w:t>guarantee</w:t>
            </w:r>
            <w:r w:rsidR="00D23ECC">
              <w:t xml:space="preserve"> </w:t>
            </w:r>
            <w:r>
              <w:t>fund</w:t>
            </w:r>
            <w:r w:rsidR="00D23ECC">
              <w:t xml:space="preserve"> </w:t>
            </w:r>
            <w:r>
              <w:t>claims.</w:t>
            </w:r>
          </w:p>
        </w:tc>
      </w:tr>
      <w:tr w:rsidR="00DE3B0D" w14:paraId="1256D53B" w14:textId="77777777" w:rsidTr="00DE629A">
        <w:trPr>
          <w:trHeight w:val="60"/>
        </w:trPr>
        <w:tc>
          <w:tcPr>
            <w:tcW w:w="2835" w:type="dxa"/>
          </w:tcPr>
          <w:p w14:paraId="12314F1C" w14:textId="66919A75" w:rsidR="00DE3B0D" w:rsidRDefault="00DE3B0D" w:rsidP="00A95E63">
            <w:pPr>
              <w:pStyle w:val="TableText"/>
            </w:pPr>
            <w:r>
              <w:t>Residential</w:t>
            </w:r>
            <w:r w:rsidR="00D23ECC">
              <w:t xml:space="preserve"> </w:t>
            </w:r>
            <w:r>
              <w:t>Bonds</w:t>
            </w:r>
            <w:r w:rsidR="00D23ECC">
              <w:t xml:space="preserve"> </w:t>
            </w:r>
            <w:r>
              <w:t>Account</w:t>
            </w:r>
          </w:p>
        </w:tc>
        <w:tc>
          <w:tcPr>
            <w:tcW w:w="6803" w:type="dxa"/>
          </w:tcPr>
          <w:p w14:paraId="08B49222" w14:textId="661EACE4" w:rsidR="00DE3B0D" w:rsidRDefault="00DE3B0D" w:rsidP="00A95E63">
            <w:pPr>
              <w:pStyle w:val="TableText"/>
            </w:pPr>
            <w:r>
              <w:t>Bonds</w:t>
            </w:r>
            <w:r w:rsidR="00D23ECC">
              <w:t xml:space="preserve"> </w:t>
            </w:r>
            <w:r>
              <w:t>held</w:t>
            </w:r>
            <w:r w:rsidR="00D23ECC">
              <w:t xml:space="preserve"> </w:t>
            </w:r>
            <w:r>
              <w:t>on</w:t>
            </w:r>
            <w:r w:rsidR="00D23ECC">
              <w:t xml:space="preserve"> </w:t>
            </w:r>
            <w:r>
              <w:t>trust</w:t>
            </w:r>
            <w:r w:rsidR="00D23ECC">
              <w:t xml:space="preserve"> </w:t>
            </w:r>
            <w:r>
              <w:t>for</w:t>
            </w:r>
            <w:r w:rsidR="00D23ECC">
              <w:t xml:space="preserve"> </w:t>
            </w:r>
            <w:r>
              <w:t>Victorian</w:t>
            </w:r>
            <w:r w:rsidR="00D23ECC">
              <w:t xml:space="preserve"> </w:t>
            </w:r>
            <w:r>
              <w:t>tenants</w:t>
            </w:r>
            <w:r w:rsidR="00D23ECC">
              <w:t xml:space="preserve"> </w:t>
            </w:r>
            <w:r>
              <w:t>and</w:t>
            </w:r>
            <w:r w:rsidR="00D23ECC">
              <w:t xml:space="preserve"> </w:t>
            </w:r>
            <w:r>
              <w:t>landlords.</w:t>
            </w:r>
          </w:p>
        </w:tc>
      </w:tr>
      <w:tr w:rsidR="00DE3B0D" w14:paraId="1C46871F" w14:textId="77777777" w:rsidTr="00DE629A">
        <w:trPr>
          <w:trHeight w:val="60"/>
        </w:trPr>
        <w:tc>
          <w:tcPr>
            <w:tcW w:w="2835" w:type="dxa"/>
          </w:tcPr>
          <w:p w14:paraId="283EF8B9" w14:textId="574B3DF9" w:rsidR="00DE3B0D" w:rsidRDefault="00DE3B0D" w:rsidP="00A95E63">
            <w:pPr>
              <w:pStyle w:val="TableText"/>
            </w:pPr>
            <w:r>
              <w:t>Residential</w:t>
            </w:r>
            <w:r w:rsidR="00D23ECC">
              <w:t xml:space="preserve"> </w:t>
            </w:r>
            <w:r>
              <w:t>Bonds</w:t>
            </w:r>
            <w:r w:rsidR="00D23ECC">
              <w:t xml:space="preserve"> </w:t>
            </w:r>
            <w:r>
              <w:t>Investment</w:t>
            </w:r>
            <w:r w:rsidR="00D23ECC">
              <w:t xml:space="preserve"> </w:t>
            </w:r>
            <w:r>
              <w:t>Income</w:t>
            </w:r>
            <w:r w:rsidR="00D23ECC">
              <w:t xml:space="preserve"> </w:t>
            </w:r>
            <w:r>
              <w:t>Account</w:t>
            </w:r>
          </w:p>
        </w:tc>
        <w:tc>
          <w:tcPr>
            <w:tcW w:w="6803" w:type="dxa"/>
          </w:tcPr>
          <w:p w14:paraId="12D8A534" w14:textId="320BD508" w:rsidR="00DE3B0D" w:rsidRDefault="00DE3B0D" w:rsidP="00A95E63">
            <w:pPr>
              <w:pStyle w:val="TableText"/>
            </w:pPr>
            <w:r>
              <w:t>Administration</w:t>
            </w:r>
            <w:r w:rsidR="00D23ECC">
              <w:t xml:space="preserve"> </w:t>
            </w:r>
            <w:r>
              <w:t>of</w:t>
            </w:r>
            <w:r w:rsidR="00D23ECC">
              <w:t xml:space="preserve"> </w:t>
            </w:r>
            <w:r>
              <w:t>the</w:t>
            </w:r>
            <w:r w:rsidR="00D23ECC">
              <w:t xml:space="preserve"> </w:t>
            </w:r>
            <w:r>
              <w:t>Residential</w:t>
            </w:r>
            <w:r w:rsidR="00D23ECC">
              <w:t xml:space="preserve"> </w:t>
            </w:r>
            <w:r>
              <w:t>Tenancies</w:t>
            </w:r>
            <w:r w:rsidR="00D23ECC">
              <w:t xml:space="preserve"> </w:t>
            </w:r>
            <w:r>
              <w:t>Bond</w:t>
            </w:r>
            <w:r w:rsidR="00D23ECC">
              <w:t xml:space="preserve"> </w:t>
            </w:r>
            <w:r>
              <w:t>Authority,</w:t>
            </w:r>
            <w:r w:rsidR="00D23ECC">
              <w:t xml:space="preserve"> </w:t>
            </w:r>
            <w:r>
              <w:t>transfers</w:t>
            </w:r>
            <w:r w:rsidR="00D23ECC">
              <w:t xml:space="preserve"> </w:t>
            </w:r>
            <w:r>
              <w:t>to</w:t>
            </w:r>
            <w:r w:rsidR="00D23ECC">
              <w:t xml:space="preserve"> </w:t>
            </w:r>
            <w:r>
              <w:t>the</w:t>
            </w:r>
            <w:r w:rsidR="00D23ECC">
              <w:t xml:space="preserve"> </w:t>
            </w:r>
            <w:r>
              <w:t>Residential</w:t>
            </w:r>
            <w:r w:rsidR="00D23ECC">
              <w:t xml:space="preserve"> </w:t>
            </w:r>
            <w:r>
              <w:t>Tenancies</w:t>
            </w:r>
            <w:r w:rsidR="00D23ECC">
              <w:t xml:space="preserve"> </w:t>
            </w:r>
            <w:r>
              <w:t>Fund.</w:t>
            </w:r>
          </w:p>
        </w:tc>
      </w:tr>
      <w:tr w:rsidR="00DE3B0D" w14:paraId="328828B7" w14:textId="77777777" w:rsidTr="00DE629A">
        <w:trPr>
          <w:trHeight w:val="60"/>
        </w:trPr>
        <w:tc>
          <w:tcPr>
            <w:tcW w:w="2835" w:type="dxa"/>
          </w:tcPr>
          <w:p w14:paraId="58BA71D3" w14:textId="6DADFF51" w:rsidR="00DE3B0D" w:rsidRDefault="00DE3B0D" w:rsidP="00A95E63">
            <w:pPr>
              <w:pStyle w:val="TableText"/>
            </w:pPr>
            <w:r>
              <w:t>Residential</w:t>
            </w:r>
            <w:r w:rsidR="00D23ECC">
              <w:t xml:space="preserve"> </w:t>
            </w:r>
            <w:r>
              <w:t>Tenancies</w:t>
            </w:r>
            <w:r w:rsidR="00D23ECC">
              <w:t xml:space="preserve"> </w:t>
            </w:r>
            <w:r>
              <w:t>Fund</w:t>
            </w:r>
          </w:p>
        </w:tc>
        <w:tc>
          <w:tcPr>
            <w:tcW w:w="6803" w:type="dxa"/>
          </w:tcPr>
          <w:p w14:paraId="03AD8306" w14:textId="4921072B" w:rsidR="00DE3B0D" w:rsidRDefault="00DE3B0D" w:rsidP="00A95E63">
            <w:pPr>
              <w:pStyle w:val="TableText"/>
            </w:pPr>
            <w:r>
              <w:t>Administration</w:t>
            </w:r>
            <w:r w:rsidR="00D23ECC">
              <w:t xml:space="preserve"> </w:t>
            </w:r>
            <w:r>
              <w:t>of</w:t>
            </w:r>
            <w:r w:rsidR="00D23ECC">
              <w:t xml:space="preserve"> </w:t>
            </w:r>
            <w:r>
              <w:t>the</w:t>
            </w:r>
            <w:r w:rsidR="00D23ECC">
              <w:t xml:space="preserve"> </w:t>
            </w: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1997</w:t>
            </w:r>
            <w:r>
              <w:t>,</w:t>
            </w:r>
            <w:r w:rsidR="00D23ECC">
              <w:t xml:space="preserve"> </w:t>
            </w:r>
            <w:r>
              <w:t>costs</w:t>
            </w:r>
            <w:r w:rsidR="00D23ECC">
              <w:t xml:space="preserve"> </w:t>
            </w:r>
            <w:r>
              <w:t>relating</w:t>
            </w:r>
            <w:r w:rsidR="00D23ECC">
              <w:t xml:space="preserve"> </w:t>
            </w:r>
            <w:r>
              <w:t>to</w:t>
            </w:r>
            <w:r w:rsidR="00D23ECC">
              <w:t xml:space="preserve"> </w:t>
            </w:r>
            <w:r>
              <w:t>the</w:t>
            </w:r>
            <w:r w:rsidR="00D23ECC">
              <w:t xml:space="preserve"> </w:t>
            </w:r>
            <w:r>
              <w:t>VCAT</w:t>
            </w:r>
            <w:r w:rsidR="00D23ECC">
              <w:t xml:space="preserve"> </w:t>
            </w:r>
            <w:r>
              <w:t>Residential</w:t>
            </w:r>
            <w:r w:rsidR="00D23ECC">
              <w:t xml:space="preserve"> </w:t>
            </w:r>
            <w:r>
              <w:t>Tenancies</w:t>
            </w:r>
            <w:r w:rsidR="00D23ECC">
              <w:t xml:space="preserve"> </w:t>
            </w:r>
            <w:r>
              <w:t>List.</w:t>
            </w:r>
          </w:p>
        </w:tc>
      </w:tr>
      <w:tr w:rsidR="00DE3B0D" w14:paraId="55B83963" w14:textId="77777777" w:rsidTr="00DE629A">
        <w:trPr>
          <w:trHeight w:val="60"/>
        </w:trPr>
        <w:tc>
          <w:tcPr>
            <w:tcW w:w="2835" w:type="dxa"/>
          </w:tcPr>
          <w:p w14:paraId="2C8EBC6A" w14:textId="325F0E26" w:rsidR="00DE3B0D" w:rsidRDefault="00DE3B0D" w:rsidP="00A95E63">
            <w:pPr>
              <w:pStyle w:val="TableText"/>
            </w:pPr>
            <w:r>
              <w:t>Sex</w:t>
            </w:r>
            <w:r w:rsidR="00D23ECC">
              <w:t xml:space="preserve"> </w:t>
            </w:r>
            <w:r>
              <w:t>Work</w:t>
            </w:r>
            <w:r w:rsidR="00D23ECC">
              <w:t xml:space="preserve"> </w:t>
            </w:r>
            <w:r>
              <w:t>Regulation</w:t>
            </w:r>
            <w:r w:rsidR="00D23ECC">
              <w:t xml:space="preserve"> </w:t>
            </w:r>
            <w:r>
              <w:t>Fund</w:t>
            </w:r>
          </w:p>
        </w:tc>
        <w:tc>
          <w:tcPr>
            <w:tcW w:w="6803" w:type="dxa"/>
          </w:tcPr>
          <w:p w14:paraId="7ADEF05E" w14:textId="68123094" w:rsidR="00DE3B0D" w:rsidRDefault="00DE3B0D" w:rsidP="00A95E63">
            <w:pPr>
              <w:pStyle w:val="TableText"/>
            </w:pPr>
            <w:r>
              <w:t>Administration</w:t>
            </w:r>
            <w:r w:rsidR="00D23ECC">
              <w:t xml:space="preserve"> </w:t>
            </w:r>
            <w:r>
              <w:t>of</w:t>
            </w:r>
            <w:r w:rsidR="00D23ECC">
              <w:t xml:space="preserve"> </w:t>
            </w:r>
            <w:r>
              <w:t>the</w:t>
            </w:r>
            <w:r w:rsidR="00D23ECC">
              <w:t xml:space="preserve"> </w:t>
            </w:r>
            <w:r w:rsidRPr="00ED78BD">
              <w:rPr>
                <w:rStyle w:val="Emphasis"/>
              </w:rPr>
              <w:t>Sex</w:t>
            </w:r>
            <w:r w:rsidR="00D23ECC" w:rsidRPr="00ED78BD">
              <w:rPr>
                <w:rStyle w:val="Emphasis"/>
              </w:rPr>
              <w:t xml:space="preserve"> </w:t>
            </w:r>
            <w:r w:rsidRPr="00ED78BD">
              <w:rPr>
                <w:rStyle w:val="Emphasis"/>
              </w:rPr>
              <w:t>Work</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1994</w:t>
            </w:r>
            <w:r>
              <w:t>.</w:t>
            </w:r>
          </w:p>
        </w:tc>
      </w:tr>
      <w:tr w:rsidR="00DE3B0D" w14:paraId="4FE58C0F" w14:textId="77777777" w:rsidTr="00DE629A">
        <w:trPr>
          <w:trHeight w:val="60"/>
        </w:trPr>
        <w:tc>
          <w:tcPr>
            <w:tcW w:w="2835" w:type="dxa"/>
          </w:tcPr>
          <w:p w14:paraId="177E72E5" w14:textId="569205C4" w:rsidR="00DE3B0D" w:rsidRDefault="00DE3B0D" w:rsidP="00A95E63">
            <w:pPr>
              <w:pStyle w:val="TableText"/>
            </w:pPr>
            <w:r>
              <w:t>Victorian</w:t>
            </w:r>
            <w:r w:rsidR="00D23ECC">
              <w:t xml:space="preserve"> </w:t>
            </w:r>
            <w:r>
              <w:t>Consumer</w:t>
            </w:r>
            <w:r w:rsidR="00D23ECC">
              <w:t xml:space="preserve"> </w:t>
            </w:r>
            <w:r>
              <w:t>Law</w:t>
            </w:r>
            <w:r w:rsidR="00D23ECC">
              <w:t xml:space="preserve"> </w:t>
            </w:r>
            <w:r>
              <w:t>Fund</w:t>
            </w:r>
          </w:p>
        </w:tc>
        <w:tc>
          <w:tcPr>
            <w:tcW w:w="6803" w:type="dxa"/>
          </w:tcPr>
          <w:p w14:paraId="690A6C31" w14:textId="73924213" w:rsidR="00DE3B0D" w:rsidRDefault="00DE3B0D" w:rsidP="00A95E63">
            <w:pPr>
              <w:pStyle w:val="TableText"/>
            </w:pPr>
            <w:r>
              <w:t>Administration</w:t>
            </w:r>
            <w:r w:rsidR="00D23ECC">
              <w:t xml:space="preserve"> </w:t>
            </w:r>
            <w:r>
              <w:t>of</w:t>
            </w:r>
            <w:r w:rsidR="00D23ECC">
              <w:t xml:space="preserve"> </w:t>
            </w:r>
            <w:r>
              <w:t>the</w:t>
            </w:r>
            <w:r w:rsidR="00D23ECC">
              <w:t xml:space="preserve"> </w:t>
            </w: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Fair</w:t>
            </w:r>
            <w:r w:rsidR="00D23ECC" w:rsidRPr="00ED78BD">
              <w:rPr>
                <w:rStyle w:val="Emphasis"/>
              </w:rPr>
              <w:t xml:space="preserve"> </w:t>
            </w:r>
            <w:r w:rsidRPr="00ED78BD">
              <w:rPr>
                <w:rStyle w:val="Emphasis"/>
              </w:rPr>
              <w:t>Trading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r w:rsidR="00D23ECC">
              <w:t xml:space="preserve"> </w:t>
            </w:r>
            <w:r>
              <w:t>Part</w:t>
            </w:r>
            <w:r w:rsidR="00D23ECC">
              <w:t xml:space="preserve"> </w:t>
            </w:r>
            <w:r>
              <w:t>7,</w:t>
            </w:r>
            <w:r w:rsidR="00D23ECC">
              <w:t xml:space="preserve"> </w:t>
            </w:r>
            <w:r>
              <w:t>Division</w:t>
            </w:r>
            <w:r w:rsidR="00D23ECC">
              <w:t xml:space="preserve"> </w:t>
            </w:r>
            <w:r>
              <w:t>2,</w:t>
            </w:r>
            <w:r w:rsidR="00D23ECC">
              <w:t xml:space="preserve"> </w:t>
            </w:r>
            <w:r>
              <w:t>s.102A</w:t>
            </w:r>
            <w:r w:rsidR="00D23ECC">
              <w:t xml:space="preserve"> </w:t>
            </w:r>
            <w:r>
              <w:t>to</w:t>
            </w:r>
            <w:r w:rsidR="00D23ECC">
              <w:t xml:space="preserve"> </w:t>
            </w:r>
            <w:r>
              <w:t>E,</w:t>
            </w:r>
            <w:r w:rsidR="00D23ECC">
              <w:t xml:space="preserve"> </w:t>
            </w:r>
            <w:r>
              <w:t>orders</w:t>
            </w:r>
            <w:r w:rsidR="00D23ECC">
              <w:t xml:space="preserve"> </w:t>
            </w:r>
            <w:r>
              <w:t>for</w:t>
            </w:r>
            <w:r w:rsidR="00D23ECC">
              <w:t xml:space="preserve"> </w:t>
            </w:r>
            <w:r>
              <w:t>payment</w:t>
            </w:r>
            <w:r w:rsidR="00D23ECC">
              <w:t xml:space="preserve"> </w:t>
            </w:r>
            <w:r>
              <w:t>to</w:t>
            </w:r>
            <w:r w:rsidR="00D23ECC">
              <w:t xml:space="preserve"> </w:t>
            </w:r>
            <w:r>
              <w:t>non-party</w:t>
            </w:r>
            <w:r w:rsidR="00D23ECC">
              <w:t xml:space="preserve"> </w:t>
            </w:r>
            <w:r>
              <w:t>consumers,</w:t>
            </w:r>
            <w:r w:rsidR="00D23ECC">
              <w:t xml:space="preserve"> </w:t>
            </w:r>
            <w:r>
              <w:t>special</w:t>
            </w:r>
            <w:r w:rsidR="00D23ECC">
              <w:t xml:space="preserve"> </w:t>
            </w:r>
            <w:r>
              <w:t>purpose</w:t>
            </w:r>
            <w:r w:rsidR="00D23ECC">
              <w:t xml:space="preserve"> </w:t>
            </w:r>
            <w:r>
              <w:t>grants.</w:t>
            </w:r>
          </w:p>
        </w:tc>
      </w:tr>
      <w:tr w:rsidR="00DE3B0D" w14:paraId="6C83B220" w14:textId="77777777" w:rsidTr="00DE629A">
        <w:trPr>
          <w:trHeight w:val="60"/>
        </w:trPr>
        <w:tc>
          <w:tcPr>
            <w:tcW w:w="2835" w:type="dxa"/>
          </w:tcPr>
          <w:p w14:paraId="343B09BF" w14:textId="6433C64E" w:rsidR="00DE3B0D" w:rsidRDefault="00DE3B0D" w:rsidP="00A95E63">
            <w:pPr>
              <w:pStyle w:val="TableText"/>
            </w:pPr>
            <w:r>
              <w:t>Victorian</w:t>
            </w:r>
            <w:r w:rsidR="00D23ECC">
              <w:t xml:space="preserve"> </w:t>
            </w:r>
            <w:r>
              <w:t>Property</w:t>
            </w:r>
            <w:r w:rsidR="00D23ECC">
              <w:t xml:space="preserve"> </w:t>
            </w:r>
            <w:r>
              <w:t>Fund</w:t>
            </w:r>
          </w:p>
        </w:tc>
        <w:tc>
          <w:tcPr>
            <w:tcW w:w="6803" w:type="dxa"/>
          </w:tcPr>
          <w:p w14:paraId="57F1A63F" w14:textId="6BE77097" w:rsidR="00DE3B0D" w:rsidRDefault="00DE3B0D" w:rsidP="00A95E63">
            <w:pPr>
              <w:pStyle w:val="TableText"/>
            </w:pPr>
            <w:r>
              <w:t>Administration</w:t>
            </w:r>
            <w:r w:rsidR="00D23ECC">
              <w:t xml:space="preserve"> </w:t>
            </w:r>
            <w:r>
              <w:t>of</w:t>
            </w:r>
            <w:r w:rsidR="00D23ECC">
              <w:t xml:space="preserve"> </w:t>
            </w:r>
            <w:r>
              <w:t>the</w:t>
            </w:r>
            <w:r w:rsidR="00D23ECC">
              <w:t xml:space="preserve"> </w:t>
            </w: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r w:rsidR="00D23ECC">
              <w:t xml:space="preserve"> </w:t>
            </w:r>
            <w:r>
              <w:t>and</w:t>
            </w:r>
            <w:r w:rsidR="00D23ECC">
              <w:t xml:space="preserve"> </w:t>
            </w:r>
            <w:r>
              <w:t>other</w:t>
            </w:r>
            <w:r w:rsidR="00D23ECC">
              <w:t xml:space="preserve"> </w:t>
            </w:r>
            <w:r>
              <w:t>real</w:t>
            </w:r>
            <w:r w:rsidR="00D23ECC">
              <w:t xml:space="preserve"> </w:t>
            </w:r>
            <w:r>
              <w:t>estate</w:t>
            </w:r>
            <w:r w:rsidR="00D23ECC">
              <w:t xml:space="preserve"> </w:t>
            </w:r>
            <w:r>
              <w:t>related</w:t>
            </w:r>
            <w:r w:rsidR="00D23ECC">
              <w:t xml:space="preserve"> </w:t>
            </w:r>
            <w:r>
              <w:t>legislation</w:t>
            </w:r>
            <w:r w:rsidR="00D23ECC">
              <w:t xml:space="preserve"> </w:t>
            </w:r>
            <w:r>
              <w:t>as</w:t>
            </w:r>
            <w:r w:rsidR="00D23ECC">
              <w:t xml:space="preserve"> </w:t>
            </w:r>
            <w:r>
              <w:t>permitted</w:t>
            </w:r>
            <w:r w:rsidR="00D23ECC">
              <w:t xml:space="preserve"> </w:t>
            </w:r>
            <w:r>
              <w:t>by</w:t>
            </w:r>
            <w:r w:rsidR="00D23ECC">
              <w:t xml:space="preserve"> </w:t>
            </w:r>
            <w:r>
              <w:t>s.75</w:t>
            </w:r>
            <w:r w:rsidR="00D23ECC">
              <w:t xml:space="preserve"> </w:t>
            </w:r>
            <w:r>
              <w:t>of</w:t>
            </w:r>
            <w:r w:rsidR="00D23ECC">
              <w:t xml:space="preserve"> </w:t>
            </w:r>
            <w:r>
              <w:t>the</w:t>
            </w:r>
            <w:r w:rsidR="00D23ECC">
              <w:t xml:space="preserve"> </w:t>
            </w:r>
            <w:r>
              <w:t>Act,</w:t>
            </w:r>
            <w:r w:rsidR="00D23ECC">
              <w:t xml:space="preserve"> </w:t>
            </w:r>
            <w:r>
              <w:t>grants</w:t>
            </w:r>
            <w:r w:rsidR="00D23ECC">
              <w:t xml:space="preserve"> </w:t>
            </w:r>
            <w:r>
              <w:t>relating</w:t>
            </w:r>
            <w:r w:rsidR="00D23ECC">
              <w:t xml:space="preserve"> </w:t>
            </w:r>
            <w:r>
              <w:t>to</w:t>
            </w:r>
            <w:r w:rsidR="00D23ECC">
              <w:t xml:space="preserve"> </w:t>
            </w:r>
            <w:r>
              <w:t>property</w:t>
            </w:r>
            <w:r w:rsidR="00D23ECC">
              <w:t xml:space="preserve"> </w:t>
            </w:r>
            <w:r>
              <w:t>and</w:t>
            </w:r>
            <w:r w:rsidR="00D23ECC">
              <w:t xml:space="preserve"> </w:t>
            </w:r>
            <w:r>
              <w:t>housing</w:t>
            </w:r>
            <w:r w:rsidR="00D23ECC">
              <w:t xml:space="preserve"> </w:t>
            </w:r>
            <w:r>
              <w:t>as</w:t>
            </w:r>
            <w:r w:rsidR="00D23ECC">
              <w:t xml:space="preserve"> </w:t>
            </w:r>
            <w:r>
              <w:t>permitted</w:t>
            </w:r>
            <w:r w:rsidR="00D23ECC">
              <w:t xml:space="preserve"> </w:t>
            </w:r>
            <w:r>
              <w:t>by</w:t>
            </w:r>
            <w:r w:rsidR="00D23ECC">
              <w:t xml:space="preserve"> </w:t>
            </w:r>
            <w:r>
              <w:t>s.76(3)</w:t>
            </w:r>
            <w:r w:rsidR="00D23ECC">
              <w:t xml:space="preserve"> </w:t>
            </w:r>
            <w:r>
              <w:t>of</w:t>
            </w:r>
            <w:r w:rsidR="00D23ECC">
              <w:t xml:space="preserve"> </w:t>
            </w:r>
            <w:r>
              <w:t>the</w:t>
            </w:r>
            <w:r w:rsidR="00D23ECC">
              <w:t xml:space="preserve"> </w:t>
            </w:r>
            <w:r>
              <w:t>Act,</w:t>
            </w:r>
            <w:r w:rsidR="00D23ECC">
              <w:t xml:space="preserve"> </w:t>
            </w:r>
            <w:r>
              <w:t>operation</w:t>
            </w:r>
            <w:r w:rsidR="00D23ECC">
              <w:t xml:space="preserve"> </w:t>
            </w:r>
            <w:r>
              <w:t>of</w:t>
            </w:r>
            <w:r w:rsidR="00D23ECC">
              <w:t xml:space="preserve"> </w:t>
            </w:r>
            <w:r>
              <w:t>the</w:t>
            </w:r>
            <w:r w:rsidR="00D23ECC">
              <w:t xml:space="preserve"> </w:t>
            </w:r>
            <w:r>
              <w:t>Estate</w:t>
            </w:r>
            <w:r w:rsidR="00D23ECC">
              <w:t xml:space="preserve"> </w:t>
            </w:r>
            <w:r>
              <w:t>Agents</w:t>
            </w:r>
            <w:r w:rsidR="00D23ECC">
              <w:t xml:space="preserve"> </w:t>
            </w:r>
            <w:r>
              <w:t>Council,</w:t>
            </w:r>
            <w:r w:rsidR="00D23ECC">
              <w:t xml:space="preserve"> </w:t>
            </w:r>
            <w:r>
              <w:t>trust</w:t>
            </w:r>
            <w:r w:rsidR="00D23ECC">
              <w:t xml:space="preserve"> </w:t>
            </w:r>
            <w:r>
              <w:t>fund</w:t>
            </w:r>
            <w:r w:rsidR="00D23ECC">
              <w:t xml:space="preserve"> </w:t>
            </w:r>
            <w:r>
              <w:t>claims,</w:t>
            </w:r>
            <w:r w:rsidR="00D23ECC">
              <w:t xml:space="preserve"> </w:t>
            </w:r>
            <w:r>
              <w:t>costs</w:t>
            </w:r>
            <w:r w:rsidR="00D23ECC">
              <w:t xml:space="preserve"> </w:t>
            </w:r>
            <w:r>
              <w:t>relating</w:t>
            </w:r>
            <w:r w:rsidR="00D23ECC">
              <w:t xml:space="preserve"> </w:t>
            </w:r>
            <w:r>
              <w:t>to</w:t>
            </w:r>
            <w:r w:rsidR="00D23ECC">
              <w:t xml:space="preserve"> </w:t>
            </w:r>
            <w:r>
              <w:t>the</w:t>
            </w:r>
            <w:r w:rsidR="00D23ECC">
              <w:t xml:space="preserve"> </w:t>
            </w:r>
            <w:r>
              <w:t>VCAT</w:t>
            </w:r>
            <w:r w:rsidR="00D23ECC">
              <w:t xml:space="preserve"> </w:t>
            </w:r>
            <w:r>
              <w:t>Owners</w:t>
            </w:r>
            <w:r w:rsidR="00D23ECC">
              <w:t xml:space="preserve"> </w:t>
            </w:r>
            <w:r>
              <w:t>Corporation</w:t>
            </w:r>
            <w:r w:rsidR="00D23ECC">
              <w:t xml:space="preserve"> </w:t>
            </w:r>
            <w:r>
              <w:t>List.</w:t>
            </w:r>
          </w:p>
        </w:tc>
      </w:tr>
    </w:tbl>
    <w:p w14:paraId="4CED01EC" w14:textId="78701E78" w:rsidR="00DE3B0D" w:rsidRDefault="00DE3B0D" w:rsidP="00AE374E">
      <w:pPr>
        <w:pStyle w:val="Heading2"/>
      </w:pPr>
      <w:bookmarkStart w:id="32" w:name="_Toc85912302"/>
      <w:r>
        <w:lastRenderedPageBreak/>
        <w:t>Statement</w:t>
      </w:r>
      <w:r w:rsidR="00D23ECC">
        <w:t xml:space="preserve"> </w:t>
      </w:r>
      <w:r>
        <w:t>of</w:t>
      </w:r>
      <w:r w:rsidR="00D23ECC">
        <w:t xml:space="preserve"> </w:t>
      </w:r>
      <w:r>
        <w:t>Expectations</w:t>
      </w:r>
      <w:bookmarkEnd w:id="32"/>
    </w:p>
    <w:p w14:paraId="3B6F9BD8" w14:textId="3CF059F8" w:rsidR="00DE3B0D" w:rsidRDefault="00DE3B0D" w:rsidP="00D23ECC">
      <w:pPr>
        <w:pStyle w:val="BodyText"/>
      </w:pPr>
      <w:r>
        <w:t>In</w:t>
      </w:r>
      <w:r w:rsidR="00D23ECC">
        <w:t xml:space="preserve"> </w:t>
      </w:r>
      <w:r>
        <w:t>June</w:t>
      </w:r>
      <w:r w:rsidR="00D23ECC">
        <w:t xml:space="preserve"> </w:t>
      </w:r>
      <w:r>
        <w:t>2019,</w:t>
      </w:r>
      <w:r w:rsidR="00D23ECC">
        <w:t xml:space="preserve"> </w:t>
      </w:r>
      <w:r>
        <w:t>the</w:t>
      </w:r>
      <w:r w:rsidR="00D23ECC">
        <w:t xml:space="preserve"> </w:t>
      </w:r>
      <w:r>
        <w:t>previous</w:t>
      </w:r>
      <w:r w:rsidR="00D23ECC">
        <w:t xml:space="preserve"> </w:t>
      </w:r>
      <w:r>
        <w:t>Minister</w:t>
      </w:r>
      <w:r w:rsidR="00D23ECC">
        <w:t xml:space="preserve"> </w:t>
      </w:r>
      <w:r>
        <w:t>for</w:t>
      </w:r>
      <w:r w:rsidR="00D23ECC">
        <w:t xml:space="preserve"> </w:t>
      </w:r>
      <w:r>
        <w:t>Consumer</w:t>
      </w:r>
      <w:r w:rsidR="00D23ECC">
        <w:t xml:space="preserve"> </w:t>
      </w:r>
      <w:r>
        <w:t>Affairs</w:t>
      </w:r>
      <w:r w:rsidR="00D23ECC">
        <w:t xml:space="preserve"> </w:t>
      </w:r>
      <w:r>
        <w:t>issued</w:t>
      </w:r>
      <w:r w:rsidR="00D23ECC">
        <w:t xml:space="preserve"> </w:t>
      </w:r>
      <w:r>
        <w:t>a</w:t>
      </w:r>
      <w:r w:rsidR="00D23ECC">
        <w:t xml:space="preserve"> </w:t>
      </w:r>
      <w:r>
        <w:t>Statement</w:t>
      </w:r>
      <w:r w:rsidR="00D23ECC">
        <w:t xml:space="preserve"> </w:t>
      </w:r>
      <w:r>
        <w:t>of</w:t>
      </w:r>
      <w:r w:rsidR="00D23ECC">
        <w:t xml:space="preserve"> </w:t>
      </w:r>
      <w:r>
        <w:t>Expectations</w:t>
      </w:r>
      <w:r w:rsidR="00D23ECC">
        <w:t xml:space="preserve"> </w:t>
      </w:r>
      <w:r>
        <w:t>(SOE)</w:t>
      </w:r>
      <w:r w:rsidR="00D23ECC">
        <w:t xml:space="preserve"> </w:t>
      </w:r>
      <w:r>
        <w:t>to</w:t>
      </w:r>
      <w:r w:rsidR="00773D96">
        <w:t> </w:t>
      </w:r>
      <w:r>
        <w:t>Consumer</w:t>
      </w:r>
      <w:r w:rsidR="00D23ECC">
        <w:t xml:space="preserve"> </w:t>
      </w:r>
      <w:r>
        <w:t>Affairs</w:t>
      </w:r>
      <w:r w:rsidR="00D23ECC">
        <w:t xml:space="preserve"> </w:t>
      </w:r>
      <w:r>
        <w:t>Victoria</w:t>
      </w:r>
      <w:r w:rsidR="00D23ECC">
        <w:t xml:space="preserve"> </w:t>
      </w:r>
      <w:r>
        <w:t>(CAV)</w:t>
      </w:r>
      <w:r w:rsidR="00D23ECC">
        <w:t xml:space="preserve"> </w:t>
      </w:r>
      <w:r>
        <w:t>and</w:t>
      </w:r>
      <w:r w:rsidR="00D23ECC">
        <w:t xml:space="preserve"> </w:t>
      </w:r>
      <w:r>
        <w:t>the</w:t>
      </w:r>
      <w:r w:rsidR="00D23ECC">
        <w:t xml:space="preserve"> </w:t>
      </w:r>
      <w:r>
        <w:t>Business</w:t>
      </w:r>
      <w:r w:rsidR="00D23ECC">
        <w:t xml:space="preserve"> </w:t>
      </w:r>
      <w:r>
        <w:t>Licensing</w:t>
      </w:r>
      <w:r w:rsidR="00D23ECC">
        <w:t xml:space="preserve"> </w:t>
      </w:r>
      <w:r>
        <w:t>Authority</w:t>
      </w:r>
      <w:r w:rsidR="00D23ECC">
        <w:t xml:space="preserve"> </w:t>
      </w:r>
      <w:r>
        <w:t>(BLA)</w:t>
      </w:r>
      <w:r w:rsidR="00D23ECC">
        <w:t xml:space="preserve"> </w:t>
      </w:r>
      <w:r>
        <w:t>for</w:t>
      </w:r>
      <w:r w:rsidR="00D23ECC">
        <w:t xml:space="preserve"> </w:t>
      </w:r>
      <w:r>
        <w:t>2019–21.</w:t>
      </w:r>
    </w:p>
    <w:p w14:paraId="43BA7088" w14:textId="1A46F9DA" w:rsidR="00DE3B0D" w:rsidRDefault="00DE3B0D" w:rsidP="00D23ECC">
      <w:pPr>
        <w:pStyle w:val="BodyText"/>
      </w:pPr>
      <w:r>
        <w:t>This</w:t>
      </w:r>
      <w:r w:rsidR="00D23ECC">
        <w:t xml:space="preserve"> </w:t>
      </w:r>
      <w:r>
        <w:t>SOE</w:t>
      </w:r>
      <w:r w:rsidR="00D23ECC">
        <w:t xml:space="preserve"> </w:t>
      </w:r>
      <w:r>
        <w:t>set</w:t>
      </w:r>
      <w:r w:rsidR="00D23ECC">
        <w:t xml:space="preserve"> </w:t>
      </w:r>
      <w:r>
        <w:t>out</w:t>
      </w:r>
      <w:r w:rsidR="00D23ECC">
        <w:t xml:space="preserve"> </w:t>
      </w:r>
      <w:r>
        <w:t>two-year</w:t>
      </w:r>
      <w:r w:rsidR="00D23ECC">
        <w:t xml:space="preserve"> </w:t>
      </w:r>
      <w:r>
        <w:t>governance</w:t>
      </w:r>
      <w:r w:rsidR="00D23ECC">
        <w:t xml:space="preserve"> </w:t>
      </w:r>
      <w:r>
        <w:t>and</w:t>
      </w:r>
      <w:r w:rsidR="00D23ECC">
        <w:t xml:space="preserve"> </w:t>
      </w:r>
      <w:r>
        <w:t>performance</w:t>
      </w:r>
      <w:r w:rsidR="00D23ECC">
        <w:t xml:space="preserve"> </w:t>
      </w:r>
      <w:r>
        <w:t>objectives</w:t>
      </w:r>
      <w:r w:rsidR="00D23ECC">
        <w:t xml:space="preserve"> </w:t>
      </w:r>
      <w:r>
        <w:t>aimed</w:t>
      </w:r>
      <w:r w:rsidR="00D23ECC">
        <w:t xml:space="preserve"> </w:t>
      </w:r>
      <w:r>
        <w:t>at</w:t>
      </w:r>
      <w:r w:rsidR="00D23ECC">
        <w:t xml:space="preserve"> </w:t>
      </w:r>
      <w:r>
        <w:t>improving</w:t>
      </w:r>
      <w:r w:rsidR="00D23ECC">
        <w:t xml:space="preserve"> </w:t>
      </w:r>
      <w:r>
        <w:t>CAV’s</w:t>
      </w:r>
      <w:r w:rsidR="00D23ECC">
        <w:t xml:space="preserve"> </w:t>
      </w:r>
      <w:r>
        <w:t>administration</w:t>
      </w:r>
      <w:r w:rsidR="00D23ECC">
        <w:t xml:space="preserve"> </w:t>
      </w:r>
      <w:r>
        <w:t>and</w:t>
      </w:r>
      <w:r w:rsidR="00D23ECC">
        <w:t xml:space="preserve"> </w:t>
      </w:r>
      <w:r>
        <w:t>enforcement</w:t>
      </w:r>
      <w:r w:rsidR="00D23ECC">
        <w:t xml:space="preserve"> </w:t>
      </w:r>
      <w:r>
        <w:t>of</w:t>
      </w:r>
      <w:r w:rsidR="00D23ECC">
        <w:t xml:space="preserve"> </w:t>
      </w:r>
      <w:r>
        <w:t>regulation</w:t>
      </w:r>
      <w:r w:rsidR="00D23ECC">
        <w:t xml:space="preserve"> </w:t>
      </w:r>
      <w:r>
        <w:t>to</w:t>
      </w:r>
      <w:r w:rsidR="00D23ECC">
        <w:t xml:space="preserve"> </w:t>
      </w:r>
      <w:r>
        <w:t>reduce</w:t>
      </w:r>
      <w:r w:rsidR="00D23ECC">
        <w:t xml:space="preserve"> </w:t>
      </w:r>
      <w:r>
        <w:t>its</w:t>
      </w:r>
      <w:r w:rsidR="00D23ECC">
        <w:t xml:space="preserve"> </w:t>
      </w:r>
      <w:r>
        <w:t>impact</w:t>
      </w:r>
      <w:r w:rsidR="00D23ECC">
        <w:t xml:space="preserve"> </w:t>
      </w:r>
      <w:r>
        <w:t>on</w:t>
      </w:r>
      <w:r w:rsidR="00D23ECC">
        <w:t xml:space="preserve"> </w:t>
      </w:r>
      <w:r>
        <w:t>business</w:t>
      </w:r>
      <w:r w:rsidR="00D23ECC">
        <w:t xml:space="preserve"> </w:t>
      </w:r>
      <w:r>
        <w:t>and</w:t>
      </w:r>
      <w:r w:rsidR="00D23ECC">
        <w:t xml:space="preserve"> </w:t>
      </w:r>
      <w:r>
        <w:t>the</w:t>
      </w:r>
      <w:r w:rsidR="00D23ECC">
        <w:t xml:space="preserve"> </w:t>
      </w:r>
      <w:r>
        <w:t>community.</w:t>
      </w:r>
      <w:r w:rsidR="00D23ECC">
        <w:t xml:space="preserve"> </w:t>
      </w:r>
      <w:r>
        <w:t>A</w:t>
      </w:r>
      <w:r w:rsidR="00773D96">
        <w:t> </w:t>
      </w:r>
      <w:r>
        <w:t>copy</w:t>
      </w:r>
      <w:r w:rsidR="00D23ECC">
        <w:t xml:space="preserve"> </w:t>
      </w:r>
      <w:r>
        <w:t>of</w:t>
      </w:r>
      <w:r w:rsidR="00D23ECC">
        <w:t xml:space="preserve"> </w:t>
      </w:r>
      <w:r>
        <w:t>the</w:t>
      </w:r>
      <w:r w:rsidR="00D23ECC">
        <w:t xml:space="preserve"> </w:t>
      </w:r>
      <w:r>
        <w:t>SOE</w:t>
      </w:r>
      <w:r w:rsidR="00D23ECC">
        <w:t xml:space="preserve"> </w:t>
      </w:r>
      <w:r>
        <w:t>can</w:t>
      </w:r>
      <w:r w:rsidR="00D23ECC">
        <w:t xml:space="preserve"> </w:t>
      </w:r>
      <w:r>
        <w:t>be</w:t>
      </w:r>
      <w:r w:rsidR="00D23ECC">
        <w:t xml:space="preserve"> </w:t>
      </w:r>
      <w:r>
        <w:t>located</w:t>
      </w:r>
      <w:r w:rsidR="00D23ECC">
        <w:t xml:space="preserve"> </w:t>
      </w:r>
      <w:r>
        <w:t>on</w:t>
      </w:r>
      <w:r w:rsidR="00D23ECC">
        <w:t xml:space="preserve"> </w:t>
      </w:r>
      <w:r>
        <w:t>the</w:t>
      </w:r>
      <w:r w:rsidR="00D23ECC">
        <w:t xml:space="preserve"> </w:t>
      </w:r>
      <w:r>
        <w:t>CAV</w:t>
      </w:r>
      <w:r w:rsidR="00D23ECC">
        <w:t xml:space="preserve"> </w:t>
      </w:r>
      <w:r>
        <w:t>website.</w:t>
      </w:r>
    </w:p>
    <w:p w14:paraId="627BDAAF" w14:textId="07BF2128" w:rsidR="00DE3B0D" w:rsidRDefault="00DE3B0D" w:rsidP="00D23ECC">
      <w:pPr>
        <w:pStyle w:val="BodyText"/>
      </w:pPr>
      <w:r>
        <w:t>The</w:t>
      </w:r>
      <w:r w:rsidR="00D23ECC">
        <w:t xml:space="preserve"> </w:t>
      </w:r>
      <w:r>
        <w:t>performance</w:t>
      </w:r>
      <w:r w:rsidR="00D23ECC">
        <w:t xml:space="preserve"> </w:t>
      </w:r>
      <w:r>
        <w:t>objectives</w:t>
      </w:r>
      <w:r w:rsidR="00D23ECC">
        <w:t xml:space="preserve"> </w:t>
      </w:r>
      <w:r>
        <w:t>identified</w:t>
      </w:r>
      <w:r w:rsidR="00D23ECC">
        <w:t xml:space="preserve"> </w:t>
      </w:r>
      <w:r>
        <w:t>in</w:t>
      </w:r>
      <w:r w:rsidR="00D23ECC">
        <w:t xml:space="preserve"> </w:t>
      </w:r>
      <w:r>
        <w:t>the</w:t>
      </w:r>
      <w:r w:rsidR="00D23ECC">
        <w:t xml:space="preserve"> </w:t>
      </w:r>
      <w:r>
        <w:t>SOE</w:t>
      </w:r>
      <w:r w:rsidR="00D23ECC">
        <w:t xml:space="preserve"> </w:t>
      </w:r>
      <w:r>
        <w:t>fall</w:t>
      </w:r>
      <w:r w:rsidR="00D23ECC">
        <w:t xml:space="preserve"> </w:t>
      </w:r>
      <w:r>
        <w:t>under</w:t>
      </w:r>
      <w:r w:rsidR="00D23ECC">
        <w:t xml:space="preserve"> </w:t>
      </w:r>
      <w:r>
        <w:t>three</w:t>
      </w:r>
      <w:r w:rsidR="00D23ECC">
        <w:t xml:space="preserve"> </w:t>
      </w:r>
      <w:r>
        <w:t>broad</w:t>
      </w:r>
      <w:r w:rsidR="00D23ECC">
        <w:t xml:space="preserve"> </w:t>
      </w:r>
      <w:r>
        <w:t>objectives</w:t>
      </w:r>
      <w:r w:rsidR="00D23ECC">
        <w:t xml:space="preserve"> </w:t>
      </w:r>
      <w:r>
        <w:t>–</w:t>
      </w:r>
      <w:r w:rsidR="00D23ECC">
        <w:t xml:space="preserve"> </w:t>
      </w:r>
      <w:r>
        <w:t>timeliness,</w:t>
      </w:r>
      <w:r w:rsidR="00D23ECC">
        <w:t xml:space="preserve"> </w:t>
      </w:r>
      <w:r>
        <w:t>risk</w:t>
      </w:r>
      <w:r w:rsidR="00773D96">
        <w:noBreakHyphen/>
      </w:r>
      <w:r>
        <w:t>based</w:t>
      </w:r>
      <w:r w:rsidR="00D23ECC">
        <w:t xml:space="preserve"> </w:t>
      </w:r>
      <w:r>
        <w:t>strategies,</w:t>
      </w:r>
      <w:r w:rsidR="00D23ECC">
        <w:t xml:space="preserve"> </w:t>
      </w:r>
      <w:r>
        <w:t>and</w:t>
      </w:r>
      <w:r w:rsidR="00D23ECC">
        <w:t xml:space="preserve"> </w:t>
      </w:r>
      <w:r>
        <w:t>compliance-related</w:t>
      </w:r>
      <w:r w:rsidR="00D23ECC">
        <w:t xml:space="preserve"> </w:t>
      </w:r>
      <w:r>
        <w:t>assistance</w:t>
      </w:r>
      <w:r w:rsidR="00D23ECC">
        <w:t xml:space="preserve"> </w:t>
      </w:r>
      <w:r>
        <w:t>and</w:t>
      </w:r>
      <w:r w:rsidR="00D23ECC">
        <w:t xml:space="preserve"> </w:t>
      </w:r>
      <w:r>
        <w:t>advice.</w:t>
      </w:r>
    </w:p>
    <w:p w14:paraId="44815E24" w14:textId="187B5408" w:rsidR="00DE3B0D" w:rsidRPr="00B04B74" w:rsidRDefault="00DE3B0D" w:rsidP="00B04B74">
      <w:pPr>
        <w:pStyle w:val="Heading3"/>
      </w:pPr>
      <w:bookmarkStart w:id="33" w:name="_Toc85912303"/>
      <w:r w:rsidRPr="00B04B74">
        <w:t>Improved</w:t>
      </w:r>
      <w:r w:rsidR="00D23ECC" w:rsidRPr="00B04B74">
        <w:t xml:space="preserve"> </w:t>
      </w:r>
      <w:r w:rsidRPr="00B04B74">
        <w:t>timeliness</w:t>
      </w:r>
      <w:bookmarkEnd w:id="33"/>
    </w:p>
    <w:p w14:paraId="32055A81" w14:textId="11B5DD89" w:rsidR="00DE3B0D" w:rsidRDefault="00DE3B0D" w:rsidP="00D23ECC">
      <w:pPr>
        <w:pStyle w:val="BodyText"/>
      </w:pPr>
      <w:r>
        <w:t>The</w:t>
      </w:r>
      <w:r w:rsidR="00D23ECC">
        <w:t xml:space="preserve"> </w:t>
      </w:r>
      <w:r>
        <w:t>SOE</w:t>
      </w:r>
      <w:r w:rsidR="00D23ECC">
        <w:t xml:space="preserve"> </w:t>
      </w:r>
      <w:r>
        <w:t>directed</w:t>
      </w:r>
      <w:r w:rsidR="00D23ECC">
        <w:t xml:space="preserve"> </w:t>
      </w:r>
      <w:r>
        <w:t>CAV</w:t>
      </w:r>
      <w:r w:rsidR="00D23ECC">
        <w:t xml:space="preserve"> </w:t>
      </w:r>
      <w:r>
        <w:t>to</w:t>
      </w:r>
      <w:r w:rsidR="00D23ECC">
        <w:t xml:space="preserve"> </w:t>
      </w:r>
      <w:r>
        <w:t>implement</w:t>
      </w:r>
      <w:r w:rsidR="00D23ECC">
        <w:t xml:space="preserve"> </w:t>
      </w:r>
      <w:r>
        <w:t>timeliness</w:t>
      </w:r>
      <w:r w:rsidR="00D23ECC">
        <w:t xml:space="preserve"> </w:t>
      </w:r>
      <w:r>
        <w:t>measures</w:t>
      </w:r>
      <w:r w:rsidR="00D23ECC">
        <w:t xml:space="preserve"> </w:t>
      </w:r>
      <w:r>
        <w:t>to</w:t>
      </w:r>
      <w:r w:rsidR="00D23ECC">
        <w:t xml:space="preserve"> </w:t>
      </w:r>
      <w:r>
        <w:t>make</w:t>
      </w:r>
      <w:r w:rsidR="00D23ECC">
        <w:t xml:space="preserve"> </w:t>
      </w:r>
      <w:r>
        <w:t>it</w:t>
      </w:r>
      <w:r w:rsidR="00D23ECC">
        <w:t xml:space="preserve"> </w:t>
      </w:r>
      <w:r>
        <w:t>easier</w:t>
      </w:r>
      <w:r w:rsidR="00D23ECC">
        <w:t xml:space="preserve"> </w:t>
      </w:r>
      <w:r>
        <w:t>for</w:t>
      </w:r>
      <w:r w:rsidR="00D23ECC">
        <w:t xml:space="preserve"> </w:t>
      </w:r>
      <w:r>
        <w:t>businesses</w:t>
      </w:r>
      <w:r w:rsidR="00D23ECC">
        <w:t xml:space="preserve"> </w:t>
      </w:r>
      <w:r>
        <w:t>to</w:t>
      </w:r>
      <w:r w:rsidR="00D23ECC">
        <w:t xml:space="preserve"> </w:t>
      </w:r>
      <w:r>
        <w:t>complete</w:t>
      </w:r>
      <w:r w:rsidR="00D23ECC">
        <w:t xml:space="preserve"> </w:t>
      </w:r>
      <w:r>
        <w:t>online</w:t>
      </w:r>
      <w:r w:rsidR="00D23ECC">
        <w:t xml:space="preserve"> </w:t>
      </w:r>
      <w:r>
        <w:t>transactions</w:t>
      </w:r>
      <w:r w:rsidR="00D23ECC">
        <w:t xml:space="preserve"> </w:t>
      </w:r>
      <w:r>
        <w:t>and</w:t>
      </w:r>
      <w:r w:rsidR="00D23ECC">
        <w:t xml:space="preserve"> </w:t>
      </w:r>
      <w:r>
        <w:t>reduce</w:t>
      </w:r>
      <w:r w:rsidR="00D23ECC">
        <w:t xml:space="preserve"> </w:t>
      </w:r>
      <w:r>
        <w:t>red</w:t>
      </w:r>
      <w:r w:rsidR="00D23ECC">
        <w:t xml:space="preserve"> </w:t>
      </w:r>
      <w:r>
        <w:t>tape</w:t>
      </w:r>
      <w:r w:rsidR="00D23ECC">
        <w:t xml:space="preserve"> </w:t>
      </w:r>
      <w:r>
        <w:t>and</w:t>
      </w:r>
      <w:r w:rsidR="00D23ECC">
        <w:t xml:space="preserve"> </w:t>
      </w:r>
      <w:r>
        <w:t>duplication</w:t>
      </w:r>
      <w:r w:rsidR="00D23ECC">
        <w:t xml:space="preserve"> </w:t>
      </w:r>
      <w:r>
        <w:t>for</w:t>
      </w:r>
      <w:r w:rsidR="00D23ECC">
        <w:t xml:space="preserve"> </w:t>
      </w:r>
      <w:r>
        <w:t>registered</w:t>
      </w:r>
      <w:r w:rsidR="00D23ECC">
        <w:t xml:space="preserve"> </w:t>
      </w:r>
      <w:r>
        <w:t>fundraisers.</w:t>
      </w:r>
      <w:r w:rsidR="00D23ECC">
        <w:t xml:space="preserve"> </w:t>
      </w:r>
      <w:r>
        <w:t>We</w:t>
      </w:r>
      <w:r w:rsidR="00773D96">
        <w:t> </w:t>
      </w:r>
      <w:r>
        <w:t>continued</w:t>
      </w:r>
      <w:r w:rsidR="00D23ECC">
        <w:t xml:space="preserve"> </w:t>
      </w:r>
      <w:r>
        <w:t>to</w:t>
      </w:r>
      <w:r w:rsidR="00D23ECC">
        <w:t xml:space="preserve"> </w:t>
      </w:r>
      <w:r>
        <w:t>reduce</w:t>
      </w:r>
      <w:r w:rsidR="00D23ECC">
        <w:t xml:space="preserve"> </w:t>
      </w:r>
      <w:r>
        <w:t>the</w:t>
      </w:r>
      <w:r w:rsidR="00D23ECC">
        <w:t xml:space="preserve"> </w:t>
      </w:r>
      <w:r>
        <w:t>time</w:t>
      </w:r>
      <w:r w:rsidR="00D23ECC">
        <w:t xml:space="preserve"> </w:t>
      </w:r>
      <w:r>
        <w:t>required</w:t>
      </w:r>
      <w:r w:rsidR="00D23ECC">
        <w:t xml:space="preserve"> </w:t>
      </w:r>
      <w:r>
        <w:t>for</w:t>
      </w:r>
      <w:r w:rsidR="00D23ECC">
        <w:t xml:space="preserve"> </w:t>
      </w:r>
      <w:r>
        <w:t>Victorians</w:t>
      </w:r>
      <w:r w:rsidR="00D23ECC">
        <w:t xml:space="preserve"> </w:t>
      </w:r>
      <w:r>
        <w:t>to</w:t>
      </w:r>
      <w:r w:rsidR="00D23ECC">
        <w:t xml:space="preserve"> </w:t>
      </w:r>
      <w:r>
        <w:t>interact</w:t>
      </w:r>
      <w:r w:rsidR="00D23ECC">
        <w:t xml:space="preserve"> </w:t>
      </w:r>
      <w:r>
        <w:t>with</w:t>
      </w:r>
      <w:r w:rsidR="00D23ECC">
        <w:t xml:space="preserve"> </w:t>
      </w:r>
      <w:r>
        <w:t>us</w:t>
      </w:r>
      <w:r w:rsidR="00D23ECC">
        <w:t xml:space="preserve"> </w:t>
      </w:r>
      <w:r>
        <w:t>via</w:t>
      </w:r>
      <w:r w:rsidR="00D23ECC">
        <w:t xml:space="preserve"> </w:t>
      </w:r>
      <w:r>
        <w:t>more</w:t>
      </w:r>
      <w:r w:rsidR="00D23ECC">
        <w:t xml:space="preserve"> </w:t>
      </w:r>
      <w:r>
        <w:t>efficient</w:t>
      </w:r>
      <w:r w:rsidR="00D23ECC">
        <w:t xml:space="preserve"> </w:t>
      </w:r>
      <w:r>
        <w:t>digital</w:t>
      </w:r>
      <w:r w:rsidR="00773D96">
        <w:t> </w:t>
      </w:r>
      <w:r>
        <w:t>services.</w:t>
      </w:r>
    </w:p>
    <w:p w14:paraId="126DCF06" w14:textId="57B96920" w:rsidR="00DE3B0D" w:rsidRDefault="00DE3B0D" w:rsidP="00D23ECC">
      <w:pPr>
        <w:pStyle w:val="BodyText"/>
      </w:pPr>
      <w:r>
        <w:t>We</w:t>
      </w:r>
      <w:r w:rsidR="00D23ECC">
        <w:t xml:space="preserve"> </w:t>
      </w:r>
      <w:r>
        <w:t>launched</w:t>
      </w:r>
      <w:r w:rsidR="00D23ECC">
        <w:t xml:space="preserve"> </w:t>
      </w:r>
      <w:r>
        <w:t>new,</w:t>
      </w:r>
      <w:r w:rsidR="00D23ECC">
        <w:t xml:space="preserve"> </w:t>
      </w:r>
      <w:r>
        <w:t>easy</w:t>
      </w:r>
      <w:r w:rsidR="00D23ECC">
        <w:t xml:space="preserve"> </w:t>
      </w:r>
      <w:r>
        <w:t>to</w:t>
      </w:r>
      <w:r w:rsidR="00D23ECC">
        <w:t xml:space="preserve"> </w:t>
      </w:r>
      <w:r>
        <w:t>use</w:t>
      </w:r>
      <w:r w:rsidR="00D23ECC">
        <w:t xml:space="preserve"> </w:t>
      </w:r>
      <w:r>
        <w:t>online</w:t>
      </w:r>
      <w:r w:rsidR="00D23ECC">
        <w:t xml:space="preserve"> </w:t>
      </w:r>
      <w:r>
        <w:t>forms</w:t>
      </w:r>
      <w:r w:rsidR="00D23ECC">
        <w:t xml:space="preserve"> </w:t>
      </w:r>
      <w:r>
        <w:t>to</w:t>
      </w:r>
      <w:r w:rsidR="00D23ECC">
        <w:t xml:space="preserve"> </w:t>
      </w:r>
      <w:r>
        <w:t>save</w:t>
      </w:r>
      <w:r w:rsidR="00D23ECC">
        <w:t xml:space="preserve"> </w:t>
      </w:r>
      <w:r>
        <w:t>time</w:t>
      </w:r>
      <w:r w:rsidR="00D23ECC">
        <w:t xml:space="preserve"> </w:t>
      </w:r>
      <w:r>
        <w:t>for</w:t>
      </w:r>
      <w:r w:rsidR="00D23ECC">
        <w:t xml:space="preserve"> </w:t>
      </w:r>
      <w:r>
        <w:t>motor</w:t>
      </w:r>
      <w:r w:rsidR="00D23ECC">
        <w:t xml:space="preserve"> </w:t>
      </w:r>
      <w:r>
        <w:t>car</w:t>
      </w:r>
      <w:r w:rsidR="00D23ECC">
        <w:t xml:space="preserve"> </w:t>
      </w:r>
      <w:r>
        <w:t>traders,</w:t>
      </w:r>
      <w:r w:rsidR="00D23ECC">
        <w:t xml:space="preserve"> </w:t>
      </w:r>
      <w:r>
        <w:t>second-hand</w:t>
      </w:r>
      <w:r w:rsidR="00D23ECC">
        <w:t xml:space="preserve"> </w:t>
      </w:r>
      <w:r>
        <w:t>dealers</w:t>
      </w:r>
      <w:r w:rsidR="00D23ECC">
        <w:t xml:space="preserve"> </w:t>
      </w:r>
      <w:r>
        <w:t>and</w:t>
      </w:r>
      <w:r w:rsidR="00D23ECC">
        <w:t xml:space="preserve"> </w:t>
      </w:r>
      <w:r>
        <w:t>pawnbrokers</w:t>
      </w:r>
      <w:r w:rsidR="00D23ECC">
        <w:t xml:space="preserve"> </w:t>
      </w:r>
      <w:r>
        <w:t>to</w:t>
      </w:r>
      <w:r w:rsidR="00D23ECC">
        <w:t xml:space="preserve"> </w:t>
      </w:r>
      <w:r>
        <w:t>update</w:t>
      </w:r>
      <w:r w:rsidR="00D23ECC">
        <w:t xml:space="preserve"> </w:t>
      </w:r>
      <w:r>
        <w:t>their</w:t>
      </w:r>
      <w:r w:rsidR="00D23ECC">
        <w:t xml:space="preserve"> </w:t>
      </w:r>
      <w:r>
        <w:t>registration</w:t>
      </w:r>
      <w:r w:rsidR="00D23ECC">
        <w:t xml:space="preserve"> </w:t>
      </w:r>
      <w:r>
        <w:t>details.</w:t>
      </w:r>
      <w:r w:rsidR="00D23ECC">
        <w:t xml:space="preserve"> </w:t>
      </w:r>
      <w:r>
        <w:t>Work</w:t>
      </w:r>
      <w:r w:rsidR="00D23ECC">
        <w:t xml:space="preserve"> </w:t>
      </w:r>
      <w:r>
        <w:t>continued</w:t>
      </w:r>
      <w:r w:rsidR="00D23ECC">
        <w:t xml:space="preserve"> </w:t>
      </w:r>
      <w:r>
        <w:t>to</w:t>
      </w:r>
      <w:r w:rsidR="00D23ECC">
        <w:t xml:space="preserve"> </w:t>
      </w:r>
      <w:r>
        <w:t>develop</w:t>
      </w:r>
      <w:r w:rsidR="00D23ECC">
        <w:t xml:space="preserve"> </w:t>
      </w:r>
      <w:r>
        <w:t>our</w:t>
      </w:r>
      <w:r w:rsidR="00D23ECC">
        <w:t xml:space="preserve"> </w:t>
      </w:r>
      <w:r>
        <w:t>digital</w:t>
      </w:r>
      <w:r w:rsidR="00D23ECC">
        <w:t xml:space="preserve"> </w:t>
      </w:r>
      <w:r>
        <w:t>platform,</w:t>
      </w:r>
      <w:r w:rsidR="00D23ECC">
        <w:t xml:space="preserve"> </w:t>
      </w:r>
      <w:r>
        <w:t>myCAV,</w:t>
      </w:r>
      <w:r w:rsidR="00D23ECC">
        <w:t xml:space="preserve"> </w:t>
      </w:r>
      <w:r>
        <w:t>to</w:t>
      </w:r>
      <w:r w:rsidR="00D23ECC">
        <w:t xml:space="preserve"> </w:t>
      </w:r>
      <w:r>
        <w:t>support</w:t>
      </w:r>
      <w:r w:rsidR="00D23ECC">
        <w:t xml:space="preserve"> </w:t>
      </w:r>
      <w:r>
        <w:t>the</w:t>
      </w:r>
      <w:r w:rsidR="00D23ECC">
        <w:t xml:space="preserve"> </w:t>
      </w:r>
      <w:r>
        <w:t>introduction</w:t>
      </w:r>
      <w:r w:rsidR="00D23ECC">
        <w:t xml:space="preserve"> </w:t>
      </w:r>
      <w:r>
        <w:t>of</w:t>
      </w:r>
      <w:r w:rsidR="00D23ECC">
        <w:t xml:space="preserve"> </w:t>
      </w:r>
      <w:r>
        <w:t>the</w:t>
      </w:r>
      <w:r w:rsidR="00D23ECC">
        <w:t xml:space="preserve"> </w:t>
      </w:r>
      <w:r>
        <w:t>Professional</w:t>
      </w:r>
      <w:r w:rsidR="00D23ECC">
        <w:t xml:space="preserve"> </w:t>
      </w:r>
      <w:r>
        <w:t>Engineers</w:t>
      </w:r>
      <w:r w:rsidR="00D23ECC">
        <w:t xml:space="preserve"> </w:t>
      </w:r>
      <w:r>
        <w:t>Registration</w:t>
      </w:r>
      <w:r w:rsidR="00D23ECC">
        <w:t xml:space="preserve"> </w:t>
      </w:r>
      <w:r>
        <w:t>Scheme.</w:t>
      </w:r>
    </w:p>
    <w:p w14:paraId="19ABC996" w14:textId="09236BFF" w:rsidR="00DE3B0D" w:rsidRDefault="00DE3B0D" w:rsidP="00D23ECC">
      <w:pPr>
        <w:pStyle w:val="BodyText"/>
      </w:pPr>
      <w:r>
        <w:t>In</w:t>
      </w:r>
      <w:r w:rsidR="00D23ECC">
        <w:t xml:space="preserve"> </w:t>
      </w:r>
      <w:r>
        <w:t>recognition</w:t>
      </w:r>
      <w:r w:rsidR="00D23ECC">
        <w:t xml:space="preserve"> </w:t>
      </w:r>
      <w:r>
        <w:t>of</w:t>
      </w:r>
      <w:r w:rsidR="00D23ECC">
        <w:t xml:space="preserve"> </w:t>
      </w:r>
      <w:r>
        <w:t>the</w:t>
      </w:r>
      <w:r w:rsidR="00D23ECC">
        <w:t xml:space="preserve"> </w:t>
      </w:r>
      <w:r>
        <w:t>pressure</w:t>
      </w:r>
      <w:r w:rsidR="00D23ECC">
        <w:t xml:space="preserve"> </w:t>
      </w:r>
      <w:r>
        <w:t>businesses</w:t>
      </w:r>
      <w:r w:rsidR="00D23ECC">
        <w:t xml:space="preserve"> </w:t>
      </w:r>
      <w:r>
        <w:t>faced</w:t>
      </w:r>
      <w:r w:rsidR="00D23ECC">
        <w:t xml:space="preserve"> </w:t>
      </w:r>
      <w:r>
        <w:t>and</w:t>
      </w:r>
      <w:r w:rsidR="00D23ECC">
        <w:t xml:space="preserve"> </w:t>
      </w:r>
      <w:r>
        <w:t>as</w:t>
      </w:r>
      <w:r w:rsidR="00D23ECC">
        <w:t xml:space="preserve"> </w:t>
      </w:r>
      <w:r>
        <w:t>part</w:t>
      </w:r>
      <w:r w:rsidR="00D23ECC">
        <w:t xml:space="preserve"> </w:t>
      </w:r>
      <w:r>
        <w:t>of</w:t>
      </w:r>
      <w:r w:rsidR="00D23ECC">
        <w:t xml:space="preserve"> </w:t>
      </w:r>
      <w:r>
        <w:t>the</w:t>
      </w:r>
      <w:r w:rsidR="00D23ECC">
        <w:t xml:space="preserve"> </w:t>
      </w:r>
      <w:r>
        <w:t>State</w:t>
      </w:r>
      <w:r w:rsidR="00D23ECC">
        <w:t xml:space="preserve"> </w:t>
      </w:r>
      <w:r>
        <w:t>of</w:t>
      </w:r>
      <w:r w:rsidR="00D23ECC">
        <w:t xml:space="preserve"> </w:t>
      </w:r>
      <w:r>
        <w:t>Emergency,</w:t>
      </w:r>
      <w:r w:rsidR="00D23ECC">
        <w:t xml:space="preserve"> </w:t>
      </w:r>
      <w:r>
        <w:t>we</w:t>
      </w:r>
      <w:r w:rsidR="00D23ECC">
        <w:t xml:space="preserve"> </w:t>
      </w:r>
      <w:r>
        <w:t>granted</w:t>
      </w:r>
      <w:r w:rsidR="00D23ECC">
        <w:t xml:space="preserve"> </w:t>
      </w:r>
      <w:r>
        <w:t>extensions</w:t>
      </w:r>
      <w:r w:rsidR="00D23ECC">
        <w:t xml:space="preserve"> </w:t>
      </w:r>
      <w:r>
        <w:t>of</w:t>
      </w:r>
      <w:r w:rsidR="00D23ECC">
        <w:t xml:space="preserve"> </w:t>
      </w:r>
      <w:r>
        <w:t>time</w:t>
      </w:r>
      <w:r w:rsidR="00D23ECC">
        <w:t xml:space="preserve"> </w:t>
      </w:r>
      <w:r>
        <w:t>for</w:t>
      </w:r>
      <w:r w:rsidR="00D23ECC">
        <w:t xml:space="preserve"> </w:t>
      </w:r>
      <w:r>
        <w:t>certain</w:t>
      </w:r>
      <w:r w:rsidR="00D23ECC">
        <w:t xml:space="preserve"> </w:t>
      </w:r>
      <w:r>
        <w:t>regulated</w:t>
      </w:r>
      <w:r w:rsidR="00D23ECC">
        <w:t xml:space="preserve"> </w:t>
      </w:r>
      <w:r>
        <w:t>entities</w:t>
      </w:r>
      <w:r w:rsidR="00D23ECC">
        <w:t xml:space="preserve"> </w:t>
      </w:r>
      <w:r>
        <w:t>to</w:t>
      </w:r>
      <w:r w:rsidR="00D23ECC">
        <w:t xml:space="preserve"> </w:t>
      </w:r>
      <w:r>
        <w:t>meet</w:t>
      </w:r>
      <w:r w:rsidR="00D23ECC">
        <w:t xml:space="preserve"> </w:t>
      </w:r>
      <w:r>
        <w:t>reporting</w:t>
      </w:r>
      <w:r w:rsidR="00D23ECC">
        <w:t xml:space="preserve"> </w:t>
      </w:r>
      <w:r>
        <w:t>obligations,</w:t>
      </w:r>
      <w:r w:rsidR="00D23ECC">
        <w:t xml:space="preserve"> </w:t>
      </w:r>
      <w:r>
        <w:t>hold</w:t>
      </w:r>
      <w:r w:rsidR="00D23ECC">
        <w:t xml:space="preserve"> </w:t>
      </w:r>
      <w:r>
        <w:t>annual</w:t>
      </w:r>
      <w:r w:rsidR="00D23ECC">
        <w:t xml:space="preserve"> </w:t>
      </w:r>
      <w:r>
        <w:t>general</w:t>
      </w:r>
      <w:r w:rsidR="00D23ECC">
        <w:t xml:space="preserve"> </w:t>
      </w:r>
      <w:r>
        <w:t>meetings</w:t>
      </w:r>
      <w:r w:rsidR="00D23ECC">
        <w:t xml:space="preserve"> </w:t>
      </w:r>
      <w:r>
        <w:t>and</w:t>
      </w:r>
      <w:r w:rsidR="00D23ECC">
        <w:t xml:space="preserve"> </w:t>
      </w:r>
      <w:r>
        <w:t>lodge</w:t>
      </w:r>
      <w:r w:rsidR="00D23ECC">
        <w:t xml:space="preserve"> </w:t>
      </w:r>
      <w:r>
        <w:t>annual</w:t>
      </w:r>
      <w:r w:rsidR="00D23ECC">
        <w:t xml:space="preserve"> </w:t>
      </w:r>
      <w:r>
        <w:t>statements.</w:t>
      </w:r>
      <w:r w:rsidR="00D23ECC">
        <w:t xml:space="preserve"> </w:t>
      </w:r>
      <w:r>
        <w:t>See</w:t>
      </w:r>
      <w:r w:rsidR="00D23ECC">
        <w:t xml:space="preserve"> </w:t>
      </w:r>
      <w:hyperlink w:anchor="_Helping_Victorian_businesses" w:history="1">
        <w:r w:rsidRPr="00DE629A">
          <w:rPr>
            <w:rStyle w:val="Hyperlink"/>
          </w:rPr>
          <w:t>‘Our</w:t>
        </w:r>
        <w:r w:rsidR="00D23ECC" w:rsidRPr="00DE629A">
          <w:rPr>
            <w:rStyle w:val="Hyperlink"/>
          </w:rPr>
          <w:t xml:space="preserve"> </w:t>
        </w:r>
        <w:r w:rsidRPr="00DE629A">
          <w:rPr>
            <w:rStyle w:val="Hyperlink"/>
          </w:rPr>
          <w:t>Achievements</w:t>
        </w:r>
        <w:r w:rsidR="00D23ECC" w:rsidRPr="00DE629A">
          <w:rPr>
            <w:rStyle w:val="Hyperlink"/>
          </w:rPr>
          <w:t xml:space="preserve"> </w:t>
        </w:r>
        <w:r w:rsidRPr="00DE629A">
          <w:rPr>
            <w:rStyle w:val="Hyperlink"/>
          </w:rPr>
          <w:t>–</w:t>
        </w:r>
        <w:r w:rsidR="00D23ECC" w:rsidRPr="00DE629A">
          <w:rPr>
            <w:rStyle w:val="Hyperlink"/>
          </w:rPr>
          <w:t xml:space="preserve"> </w:t>
        </w:r>
        <w:r w:rsidRPr="00DE629A">
          <w:rPr>
            <w:rStyle w:val="Hyperlink"/>
          </w:rPr>
          <w:t>Helping</w:t>
        </w:r>
        <w:r w:rsidR="00D23ECC" w:rsidRPr="00DE629A">
          <w:rPr>
            <w:rStyle w:val="Hyperlink"/>
          </w:rPr>
          <w:t xml:space="preserve"> </w:t>
        </w:r>
        <w:r w:rsidRPr="00DE629A">
          <w:rPr>
            <w:rStyle w:val="Hyperlink"/>
          </w:rPr>
          <w:t>Victorian</w:t>
        </w:r>
        <w:r w:rsidR="00D23ECC" w:rsidRPr="00DE629A">
          <w:rPr>
            <w:rStyle w:val="Hyperlink"/>
          </w:rPr>
          <w:t xml:space="preserve"> </w:t>
        </w:r>
        <w:r w:rsidRPr="00DE629A">
          <w:rPr>
            <w:rStyle w:val="Hyperlink"/>
          </w:rPr>
          <w:t>businesses</w:t>
        </w:r>
        <w:r w:rsidR="00D23ECC" w:rsidRPr="00DE629A">
          <w:rPr>
            <w:rStyle w:val="Hyperlink"/>
          </w:rPr>
          <w:t xml:space="preserve"> </w:t>
        </w:r>
        <w:r w:rsidRPr="00DE629A">
          <w:rPr>
            <w:rStyle w:val="Hyperlink"/>
          </w:rPr>
          <w:t>during</w:t>
        </w:r>
        <w:r w:rsidR="00D23ECC" w:rsidRPr="00DE629A">
          <w:rPr>
            <w:rStyle w:val="Hyperlink"/>
          </w:rPr>
          <w:t xml:space="preserve"> </w:t>
        </w:r>
        <w:r w:rsidRPr="00DE629A">
          <w:rPr>
            <w:rStyle w:val="Hyperlink"/>
          </w:rPr>
          <w:t>the</w:t>
        </w:r>
        <w:r w:rsidR="00D23ECC" w:rsidRPr="00DE629A">
          <w:rPr>
            <w:rStyle w:val="Hyperlink"/>
          </w:rPr>
          <w:t xml:space="preserve"> </w:t>
        </w:r>
        <w:r w:rsidRPr="00DE629A">
          <w:rPr>
            <w:rStyle w:val="Hyperlink"/>
          </w:rPr>
          <w:t>COVID-19</w:t>
        </w:r>
        <w:r w:rsidR="00D23ECC" w:rsidRPr="00DE629A">
          <w:rPr>
            <w:rStyle w:val="Hyperlink"/>
          </w:rPr>
          <w:t xml:space="preserve"> </w:t>
        </w:r>
        <w:r w:rsidRPr="00DE629A">
          <w:rPr>
            <w:rStyle w:val="Hyperlink"/>
          </w:rPr>
          <w:t>pandemic’</w:t>
        </w:r>
      </w:hyperlink>
      <w:r w:rsidR="00D23ECC">
        <w:t xml:space="preserve"> </w:t>
      </w:r>
      <w:r>
        <w:t>on</w:t>
      </w:r>
      <w:r w:rsidR="00D23ECC">
        <w:t xml:space="preserve"> </w:t>
      </w:r>
      <w:r>
        <w:t>page</w:t>
      </w:r>
      <w:r w:rsidR="00D23ECC">
        <w:t xml:space="preserve"> </w:t>
      </w:r>
      <w:r w:rsidR="00DE629A">
        <w:fldChar w:fldCharType="begin"/>
      </w:r>
      <w:r w:rsidR="00DE629A">
        <w:instrText xml:space="preserve"> PAGEREF _Ref85883231 \h </w:instrText>
      </w:r>
      <w:r w:rsidR="00DE629A">
        <w:fldChar w:fldCharType="separate"/>
      </w:r>
      <w:r w:rsidR="006C3CC1">
        <w:rPr>
          <w:noProof/>
        </w:rPr>
        <w:t>11</w:t>
      </w:r>
      <w:r w:rsidR="00DE629A">
        <w:fldChar w:fldCharType="end"/>
      </w:r>
      <w:r w:rsidR="00D23ECC">
        <w:t xml:space="preserve"> </w:t>
      </w:r>
      <w:r>
        <w:t>for</w:t>
      </w:r>
      <w:r w:rsidR="00D23ECC">
        <w:t xml:space="preserve"> </w:t>
      </w:r>
      <w:r>
        <w:t>further</w:t>
      </w:r>
      <w:r w:rsidR="00D23ECC">
        <w:t xml:space="preserve"> </w:t>
      </w:r>
      <w:r>
        <w:t>detail.</w:t>
      </w:r>
    </w:p>
    <w:p w14:paraId="6E614001" w14:textId="74FE7D10" w:rsidR="00DE3B0D" w:rsidRDefault="00DE3B0D" w:rsidP="00D23ECC">
      <w:pPr>
        <w:pStyle w:val="BodyText"/>
      </w:pPr>
      <w:r>
        <w:t>There</w:t>
      </w:r>
      <w:r w:rsidR="00D23ECC">
        <w:t xml:space="preserve"> </w:t>
      </w:r>
      <w:r>
        <w:t>are</w:t>
      </w:r>
      <w:r w:rsidR="00D23ECC">
        <w:t xml:space="preserve"> </w:t>
      </w:r>
      <w:r>
        <w:t>now</w:t>
      </w:r>
      <w:r w:rsidR="00D23ECC">
        <w:t xml:space="preserve"> </w:t>
      </w:r>
      <w:r>
        <w:t>reduced</w:t>
      </w:r>
      <w:r w:rsidR="00D23ECC">
        <w:t xml:space="preserve"> </w:t>
      </w:r>
      <w:r>
        <w:t>registration</w:t>
      </w:r>
      <w:r w:rsidR="00D23ECC">
        <w:t xml:space="preserve"> </w:t>
      </w:r>
      <w:r>
        <w:t>and</w:t>
      </w:r>
      <w:r w:rsidR="00D23ECC">
        <w:t xml:space="preserve"> </w:t>
      </w:r>
      <w:r>
        <w:t>reporting</w:t>
      </w:r>
      <w:r w:rsidR="00D23ECC">
        <w:t xml:space="preserve"> </w:t>
      </w:r>
      <w:r>
        <w:t>requirements</w:t>
      </w:r>
      <w:r w:rsidR="00D23ECC">
        <w:t xml:space="preserve"> </w:t>
      </w:r>
      <w:r>
        <w:t>for</w:t>
      </w:r>
      <w:r w:rsidR="00D23ECC">
        <w:t xml:space="preserve"> </w:t>
      </w:r>
      <w:r>
        <w:t>charities</w:t>
      </w:r>
      <w:r w:rsidR="00D23ECC">
        <w:t xml:space="preserve"> </w:t>
      </w:r>
      <w:r>
        <w:t>who</w:t>
      </w:r>
      <w:r w:rsidR="00D23ECC">
        <w:t xml:space="preserve"> </w:t>
      </w:r>
      <w:r>
        <w:t>fundraise</w:t>
      </w:r>
      <w:r w:rsidR="00D23ECC">
        <w:t xml:space="preserve"> </w:t>
      </w:r>
      <w:r>
        <w:t>in</w:t>
      </w:r>
      <w:r w:rsidR="00D23ECC">
        <w:t xml:space="preserve"> </w:t>
      </w:r>
      <w:r>
        <w:t>Victoria.</w:t>
      </w:r>
      <w:r w:rsidR="00D23ECC">
        <w:t xml:space="preserve"> </w:t>
      </w:r>
      <w:r>
        <w:t>The</w:t>
      </w:r>
      <w:r w:rsidR="00D23ECC">
        <w:t xml:space="preserve"> </w:t>
      </w:r>
      <w:r>
        <w:t>launch</w:t>
      </w:r>
      <w:r w:rsidR="00D23ECC">
        <w:t xml:space="preserve"> </w:t>
      </w:r>
      <w:r>
        <w:t>of</w:t>
      </w:r>
      <w:r w:rsidR="00D23ECC">
        <w:t xml:space="preserve"> </w:t>
      </w:r>
      <w:r>
        <w:t>new</w:t>
      </w:r>
      <w:r w:rsidR="00D23ECC">
        <w:t xml:space="preserve"> </w:t>
      </w:r>
      <w:r>
        <w:t>business</w:t>
      </w:r>
      <w:r w:rsidR="00D23ECC">
        <w:t xml:space="preserve"> </w:t>
      </w:r>
      <w:r>
        <w:t>and</w:t>
      </w:r>
      <w:r w:rsidR="00D23ECC">
        <w:t xml:space="preserve"> </w:t>
      </w:r>
      <w:r>
        <w:t>technology</w:t>
      </w:r>
      <w:r w:rsidR="00D23ECC">
        <w:t xml:space="preserve"> </w:t>
      </w:r>
      <w:r>
        <w:t>frameworks</w:t>
      </w:r>
      <w:r w:rsidR="00D23ECC">
        <w:t xml:space="preserve"> </w:t>
      </w:r>
      <w:r>
        <w:t>has</w:t>
      </w:r>
      <w:r w:rsidR="00D23ECC">
        <w:t xml:space="preserve"> </w:t>
      </w:r>
      <w:r>
        <w:t>reduced</w:t>
      </w:r>
      <w:r w:rsidR="00D23ECC">
        <w:t xml:space="preserve"> </w:t>
      </w:r>
      <w:r>
        <w:t>time</w:t>
      </w:r>
      <w:r w:rsidR="00D23ECC">
        <w:t xml:space="preserve"> </w:t>
      </w:r>
      <w:r>
        <w:t>spent</w:t>
      </w:r>
      <w:r w:rsidR="00D23ECC">
        <w:t xml:space="preserve"> </w:t>
      </w:r>
      <w:r>
        <w:t>on</w:t>
      </w:r>
      <w:r w:rsidR="00D23ECC">
        <w:t xml:space="preserve"> </w:t>
      </w:r>
      <w:r>
        <w:t>registration</w:t>
      </w:r>
      <w:r w:rsidR="00D23ECC">
        <w:t xml:space="preserve"> </w:t>
      </w:r>
      <w:r>
        <w:t>and</w:t>
      </w:r>
      <w:r w:rsidR="00D23ECC">
        <w:t xml:space="preserve"> </w:t>
      </w:r>
      <w:r>
        <w:t>reporting</w:t>
      </w:r>
      <w:r w:rsidR="00D23ECC">
        <w:t xml:space="preserve"> </w:t>
      </w:r>
      <w:r>
        <w:t>for</w:t>
      </w:r>
      <w:r w:rsidR="00D23ECC">
        <w:t xml:space="preserve"> </w:t>
      </w:r>
      <w:r>
        <w:t>charities</w:t>
      </w:r>
      <w:r w:rsidR="00D23ECC">
        <w:t xml:space="preserve"> </w:t>
      </w:r>
      <w:r>
        <w:t>and</w:t>
      </w:r>
      <w:r w:rsidR="00D23ECC">
        <w:t xml:space="preserve"> </w:t>
      </w:r>
      <w:r>
        <w:t>fundraisers.</w:t>
      </w:r>
      <w:r w:rsidR="00D23ECC">
        <w:t xml:space="preserve"> </w:t>
      </w:r>
      <w:r>
        <w:t>See</w:t>
      </w:r>
      <w:r w:rsidR="00D23ECC">
        <w:t xml:space="preserve"> </w:t>
      </w:r>
      <w:hyperlink w:anchor="_Reduced_reporting_requirements" w:history="1">
        <w:r w:rsidRPr="00DE629A">
          <w:rPr>
            <w:rStyle w:val="Hyperlink"/>
          </w:rPr>
          <w:t>‘Our</w:t>
        </w:r>
        <w:r w:rsidR="00D23ECC" w:rsidRPr="00DE629A">
          <w:rPr>
            <w:rStyle w:val="Hyperlink"/>
          </w:rPr>
          <w:t xml:space="preserve"> </w:t>
        </w:r>
        <w:r w:rsidRPr="00DE629A">
          <w:rPr>
            <w:rStyle w:val="Hyperlink"/>
          </w:rPr>
          <w:t>Achievements</w:t>
        </w:r>
        <w:r w:rsidR="00D23ECC" w:rsidRPr="00DE629A">
          <w:rPr>
            <w:rStyle w:val="Hyperlink"/>
          </w:rPr>
          <w:t xml:space="preserve"> </w:t>
        </w:r>
        <w:r w:rsidRPr="00DE629A">
          <w:rPr>
            <w:rStyle w:val="Hyperlink"/>
          </w:rPr>
          <w:t>–</w:t>
        </w:r>
        <w:r w:rsidR="00D23ECC" w:rsidRPr="00DE629A">
          <w:rPr>
            <w:rStyle w:val="Hyperlink"/>
          </w:rPr>
          <w:t xml:space="preserve"> </w:t>
        </w:r>
        <w:r w:rsidRPr="00DE629A">
          <w:rPr>
            <w:rStyle w:val="Hyperlink"/>
          </w:rPr>
          <w:t>‘Reduced</w:t>
        </w:r>
        <w:r w:rsidR="00D23ECC" w:rsidRPr="00DE629A">
          <w:rPr>
            <w:rStyle w:val="Hyperlink"/>
          </w:rPr>
          <w:t xml:space="preserve"> </w:t>
        </w:r>
        <w:r w:rsidRPr="00DE629A">
          <w:rPr>
            <w:rStyle w:val="Hyperlink"/>
          </w:rPr>
          <w:t>reporting</w:t>
        </w:r>
        <w:r w:rsidR="00D23ECC" w:rsidRPr="00DE629A">
          <w:rPr>
            <w:rStyle w:val="Hyperlink"/>
          </w:rPr>
          <w:t xml:space="preserve"> </w:t>
        </w:r>
        <w:r w:rsidRPr="00DE629A">
          <w:rPr>
            <w:rStyle w:val="Hyperlink"/>
          </w:rPr>
          <w:t>requirements</w:t>
        </w:r>
        <w:r w:rsidR="00D23ECC" w:rsidRPr="00DE629A">
          <w:rPr>
            <w:rStyle w:val="Hyperlink"/>
          </w:rPr>
          <w:t xml:space="preserve"> </w:t>
        </w:r>
        <w:r w:rsidRPr="00DE629A">
          <w:rPr>
            <w:rStyle w:val="Hyperlink"/>
          </w:rPr>
          <w:t>for</w:t>
        </w:r>
        <w:r w:rsidR="00D23ECC" w:rsidRPr="00DE629A">
          <w:rPr>
            <w:rStyle w:val="Hyperlink"/>
          </w:rPr>
          <w:t xml:space="preserve"> </w:t>
        </w:r>
        <w:r w:rsidRPr="00DE629A">
          <w:rPr>
            <w:rStyle w:val="Hyperlink"/>
          </w:rPr>
          <w:t>fundraisers’</w:t>
        </w:r>
      </w:hyperlink>
      <w:r w:rsidR="00D23ECC">
        <w:t xml:space="preserve"> </w:t>
      </w:r>
      <w:r>
        <w:t>on</w:t>
      </w:r>
      <w:r w:rsidR="00D23ECC">
        <w:t xml:space="preserve"> </w:t>
      </w:r>
      <w:r>
        <w:t>page</w:t>
      </w:r>
      <w:r w:rsidR="00D23ECC">
        <w:t xml:space="preserve"> </w:t>
      </w:r>
      <w:r w:rsidR="00DE629A">
        <w:fldChar w:fldCharType="begin"/>
      </w:r>
      <w:r w:rsidR="00DE629A">
        <w:instrText xml:space="preserve"> PAGEREF _Ref85883260 \h </w:instrText>
      </w:r>
      <w:r w:rsidR="00DE629A">
        <w:fldChar w:fldCharType="separate"/>
      </w:r>
      <w:r w:rsidR="006C3CC1">
        <w:rPr>
          <w:noProof/>
        </w:rPr>
        <w:t>12</w:t>
      </w:r>
      <w:r w:rsidR="00DE629A">
        <w:fldChar w:fldCharType="end"/>
      </w:r>
      <w:r>
        <w:t>.</w:t>
      </w:r>
    </w:p>
    <w:p w14:paraId="23E14F44" w14:textId="4C212BA8" w:rsidR="00DE3B0D" w:rsidRPr="00B04B74" w:rsidRDefault="00DE3B0D" w:rsidP="00B04B74">
      <w:pPr>
        <w:pStyle w:val="Heading3"/>
      </w:pPr>
      <w:bookmarkStart w:id="34" w:name="_Toc85912304"/>
      <w:r w:rsidRPr="00B04B74">
        <w:t>Risk-based</w:t>
      </w:r>
      <w:r w:rsidR="00D23ECC" w:rsidRPr="00B04B74">
        <w:t xml:space="preserve"> </w:t>
      </w:r>
      <w:r w:rsidRPr="00B04B74">
        <w:t>strategies</w:t>
      </w:r>
      <w:bookmarkEnd w:id="34"/>
    </w:p>
    <w:p w14:paraId="15AAA292" w14:textId="0158EAF2" w:rsidR="00DE3B0D" w:rsidRDefault="00DE3B0D" w:rsidP="00D23ECC">
      <w:pPr>
        <w:pStyle w:val="BodyText"/>
      </w:pPr>
      <w:r>
        <w:t>To</w:t>
      </w:r>
      <w:r w:rsidR="00D23ECC">
        <w:t xml:space="preserve"> </w:t>
      </w:r>
      <w:r>
        <w:t>improve</w:t>
      </w:r>
      <w:r w:rsidR="00D23ECC">
        <w:t xml:space="preserve"> </w:t>
      </w:r>
      <w:r>
        <w:t>compliance</w:t>
      </w:r>
      <w:r w:rsidR="00D23ECC">
        <w:t xml:space="preserve"> </w:t>
      </w:r>
      <w:r>
        <w:t>in</w:t>
      </w:r>
      <w:r w:rsidR="00D23ECC">
        <w:t xml:space="preserve"> </w:t>
      </w:r>
      <w:r>
        <w:t>areas</w:t>
      </w:r>
      <w:r w:rsidR="00D23ECC">
        <w:t xml:space="preserve"> </w:t>
      </w:r>
      <w:r>
        <w:t>of</w:t>
      </w:r>
      <w:r w:rsidR="00D23ECC">
        <w:t xml:space="preserve"> </w:t>
      </w:r>
      <w:r>
        <w:t>greatest</w:t>
      </w:r>
      <w:r w:rsidR="00D23ECC">
        <w:t xml:space="preserve"> </w:t>
      </w:r>
      <w:r>
        <w:t>risk</w:t>
      </w:r>
      <w:r w:rsidR="00D23ECC">
        <w:t xml:space="preserve"> </w:t>
      </w:r>
      <w:r>
        <w:t>to</w:t>
      </w:r>
      <w:r w:rsidR="00D23ECC">
        <w:t xml:space="preserve"> </w:t>
      </w:r>
      <w:r>
        <w:t>regulatory</w:t>
      </w:r>
      <w:r w:rsidR="00D23ECC">
        <w:t xml:space="preserve"> </w:t>
      </w:r>
      <w:r>
        <w:t>outcomes,</w:t>
      </w:r>
      <w:r w:rsidR="00D23ECC">
        <w:t xml:space="preserve"> </w:t>
      </w:r>
      <w:r>
        <w:t>we</w:t>
      </w:r>
      <w:r w:rsidR="00D23ECC">
        <w:t xml:space="preserve"> </w:t>
      </w:r>
      <w:r>
        <w:t>continued</w:t>
      </w:r>
      <w:r w:rsidR="00D23ECC">
        <w:t xml:space="preserve"> </w:t>
      </w:r>
      <w:r>
        <w:t>to</w:t>
      </w:r>
      <w:r w:rsidR="00D23ECC">
        <w:t xml:space="preserve"> </w:t>
      </w:r>
      <w:r>
        <w:t>ensure</w:t>
      </w:r>
      <w:r w:rsidR="00D23ECC">
        <w:t xml:space="preserve"> </w:t>
      </w:r>
      <w:r>
        <w:t>risk</w:t>
      </w:r>
      <w:r w:rsidR="00D23ECC">
        <w:t xml:space="preserve"> </w:t>
      </w:r>
      <w:r>
        <w:t>was</w:t>
      </w:r>
      <w:r w:rsidR="00D23ECC">
        <w:t xml:space="preserve"> </w:t>
      </w:r>
      <w:r>
        <w:t>at</w:t>
      </w:r>
      <w:r w:rsidR="00D23ECC">
        <w:t xml:space="preserve"> </w:t>
      </w:r>
      <w:r>
        <w:t>the</w:t>
      </w:r>
      <w:r w:rsidR="00D23ECC">
        <w:t xml:space="preserve"> </w:t>
      </w:r>
      <w:r>
        <w:t>centre</w:t>
      </w:r>
      <w:r w:rsidR="00D23ECC">
        <w:t xml:space="preserve"> </w:t>
      </w:r>
      <w:r>
        <w:t>of</w:t>
      </w:r>
      <w:r w:rsidR="00D23ECC">
        <w:t xml:space="preserve"> </w:t>
      </w:r>
      <w:r>
        <w:t>decision</w:t>
      </w:r>
      <w:r w:rsidR="00D23ECC">
        <w:t xml:space="preserve"> </w:t>
      </w:r>
      <w:r>
        <w:t>making.</w:t>
      </w:r>
      <w:r w:rsidR="00D23ECC">
        <w:t xml:space="preserve"> </w:t>
      </w:r>
      <w:r>
        <w:t>For</w:t>
      </w:r>
      <w:r w:rsidR="00D23ECC">
        <w:t xml:space="preserve"> </w:t>
      </w:r>
      <w:r>
        <w:t>more</w:t>
      </w:r>
      <w:r w:rsidR="00D23ECC">
        <w:t xml:space="preserve"> </w:t>
      </w:r>
      <w:r>
        <w:t>information</w:t>
      </w:r>
      <w:r w:rsidR="00D23ECC">
        <w:t xml:space="preserve"> </w:t>
      </w:r>
      <w:r>
        <w:t>about</w:t>
      </w:r>
      <w:r w:rsidR="00D23ECC">
        <w:t xml:space="preserve"> </w:t>
      </w:r>
      <w:r>
        <w:t>our</w:t>
      </w:r>
      <w:r w:rsidR="00D23ECC">
        <w:t xml:space="preserve"> </w:t>
      </w:r>
      <w:r>
        <w:t>risk-based</w:t>
      </w:r>
      <w:r w:rsidR="00D23ECC">
        <w:t xml:space="preserve"> </w:t>
      </w:r>
      <w:r>
        <w:t>approach</w:t>
      </w:r>
      <w:r w:rsidR="00D23ECC">
        <w:t xml:space="preserve"> </w:t>
      </w:r>
      <w:r>
        <w:t>to</w:t>
      </w:r>
      <w:r w:rsidR="00D23ECC">
        <w:t xml:space="preserve"> </w:t>
      </w:r>
      <w:r>
        <w:t>regulation,</w:t>
      </w:r>
      <w:r w:rsidR="00D23ECC">
        <w:t xml:space="preserve"> </w:t>
      </w:r>
      <w:r>
        <w:t>see</w:t>
      </w:r>
      <w:r w:rsidR="00D23ECC">
        <w:t xml:space="preserve"> </w:t>
      </w:r>
      <w:hyperlink w:anchor="_Risk-based" w:history="1">
        <w:r w:rsidRPr="00DE629A">
          <w:rPr>
            <w:rStyle w:val="Hyperlink"/>
          </w:rPr>
          <w:t>‘Our</w:t>
        </w:r>
        <w:r w:rsidR="00D23ECC" w:rsidRPr="00DE629A">
          <w:rPr>
            <w:rStyle w:val="Hyperlink"/>
          </w:rPr>
          <w:t xml:space="preserve"> </w:t>
        </w:r>
        <w:r w:rsidRPr="00DE629A">
          <w:rPr>
            <w:rStyle w:val="Hyperlink"/>
          </w:rPr>
          <w:t>regulatory</w:t>
        </w:r>
        <w:r w:rsidR="00D23ECC" w:rsidRPr="00DE629A">
          <w:rPr>
            <w:rStyle w:val="Hyperlink"/>
          </w:rPr>
          <w:t xml:space="preserve"> </w:t>
        </w:r>
        <w:r w:rsidRPr="00DE629A">
          <w:rPr>
            <w:rStyle w:val="Hyperlink"/>
          </w:rPr>
          <w:t>approach</w:t>
        </w:r>
        <w:r w:rsidR="00D23ECC" w:rsidRPr="00DE629A">
          <w:rPr>
            <w:rStyle w:val="Hyperlink"/>
          </w:rPr>
          <w:t xml:space="preserve"> </w:t>
        </w:r>
        <w:r w:rsidRPr="00DE629A">
          <w:rPr>
            <w:rStyle w:val="Hyperlink"/>
          </w:rPr>
          <w:t>–</w:t>
        </w:r>
        <w:r w:rsidR="00D23ECC" w:rsidRPr="00DE629A">
          <w:rPr>
            <w:rStyle w:val="Hyperlink"/>
          </w:rPr>
          <w:t xml:space="preserve"> </w:t>
        </w:r>
        <w:r w:rsidRPr="00DE629A">
          <w:rPr>
            <w:rStyle w:val="Hyperlink"/>
          </w:rPr>
          <w:t>Risk-based’</w:t>
        </w:r>
      </w:hyperlink>
      <w:r w:rsidR="00D23ECC">
        <w:t xml:space="preserve"> </w:t>
      </w:r>
      <w:r>
        <w:t>on</w:t>
      </w:r>
      <w:r w:rsidR="00D23ECC">
        <w:t xml:space="preserve"> </w:t>
      </w:r>
      <w:r>
        <w:t>page</w:t>
      </w:r>
      <w:r w:rsidR="00D23ECC">
        <w:t xml:space="preserve"> </w:t>
      </w:r>
      <w:r w:rsidR="00DE629A">
        <w:fldChar w:fldCharType="begin"/>
      </w:r>
      <w:r w:rsidR="00DE629A">
        <w:instrText xml:space="preserve"> PAGEREF _Ref85883296 \h </w:instrText>
      </w:r>
      <w:r w:rsidR="00DE629A">
        <w:fldChar w:fldCharType="separate"/>
      </w:r>
      <w:r w:rsidR="006C3CC1">
        <w:rPr>
          <w:noProof/>
        </w:rPr>
        <w:t>7</w:t>
      </w:r>
      <w:r w:rsidR="00DE629A">
        <w:fldChar w:fldCharType="end"/>
      </w:r>
      <w:r>
        <w:t>.</w:t>
      </w:r>
    </w:p>
    <w:p w14:paraId="4E2B7DBA" w14:textId="5A9B439F" w:rsidR="00DE3B0D" w:rsidRDefault="00DE3B0D" w:rsidP="00D23ECC">
      <w:pPr>
        <w:pStyle w:val="BodyText"/>
      </w:pPr>
      <w:r>
        <w:t>We</w:t>
      </w:r>
      <w:r w:rsidR="00D23ECC">
        <w:t xml:space="preserve"> </w:t>
      </w:r>
      <w:r>
        <w:t>refined</w:t>
      </w:r>
      <w:r w:rsidR="00D23ECC">
        <w:t xml:space="preserve"> </w:t>
      </w:r>
      <w:r>
        <w:t>our</w:t>
      </w:r>
      <w:r w:rsidR="00D23ECC">
        <w:t xml:space="preserve"> </w:t>
      </w:r>
      <w:r>
        <w:t>compliance</w:t>
      </w:r>
      <w:r w:rsidR="00D23ECC">
        <w:t xml:space="preserve"> </w:t>
      </w:r>
      <w:r>
        <w:t>programs</w:t>
      </w:r>
      <w:r w:rsidR="00D23ECC">
        <w:t xml:space="preserve"> </w:t>
      </w:r>
      <w:r>
        <w:t>this</w:t>
      </w:r>
      <w:r w:rsidR="00D23ECC">
        <w:t xml:space="preserve"> </w:t>
      </w:r>
      <w:r>
        <w:t>year</w:t>
      </w:r>
      <w:r w:rsidR="00D23ECC">
        <w:t xml:space="preserve"> </w:t>
      </w:r>
      <w:r>
        <w:t>to</w:t>
      </w:r>
      <w:r w:rsidR="00D23ECC">
        <w:t xml:space="preserve"> </w:t>
      </w:r>
      <w:r>
        <w:t>address</w:t>
      </w:r>
      <w:r w:rsidR="00D23ECC">
        <w:t xml:space="preserve"> </w:t>
      </w:r>
      <w:r>
        <w:t>a</w:t>
      </w:r>
      <w:r w:rsidR="00D23ECC">
        <w:t xml:space="preserve"> </w:t>
      </w:r>
      <w:r>
        <w:t>drop</w:t>
      </w:r>
      <w:r w:rsidR="00D23ECC">
        <w:t xml:space="preserve"> </w:t>
      </w:r>
      <w:r>
        <w:t>in</w:t>
      </w:r>
      <w:r w:rsidR="00D23ECC">
        <w:t xml:space="preserve"> </w:t>
      </w:r>
      <w:r>
        <w:t>on-site</w:t>
      </w:r>
      <w:r w:rsidR="00D23ECC">
        <w:t xml:space="preserve"> </w:t>
      </w:r>
      <w:r>
        <w:t>inspections</w:t>
      </w:r>
      <w:r w:rsidR="00D23ECC">
        <w:t xml:space="preserve"> </w:t>
      </w:r>
      <w:r>
        <w:t>driven</w:t>
      </w:r>
      <w:r w:rsidR="00D23ECC">
        <w:t xml:space="preserve"> </w:t>
      </w:r>
      <w:r>
        <w:t>by</w:t>
      </w:r>
      <w:r w:rsidR="00D23ECC">
        <w:t xml:space="preserve"> </w:t>
      </w:r>
      <w:r>
        <w:t>COVID-19</w:t>
      </w:r>
      <w:r w:rsidR="00D23ECC">
        <w:t xml:space="preserve"> </w:t>
      </w:r>
      <w:r>
        <w:t>restrictions.</w:t>
      </w:r>
      <w:r w:rsidR="00D23ECC">
        <w:t xml:space="preserve"> </w:t>
      </w:r>
      <w:r>
        <w:t>This</w:t>
      </w:r>
      <w:r w:rsidR="00D23ECC">
        <w:t xml:space="preserve"> </w:t>
      </w:r>
      <w:r>
        <w:t>included</w:t>
      </w:r>
      <w:r w:rsidR="00D23ECC">
        <w:t xml:space="preserve"> </w:t>
      </w:r>
      <w:r>
        <w:t>increasing</w:t>
      </w:r>
      <w:r w:rsidR="00D23ECC">
        <w:t xml:space="preserve"> </w:t>
      </w:r>
      <w:r>
        <w:t>desk-based</w:t>
      </w:r>
      <w:r w:rsidR="00D23ECC">
        <w:t xml:space="preserve"> </w:t>
      </w:r>
      <w:r>
        <w:t>activities</w:t>
      </w:r>
      <w:r w:rsidR="00D23ECC">
        <w:t xml:space="preserve"> </w:t>
      </w:r>
      <w:r>
        <w:t>to</w:t>
      </w:r>
      <w:r w:rsidR="00D23ECC">
        <w:t xml:space="preserve"> </w:t>
      </w:r>
      <w:r>
        <w:t>check</w:t>
      </w:r>
      <w:r w:rsidR="00D23ECC">
        <w:t xml:space="preserve"> </w:t>
      </w:r>
      <w:r>
        <w:t>compliance</w:t>
      </w:r>
      <w:r w:rsidR="00D23ECC">
        <w:t xml:space="preserve"> </w:t>
      </w:r>
      <w:r>
        <w:t>of</w:t>
      </w:r>
      <w:r w:rsidR="00D23ECC">
        <w:t xml:space="preserve"> </w:t>
      </w:r>
      <w:r>
        <w:t>estate</w:t>
      </w:r>
      <w:r w:rsidR="00D23ECC">
        <w:t xml:space="preserve"> </w:t>
      </w:r>
      <w:r>
        <w:t>agents’</w:t>
      </w:r>
      <w:r w:rsidR="00D23ECC">
        <w:t xml:space="preserve"> </w:t>
      </w:r>
      <w:r>
        <w:t>and</w:t>
      </w:r>
      <w:r w:rsidR="00D23ECC">
        <w:t xml:space="preserve"> </w:t>
      </w:r>
      <w:r>
        <w:t>conveyancers’</w:t>
      </w:r>
      <w:r w:rsidR="00D23ECC">
        <w:t xml:space="preserve"> </w:t>
      </w:r>
      <w:r>
        <w:t>trust</w:t>
      </w:r>
      <w:r w:rsidR="00D23ECC">
        <w:t xml:space="preserve"> </w:t>
      </w:r>
      <w:r>
        <w:t>accounts.</w:t>
      </w:r>
      <w:r w:rsidR="00D23ECC">
        <w:t xml:space="preserve"> </w:t>
      </w:r>
      <w:r>
        <w:t>Breaches</w:t>
      </w:r>
      <w:r w:rsidR="00D23ECC">
        <w:t xml:space="preserve"> </w:t>
      </w:r>
      <w:r>
        <w:t>of</w:t>
      </w:r>
      <w:r w:rsidR="00D23ECC">
        <w:t xml:space="preserve"> </w:t>
      </w:r>
      <w:r>
        <w:t>trust</w:t>
      </w:r>
      <w:r w:rsidR="00D23ECC">
        <w:t xml:space="preserve"> </w:t>
      </w:r>
      <w:r>
        <w:t>account</w:t>
      </w:r>
      <w:r w:rsidR="00D23ECC">
        <w:t xml:space="preserve"> </w:t>
      </w:r>
      <w:r>
        <w:t>laws</w:t>
      </w:r>
      <w:r w:rsidR="00D23ECC">
        <w:t xml:space="preserve"> </w:t>
      </w:r>
      <w:r>
        <w:t>are</w:t>
      </w:r>
      <w:r w:rsidR="00D23ECC">
        <w:t xml:space="preserve"> </w:t>
      </w:r>
      <w:r>
        <w:t>a</w:t>
      </w:r>
      <w:r w:rsidR="00D23ECC">
        <w:t xml:space="preserve"> </w:t>
      </w:r>
      <w:r>
        <w:t>key</w:t>
      </w:r>
      <w:r w:rsidR="00D23ECC">
        <w:t xml:space="preserve"> </w:t>
      </w:r>
      <w:r>
        <w:t>indicator</w:t>
      </w:r>
      <w:r w:rsidR="00D23ECC">
        <w:t xml:space="preserve"> </w:t>
      </w:r>
      <w:r>
        <w:t>for</w:t>
      </w:r>
      <w:r w:rsidR="00D23ECC">
        <w:t xml:space="preserve"> </w:t>
      </w:r>
      <w:r>
        <w:t>misappropriation</w:t>
      </w:r>
      <w:r w:rsidR="00D23ECC">
        <w:t xml:space="preserve"> </w:t>
      </w:r>
      <w:r>
        <w:t>of</w:t>
      </w:r>
      <w:r w:rsidR="00D23ECC">
        <w:t xml:space="preserve"> </w:t>
      </w:r>
      <w:r>
        <w:t>trust</w:t>
      </w:r>
      <w:r w:rsidR="00D23ECC">
        <w:t xml:space="preserve"> </w:t>
      </w:r>
      <w:r>
        <w:t>monies.</w:t>
      </w:r>
    </w:p>
    <w:p w14:paraId="7583155E" w14:textId="1CE4D314" w:rsidR="00DE3B0D" w:rsidRDefault="00DE3B0D" w:rsidP="00D23ECC">
      <w:pPr>
        <w:pStyle w:val="BodyText"/>
      </w:pPr>
      <w:r>
        <w:t>We</w:t>
      </w:r>
      <w:r w:rsidR="00D23ECC">
        <w:t xml:space="preserve"> </w:t>
      </w:r>
      <w:r>
        <w:t>also</w:t>
      </w:r>
      <w:r w:rsidR="00D23ECC">
        <w:t xml:space="preserve"> </w:t>
      </w:r>
      <w:r>
        <w:t>used</w:t>
      </w:r>
      <w:r w:rsidR="00D23ECC">
        <w:t xml:space="preserve"> </w:t>
      </w:r>
      <w:r>
        <w:t>intelligence</w:t>
      </w:r>
      <w:r w:rsidR="00D23ECC">
        <w:t xml:space="preserve"> </w:t>
      </w:r>
      <w:r>
        <w:t>gathered</w:t>
      </w:r>
      <w:r w:rsidR="00D23ECC">
        <w:t xml:space="preserve"> </w:t>
      </w:r>
      <w:r>
        <w:t>by</w:t>
      </w:r>
      <w:r w:rsidR="00D23ECC">
        <w:t xml:space="preserve"> </w:t>
      </w:r>
      <w:r>
        <w:t>our</w:t>
      </w:r>
      <w:r w:rsidR="00D23ECC">
        <w:t xml:space="preserve"> </w:t>
      </w:r>
      <w:r>
        <w:t>team</w:t>
      </w:r>
      <w:r w:rsidR="00D23ECC">
        <w:t xml:space="preserve"> </w:t>
      </w:r>
      <w:r>
        <w:t>and</w:t>
      </w:r>
      <w:r w:rsidR="00D23ECC">
        <w:t xml:space="preserve"> </w:t>
      </w:r>
      <w:r>
        <w:t>worked</w:t>
      </w:r>
      <w:r w:rsidR="00D23ECC">
        <w:t xml:space="preserve"> </w:t>
      </w:r>
      <w:r>
        <w:t>with</w:t>
      </w:r>
      <w:r w:rsidR="00D23ECC">
        <w:t xml:space="preserve"> </w:t>
      </w:r>
      <w:r>
        <w:t>partners</w:t>
      </w:r>
      <w:r w:rsidR="00D23ECC">
        <w:t xml:space="preserve"> </w:t>
      </w:r>
      <w:r>
        <w:t>to</w:t>
      </w:r>
      <w:r w:rsidR="00D23ECC">
        <w:t xml:space="preserve"> </w:t>
      </w:r>
      <w:r>
        <w:t>inform</w:t>
      </w:r>
      <w:r w:rsidR="00D23ECC">
        <w:t xml:space="preserve"> </w:t>
      </w:r>
      <w:r>
        <w:t>our</w:t>
      </w:r>
      <w:r w:rsidR="00D23ECC">
        <w:t xml:space="preserve"> </w:t>
      </w:r>
      <w:r>
        <w:t>inspections</w:t>
      </w:r>
      <w:r w:rsidR="00D23ECC">
        <w:t xml:space="preserve"> </w:t>
      </w:r>
      <w:r>
        <w:t>and</w:t>
      </w:r>
      <w:r w:rsidR="00D23ECC">
        <w:t xml:space="preserve"> </w:t>
      </w:r>
      <w:r>
        <w:t>investigations</w:t>
      </w:r>
      <w:r w:rsidR="00D23ECC">
        <w:t xml:space="preserve"> </w:t>
      </w:r>
      <w:r>
        <w:t>of</w:t>
      </w:r>
      <w:r w:rsidR="00D23ECC">
        <w:t xml:space="preserve"> </w:t>
      </w:r>
      <w:r>
        <w:t>high-risk</w:t>
      </w:r>
      <w:r w:rsidR="00D23ECC">
        <w:t xml:space="preserve"> </w:t>
      </w:r>
      <w:r>
        <w:t>rooming</w:t>
      </w:r>
      <w:r w:rsidR="00D23ECC">
        <w:t xml:space="preserve"> </w:t>
      </w:r>
      <w:r>
        <w:t>houses</w:t>
      </w:r>
      <w:r w:rsidR="00D23ECC">
        <w:t xml:space="preserve"> </w:t>
      </w:r>
      <w:r>
        <w:t>and</w:t>
      </w:r>
      <w:r w:rsidR="00D23ECC">
        <w:t xml:space="preserve"> </w:t>
      </w:r>
      <w:r>
        <w:t>rooming</w:t>
      </w:r>
      <w:r w:rsidR="00D23ECC">
        <w:t xml:space="preserve"> </w:t>
      </w:r>
      <w:r>
        <w:t>house</w:t>
      </w:r>
      <w:r w:rsidR="00D23ECC">
        <w:t xml:space="preserve"> </w:t>
      </w:r>
      <w:r>
        <w:t>operators,</w:t>
      </w:r>
      <w:r w:rsidR="00D23ECC">
        <w:t xml:space="preserve"> </w:t>
      </w:r>
      <w:r>
        <w:t>and</w:t>
      </w:r>
      <w:r w:rsidR="00D23ECC">
        <w:t xml:space="preserve"> </w:t>
      </w:r>
      <w:r>
        <w:t>estate</w:t>
      </w:r>
      <w:r w:rsidR="00D23ECC">
        <w:t xml:space="preserve"> </w:t>
      </w:r>
      <w:r>
        <w:t>agents</w:t>
      </w:r>
      <w:r w:rsidR="00D23ECC">
        <w:t xml:space="preserve"> </w:t>
      </w:r>
      <w:r>
        <w:t>to</w:t>
      </w:r>
      <w:r w:rsidR="00D23ECC">
        <w:t xml:space="preserve"> </w:t>
      </w:r>
      <w:r>
        <w:t>check</w:t>
      </w:r>
      <w:r w:rsidR="00D23ECC">
        <w:t xml:space="preserve"> </w:t>
      </w:r>
      <w:r>
        <w:t>compliance</w:t>
      </w:r>
      <w:r w:rsidR="00D23ECC">
        <w:t xml:space="preserve"> </w:t>
      </w:r>
      <w:r>
        <w:t>with</w:t>
      </w:r>
      <w:r w:rsidR="00D23ECC">
        <w:t xml:space="preserve"> </w:t>
      </w:r>
      <w:r>
        <w:t>underquoting</w:t>
      </w:r>
      <w:r w:rsidR="00D23ECC">
        <w:t xml:space="preserve"> </w:t>
      </w:r>
      <w:r>
        <w:t>and</w:t>
      </w:r>
      <w:r w:rsidR="00D23ECC">
        <w:t xml:space="preserve"> </w:t>
      </w:r>
      <w:r>
        <w:t>trust</w:t>
      </w:r>
      <w:r w:rsidR="00D23ECC">
        <w:t xml:space="preserve"> </w:t>
      </w:r>
      <w:r>
        <w:t>accounting</w:t>
      </w:r>
      <w:r w:rsidR="00D23ECC">
        <w:t xml:space="preserve"> </w:t>
      </w:r>
      <w:r>
        <w:t>laws.</w:t>
      </w:r>
      <w:r w:rsidR="00D23ECC">
        <w:t xml:space="preserve"> </w:t>
      </w:r>
      <w:r>
        <w:t>See</w:t>
      </w:r>
      <w:r w:rsidR="00D23ECC">
        <w:t xml:space="preserve"> </w:t>
      </w:r>
      <w:hyperlink w:anchor="_Our_achievements" w:history="1">
        <w:r w:rsidRPr="00DE629A">
          <w:rPr>
            <w:rStyle w:val="Hyperlink"/>
          </w:rPr>
          <w:t>‘Our</w:t>
        </w:r>
        <w:r w:rsidR="00D23ECC" w:rsidRPr="00DE629A">
          <w:rPr>
            <w:rStyle w:val="Hyperlink"/>
          </w:rPr>
          <w:t xml:space="preserve"> </w:t>
        </w:r>
        <w:r w:rsidRPr="00DE629A">
          <w:rPr>
            <w:rStyle w:val="Hyperlink"/>
          </w:rPr>
          <w:t>achievements’</w:t>
        </w:r>
      </w:hyperlink>
      <w:r w:rsidR="00D23ECC">
        <w:t xml:space="preserve"> </w:t>
      </w:r>
      <w:r>
        <w:t>on</w:t>
      </w:r>
      <w:r w:rsidR="00D23ECC">
        <w:t xml:space="preserve"> </w:t>
      </w:r>
      <w:r>
        <w:t>pages</w:t>
      </w:r>
      <w:r w:rsidR="00D23ECC">
        <w:t xml:space="preserve"> </w:t>
      </w:r>
      <w:r w:rsidR="00DE629A">
        <w:fldChar w:fldCharType="begin"/>
      </w:r>
      <w:r w:rsidR="00DE629A">
        <w:instrText xml:space="preserve"> PAGEREF _Ref85883341 \h </w:instrText>
      </w:r>
      <w:r w:rsidR="00DE629A">
        <w:fldChar w:fldCharType="separate"/>
      </w:r>
      <w:r w:rsidR="006C3CC1">
        <w:rPr>
          <w:noProof/>
        </w:rPr>
        <w:t>11</w:t>
      </w:r>
      <w:r w:rsidR="00DE629A">
        <w:fldChar w:fldCharType="end"/>
      </w:r>
      <w:r w:rsidR="00DE629A">
        <w:t>–</w:t>
      </w:r>
      <w:r w:rsidR="00DE629A">
        <w:fldChar w:fldCharType="begin"/>
      </w:r>
      <w:r w:rsidR="00DE629A">
        <w:instrText xml:space="preserve"> PAGEREF _Ref85883364 \h </w:instrText>
      </w:r>
      <w:r w:rsidR="00DE629A">
        <w:fldChar w:fldCharType="separate"/>
      </w:r>
      <w:r w:rsidR="006C3CC1">
        <w:rPr>
          <w:noProof/>
        </w:rPr>
        <w:t>25</w:t>
      </w:r>
      <w:r w:rsidR="00DE629A">
        <w:fldChar w:fldCharType="end"/>
      </w:r>
      <w:r w:rsidR="00D23ECC">
        <w:t xml:space="preserve"> </w:t>
      </w:r>
      <w:r>
        <w:t>for</w:t>
      </w:r>
      <w:r w:rsidR="00D23ECC">
        <w:t xml:space="preserve"> </w:t>
      </w:r>
      <w:r>
        <w:t>further</w:t>
      </w:r>
      <w:r w:rsidR="00D23ECC">
        <w:t xml:space="preserve"> </w:t>
      </w:r>
      <w:r>
        <w:t>detail</w:t>
      </w:r>
      <w:r w:rsidR="00D23ECC">
        <w:t xml:space="preserve"> </w:t>
      </w:r>
      <w:r>
        <w:t>about</w:t>
      </w:r>
      <w:r w:rsidR="00D23ECC">
        <w:t xml:space="preserve"> </w:t>
      </w:r>
      <w:r>
        <w:t>the</w:t>
      </w:r>
      <w:r w:rsidR="00D23ECC">
        <w:t xml:space="preserve"> </w:t>
      </w:r>
      <w:r>
        <w:t>approach</w:t>
      </w:r>
      <w:r w:rsidR="00D23ECC">
        <w:t xml:space="preserve"> </w:t>
      </w:r>
      <w:r>
        <w:t>and</w:t>
      </w:r>
      <w:r w:rsidR="00D23ECC">
        <w:t xml:space="preserve"> </w:t>
      </w:r>
      <w:r>
        <w:t>outcomes</w:t>
      </w:r>
      <w:r w:rsidR="00D23ECC">
        <w:t xml:space="preserve"> </w:t>
      </w:r>
      <w:r>
        <w:t>of</w:t>
      </w:r>
      <w:r w:rsidR="00D23ECC">
        <w:t xml:space="preserve"> </w:t>
      </w:r>
      <w:r>
        <w:t>these</w:t>
      </w:r>
      <w:r w:rsidR="00D23ECC">
        <w:t xml:space="preserve"> </w:t>
      </w:r>
      <w:r>
        <w:t>compliance</w:t>
      </w:r>
      <w:r w:rsidR="00D23ECC">
        <w:t xml:space="preserve"> </w:t>
      </w:r>
      <w:r>
        <w:t>strategies.</w:t>
      </w:r>
    </w:p>
    <w:p w14:paraId="76CF54AC" w14:textId="77777777" w:rsidR="00773D96" w:rsidRPr="00773D96" w:rsidRDefault="00773D96" w:rsidP="00773D96">
      <w:pPr>
        <w:pStyle w:val="BodyText"/>
      </w:pPr>
      <w:r w:rsidRPr="00773D96">
        <w:br w:type="page"/>
      </w:r>
    </w:p>
    <w:p w14:paraId="40D7BE52" w14:textId="09424B4A" w:rsidR="00DE3B0D" w:rsidRDefault="00DE3B0D" w:rsidP="00D23ECC">
      <w:pPr>
        <w:pStyle w:val="BodyText"/>
      </w:pPr>
      <w:r>
        <w:lastRenderedPageBreak/>
        <w:t>Towards</w:t>
      </w:r>
      <w:r w:rsidR="00D23ECC">
        <w:t xml:space="preserve"> </w:t>
      </w:r>
      <w:r>
        <w:t>the</w:t>
      </w:r>
      <w:r w:rsidR="00D23ECC">
        <w:t xml:space="preserve"> </w:t>
      </w:r>
      <w:r>
        <w:t>end</w:t>
      </w:r>
      <w:r w:rsidR="00D23ECC">
        <w:t xml:space="preserve"> </w:t>
      </w:r>
      <w:r>
        <w:t>of</w:t>
      </w:r>
      <w:r w:rsidR="00D23ECC">
        <w:t xml:space="preserve"> </w:t>
      </w:r>
      <w:r>
        <w:t>2020</w:t>
      </w:r>
      <w:r w:rsidR="00D23ECC">
        <w:t xml:space="preserve"> </w:t>
      </w:r>
      <w:r>
        <w:t>and</w:t>
      </w:r>
      <w:r w:rsidR="00D23ECC">
        <w:t xml:space="preserve"> </w:t>
      </w:r>
      <w:r>
        <w:t>during</w:t>
      </w:r>
      <w:r w:rsidR="00D23ECC">
        <w:t xml:space="preserve"> </w:t>
      </w:r>
      <w:r>
        <w:t>unusual</w:t>
      </w:r>
      <w:r w:rsidR="00D23ECC">
        <w:t xml:space="preserve"> </w:t>
      </w:r>
      <w:r>
        <w:t>conditions</w:t>
      </w:r>
      <w:r w:rsidR="00D23ECC">
        <w:t xml:space="preserve"> </w:t>
      </w:r>
      <w:r>
        <w:t>in</w:t>
      </w:r>
      <w:r w:rsidR="00D23ECC">
        <w:t xml:space="preserve"> </w:t>
      </w:r>
      <w:r>
        <w:t>the</w:t>
      </w:r>
      <w:r w:rsidR="00D23ECC">
        <w:t xml:space="preserve"> </w:t>
      </w:r>
      <w:r>
        <w:t>Victorian</w:t>
      </w:r>
      <w:r w:rsidR="00D23ECC">
        <w:t xml:space="preserve"> </w:t>
      </w:r>
      <w:r>
        <w:t>property</w:t>
      </w:r>
      <w:r w:rsidR="00D23ECC">
        <w:t xml:space="preserve"> </w:t>
      </w:r>
      <w:r>
        <w:t>market,</w:t>
      </w:r>
      <w:r w:rsidR="00D23ECC">
        <w:t xml:space="preserve"> </w:t>
      </w:r>
      <w:r>
        <w:t>we</w:t>
      </w:r>
      <w:r w:rsidR="00D23ECC">
        <w:t xml:space="preserve"> </w:t>
      </w:r>
      <w:r>
        <w:t>identified</w:t>
      </w:r>
      <w:r w:rsidR="00D23ECC">
        <w:t xml:space="preserve"> </w:t>
      </w:r>
      <w:r>
        <w:t>risks</w:t>
      </w:r>
      <w:r w:rsidR="00D23ECC">
        <w:t xml:space="preserve"> </w:t>
      </w:r>
      <w:r>
        <w:t>and</w:t>
      </w:r>
      <w:r w:rsidR="00D23ECC">
        <w:t xml:space="preserve"> </w:t>
      </w:r>
      <w:r>
        <w:t>responded</w:t>
      </w:r>
      <w:r w:rsidR="00D23ECC">
        <w:t xml:space="preserve"> </w:t>
      </w:r>
      <w:r>
        <w:t>quickly</w:t>
      </w:r>
      <w:r w:rsidR="00D23ECC">
        <w:t xml:space="preserve"> </w:t>
      </w:r>
      <w:r>
        <w:t>to</w:t>
      </w:r>
      <w:r w:rsidR="00D23ECC">
        <w:t xml:space="preserve"> </w:t>
      </w:r>
      <w:r>
        <w:t>increased</w:t>
      </w:r>
      <w:r w:rsidR="00D23ECC">
        <w:t xml:space="preserve"> </w:t>
      </w:r>
      <w:r>
        <w:t>contacts</w:t>
      </w:r>
      <w:r w:rsidR="00D23ECC">
        <w:t xml:space="preserve"> </w:t>
      </w:r>
      <w:r>
        <w:t>about</w:t>
      </w:r>
      <w:r w:rsidR="00D23ECC">
        <w:t xml:space="preserve"> </w:t>
      </w:r>
      <w:r>
        <w:t>underquoting.</w:t>
      </w:r>
      <w:r w:rsidR="00D23ECC">
        <w:t xml:space="preserve"> </w:t>
      </w:r>
      <w:r>
        <w:t>We</w:t>
      </w:r>
      <w:r w:rsidR="00D23ECC">
        <w:t xml:space="preserve"> </w:t>
      </w:r>
      <w:r>
        <w:t>intensified</w:t>
      </w:r>
      <w:r w:rsidR="00D23ECC">
        <w:t xml:space="preserve"> </w:t>
      </w:r>
      <w:r>
        <w:t>inspections</w:t>
      </w:r>
      <w:r w:rsidR="00D23ECC">
        <w:t xml:space="preserve"> </w:t>
      </w:r>
      <w:r>
        <w:t>and</w:t>
      </w:r>
      <w:r w:rsidR="00773D96">
        <w:t> </w:t>
      </w:r>
      <w:r>
        <w:t>communications</w:t>
      </w:r>
      <w:r w:rsidR="00D23ECC">
        <w:t xml:space="preserve"> </w:t>
      </w:r>
      <w:r>
        <w:t>to</w:t>
      </w:r>
      <w:r w:rsidR="00D23ECC">
        <w:t xml:space="preserve"> </w:t>
      </w:r>
      <w:r>
        <w:t>estate</w:t>
      </w:r>
      <w:r w:rsidR="00D23ECC">
        <w:t xml:space="preserve"> </w:t>
      </w:r>
      <w:r>
        <w:t>agents</w:t>
      </w:r>
      <w:r w:rsidR="00D23ECC">
        <w:t xml:space="preserve"> </w:t>
      </w:r>
      <w:r>
        <w:t>about</w:t>
      </w:r>
      <w:r w:rsidR="00D23ECC">
        <w:t xml:space="preserve"> </w:t>
      </w:r>
      <w:r>
        <w:t>compliance</w:t>
      </w:r>
      <w:r w:rsidR="00D23ECC">
        <w:t xml:space="preserve"> </w:t>
      </w:r>
      <w:r>
        <w:t>with</w:t>
      </w:r>
      <w:r w:rsidR="00D23ECC">
        <w:t xml:space="preserve"> </w:t>
      </w:r>
      <w:r>
        <w:t>underquoting</w:t>
      </w:r>
      <w:r w:rsidR="00D23ECC">
        <w:t xml:space="preserve"> </w:t>
      </w:r>
      <w:r>
        <w:t>laws.</w:t>
      </w:r>
      <w:r w:rsidR="00D23ECC">
        <w:t xml:space="preserve"> </w:t>
      </w:r>
      <w:r>
        <w:t>We</w:t>
      </w:r>
      <w:r w:rsidR="00D23ECC">
        <w:t xml:space="preserve"> </w:t>
      </w:r>
      <w:r>
        <w:t>also</w:t>
      </w:r>
      <w:r w:rsidR="00D23ECC">
        <w:t xml:space="preserve"> </w:t>
      </w:r>
      <w:r>
        <w:t>published</w:t>
      </w:r>
      <w:r w:rsidR="00D23ECC">
        <w:t xml:space="preserve"> </w:t>
      </w:r>
      <w:r>
        <w:t>information</w:t>
      </w:r>
      <w:r w:rsidR="00D23ECC">
        <w:t xml:space="preserve"> </w:t>
      </w:r>
      <w:r>
        <w:t>on</w:t>
      </w:r>
      <w:r w:rsidR="00D23ECC">
        <w:t xml:space="preserve"> </w:t>
      </w:r>
      <w:r>
        <w:t>our</w:t>
      </w:r>
      <w:r w:rsidR="00D23ECC">
        <w:t xml:space="preserve"> </w:t>
      </w:r>
      <w:r>
        <w:t>website</w:t>
      </w:r>
      <w:r w:rsidR="00D23ECC">
        <w:t xml:space="preserve"> </w:t>
      </w:r>
      <w:r>
        <w:t>during</w:t>
      </w:r>
      <w:r w:rsidR="00D23ECC">
        <w:t xml:space="preserve"> </w:t>
      </w:r>
      <w:r>
        <w:t>the</w:t>
      </w:r>
      <w:r w:rsidR="00D23ECC">
        <w:t xml:space="preserve"> </w:t>
      </w:r>
      <w:r>
        <w:t>2020</w:t>
      </w:r>
      <w:r w:rsidR="00D23ECC">
        <w:t xml:space="preserve"> </w:t>
      </w:r>
      <w:r>
        <w:t>spring</w:t>
      </w:r>
      <w:r w:rsidR="00D23ECC">
        <w:t xml:space="preserve"> </w:t>
      </w:r>
      <w:r>
        <w:t>sales</w:t>
      </w:r>
      <w:r w:rsidR="00D23ECC">
        <w:t xml:space="preserve"> </w:t>
      </w:r>
      <w:r>
        <w:t>campaigns</w:t>
      </w:r>
      <w:r w:rsidR="00D23ECC">
        <w:t xml:space="preserve"> </w:t>
      </w:r>
      <w:r>
        <w:t>to</w:t>
      </w:r>
      <w:r w:rsidR="00D23ECC">
        <w:t xml:space="preserve"> </w:t>
      </w:r>
      <w:r>
        <w:t>assist</w:t>
      </w:r>
      <w:r w:rsidR="00D23ECC">
        <w:t xml:space="preserve"> </w:t>
      </w:r>
      <w:r>
        <w:t>the</w:t>
      </w:r>
      <w:r w:rsidR="00D23ECC">
        <w:t xml:space="preserve"> </w:t>
      </w:r>
      <w:r>
        <w:t>public</w:t>
      </w:r>
      <w:r w:rsidR="00D23ECC">
        <w:t xml:space="preserve"> </w:t>
      </w:r>
      <w:r>
        <w:t>identify</w:t>
      </w:r>
      <w:r w:rsidR="00D23ECC">
        <w:t xml:space="preserve"> </w:t>
      </w:r>
      <w:r>
        <w:t>and</w:t>
      </w:r>
      <w:r w:rsidR="00D23ECC">
        <w:t xml:space="preserve"> </w:t>
      </w:r>
      <w:r>
        <w:t>report</w:t>
      </w:r>
      <w:r w:rsidR="00D23ECC">
        <w:t xml:space="preserve"> </w:t>
      </w:r>
      <w:r>
        <w:t>suspected</w:t>
      </w:r>
      <w:r w:rsidR="00D23ECC">
        <w:t xml:space="preserve"> </w:t>
      </w:r>
      <w:r>
        <w:t>underquoting.</w:t>
      </w:r>
      <w:r w:rsidR="00D23ECC">
        <w:t xml:space="preserve"> </w:t>
      </w:r>
      <w:r>
        <w:t>See</w:t>
      </w:r>
      <w:r w:rsidR="00D23ECC">
        <w:t xml:space="preserve"> </w:t>
      </w:r>
      <w:hyperlink w:anchor="_Underquoting" w:history="1">
        <w:r w:rsidRPr="008B12F9">
          <w:rPr>
            <w:rStyle w:val="Hyperlink"/>
          </w:rPr>
          <w:t>‘Our</w:t>
        </w:r>
        <w:r w:rsidR="00D23ECC" w:rsidRPr="008B12F9">
          <w:rPr>
            <w:rStyle w:val="Hyperlink"/>
          </w:rPr>
          <w:t xml:space="preserve"> </w:t>
        </w:r>
        <w:r w:rsidRPr="008B12F9">
          <w:rPr>
            <w:rStyle w:val="Hyperlink"/>
          </w:rPr>
          <w:t>achievements</w:t>
        </w:r>
        <w:r w:rsidR="00D23ECC" w:rsidRPr="008B12F9">
          <w:rPr>
            <w:rStyle w:val="Hyperlink"/>
          </w:rPr>
          <w:t xml:space="preserve"> </w:t>
        </w:r>
        <w:r w:rsidRPr="008B12F9">
          <w:rPr>
            <w:rStyle w:val="Hyperlink"/>
          </w:rPr>
          <w:t>–</w:t>
        </w:r>
        <w:r w:rsidR="00D23ECC" w:rsidRPr="008B12F9">
          <w:rPr>
            <w:rStyle w:val="Hyperlink"/>
          </w:rPr>
          <w:t xml:space="preserve"> </w:t>
        </w:r>
        <w:r w:rsidRPr="008B12F9">
          <w:rPr>
            <w:rStyle w:val="Hyperlink"/>
          </w:rPr>
          <w:t>Underquoting’</w:t>
        </w:r>
      </w:hyperlink>
      <w:r w:rsidR="00D23ECC">
        <w:t xml:space="preserve"> </w:t>
      </w:r>
      <w:r>
        <w:t>on</w:t>
      </w:r>
      <w:r w:rsidR="00D23ECC">
        <w:t xml:space="preserve"> </w:t>
      </w:r>
      <w:r>
        <w:t>page</w:t>
      </w:r>
      <w:r w:rsidR="00D23ECC">
        <w:t xml:space="preserve"> </w:t>
      </w:r>
      <w:r w:rsidR="008B12F9">
        <w:fldChar w:fldCharType="begin"/>
      </w:r>
      <w:r w:rsidR="008B12F9">
        <w:instrText xml:space="preserve"> PAGEREF _Ref85883517 \h </w:instrText>
      </w:r>
      <w:r w:rsidR="008B12F9">
        <w:fldChar w:fldCharType="separate"/>
      </w:r>
      <w:r w:rsidR="006C3CC1">
        <w:rPr>
          <w:noProof/>
        </w:rPr>
        <w:t>14</w:t>
      </w:r>
      <w:r w:rsidR="008B12F9">
        <w:fldChar w:fldCharType="end"/>
      </w:r>
      <w:r w:rsidR="00D23ECC">
        <w:t xml:space="preserve"> </w:t>
      </w:r>
      <w:r>
        <w:t>for</w:t>
      </w:r>
      <w:r w:rsidR="00D23ECC">
        <w:t xml:space="preserve"> </w:t>
      </w:r>
      <w:r>
        <w:t>further</w:t>
      </w:r>
      <w:r w:rsidR="00D23ECC">
        <w:t xml:space="preserve"> </w:t>
      </w:r>
      <w:r>
        <w:t>detail.</w:t>
      </w:r>
    </w:p>
    <w:p w14:paraId="2FAD1D57" w14:textId="49799952" w:rsidR="00DE3B0D" w:rsidRPr="00B04B74" w:rsidRDefault="00DE3B0D" w:rsidP="00B04B74">
      <w:pPr>
        <w:pStyle w:val="Heading3"/>
      </w:pPr>
      <w:bookmarkStart w:id="35" w:name="_Toc85912305"/>
      <w:r w:rsidRPr="00B04B74">
        <w:t>Compliance</w:t>
      </w:r>
      <w:r w:rsidR="00D23ECC" w:rsidRPr="00B04B74">
        <w:t xml:space="preserve"> </w:t>
      </w:r>
      <w:r w:rsidRPr="00B04B74">
        <w:t>related</w:t>
      </w:r>
      <w:r w:rsidR="00D23ECC" w:rsidRPr="00B04B74">
        <w:t xml:space="preserve"> </w:t>
      </w:r>
      <w:r w:rsidRPr="00B04B74">
        <w:t>assistance</w:t>
      </w:r>
      <w:r w:rsidR="00D23ECC" w:rsidRPr="00B04B74">
        <w:t xml:space="preserve"> </w:t>
      </w:r>
      <w:r w:rsidRPr="00B04B74">
        <w:t>and</w:t>
      </w:r>
      <w:r w:rsidR="00D23ECC" w:rsidRPr="00B04B74">
        <w:t xml:space="preserve"> </w:t>
      </w:r>
      <w:r w:rsidRPr="00B04B74">
        <w:t>advice</w:t>
      </w:r>
      <w:bookmarkEnd w:id="35"/>
    </w:p>
    <w:p w14:paraId="1F4B6C5F" w14:textId="0D58048F" w:rsidR="00DE3B0D" w:rsidRDefault="00DE3B0D" w:rsidP="00D23ECC">
      <w:pPr>
        <w:pStyle w:val="BodyText"/>
      </w:pPr>
      <w:r>
        <w:t>To</w:t>
      </w:r>
      <w:r w:rsidR="00D23ECC">
        <w:t xml:space="preserve"> </w:t>
      </w:r>
      <w:r>
        <w:t>accompany</w:t>
      </w:r>
      <w:r w:rsidR="00D23ECC">
        <w:t xml:space="preserve"> </w:t>
      </w:r>
      <w:r>
        <w:t>the</w:t>
      </w:r>
      <w:r w:rsidR="00D23ECC">
        <w:t xml:space="preserve"> </w:t>
      </w:r>
      <w:r>
        <w:t>introduction</w:t>
      </w:r>
      <w:r w:rsidR="00D23ECC">
        <w:t xml:space="preserve"> </w:t>
      </w:r>
      <w:r>
        <w:t>of</w:t>
      </w:r>
      <w:r w:rsidR="00D23ECC">
        <w:t xml:space="preserve"> </w:t>
      </w:r>
      <w:r>
        <w:t>the</w:t>
      </w:r>
      <w:r w:rsidR="00D23ECC">
        <w:t xml:space="preserve"> </w:t>
      </w:r>
      <w:r>
        <w:t>new</w:t>
      </w:r>
      <w:r w:rsidR="00D23ECC">
        <w:t xml:space="preserve"> </w:t>
      </w:r>
      <w:r>
        <w:t>rental</w:t>
      </w:r>
      <w:r w:rsidR="00D23ECC">
        <w:t xml:space="preserve"> </w:t>
      </w:r>
      <w:r>
        <w:t>laws,</w:t>
      </w:r>
      <w:r w:rsidR="00D23ECC">
        <w:t xml:space="preserve"> </w:t>
      </w:r>
      <w:r>
        <w:t>we</w:t>
      </w:r>
      <w:r w:rsidR="00D23ECC">
        <w:t xml:space="preserve"> </w:t>
      </w:r>
      <w:r>
        <w:t>delivered</w:t>
      </w:r>
      <w:r w:rsidR="00D23ECC">
        <w:t xml:space="preserve"> </w:t>
      </w:r>
      <w:r>
        <w:t>a</w:t>
      </w:r>
      <w:r w:rsidR="00D23ECC">
        <w:t xml:space="preserve"> </w:t>
      </w:r>
      <w:r>
        <w:t>range</w:t>
      </w:r>
      <w:r w:rsidR="00D23ECC">
        <w:t xml:space="preserve"> </w:t>
      </w:r>
      <w:r>
        <w:t>of</w:t>
      </w:r>
      <w:r w:rsidR="00D23ECC">
        <w:t xml:space="preserve"> </w:t>
      </w:r>
      <w:r>
        <w:t>online</w:t>
      </w:r>
      <w:r w:rsidR="00D23ECC">
        <w:t xml:space="preserve"> </w:t>
      </w:r>
      <w:r>
        <w:t>and</w:t>
      </w:r>
      <w:r w:rsidR="00D23ECC">
        <w:t xml:space="preserve"> </w:t>
      </w:r>
      <w:r>
        <w:t>easy</w:t>
      </w:r>
      <w:r w:rsidR="00D23ECC">
        <w:t xml:space="preserve"> </w:t>
      </w:r>
      <w:r>
        <w:t>to</w:t>
      </w:r>
      <w:r w:rsidR="00D23ECC">
        <w:t xml:space="preserve"> </w:t>
      </w:r>
      <w:r>
        <w:t>understand</w:t>
      </w:r>
      <w:r w:rsidR="00D23ECC">
        <w:t xml:space="preserve"> </w:t>
      </w:r>
      <w:r>
        <w:t>content.</w:t>
      </w:r>
    </w:p>
    <w:p w14:paraId="2B894338" w14:textId="12AC682B" w:rsidR="00DE3B0D" w:rsidRDefault="00DE3B0D" w:rsidP="00D23ECC">
      <w:pPr>
        <w:pStyle w:val="BodyText"/>
      </w:pPr>
      <w:r>
        <w:t>The</w:t>
      </w:r>
      <w:r w:rsidR="00D23ECC">
        <w:t xml:space="preserve"> </w:t>
      </w:r>
      <w:r>
        <w:t>renting</w:t>
      </w:r>
      <w:r w:rsidR="00D23ECC">
        <w:t xml:space="preserve"> </w:t>
      </w:r>
      <w:r>
        <w:t>content</w:t>
      </w:r>
      <w:r w:rsidR="00D23ECC">
        <w:t xml:space="preserve"> </w:t>
      </w:r>
      <w:r>
        <w:t>on</w:t>
      </w:r>
      <w:r w:rsidR="00D23ECC">
        <w:t xml:space="preserve"> </w:t>
      </w:r>
      <w:r>
        <w:t>the</w:t>
      </w:r>
      <w:r w:rsidR="00D23ECC">
        <w:t xml:space="preserve"> </w:t>
      </w:r>
      <w:r>
        <w:t>CAV</w:t>
      </w:r>
      <w:r w:rsidR="00D23ECC">
        <w:t xml:space="preserve"> </w:t>
      </w:r>
      <w:r>
        <w:t>website</w:t>
      </w:r>
      <w:r w:rsidR="00D23ECC">
        <w:t xml:space="preserve"> </w:t>
      </w:r>
      <w:r>
        <w:t>was</w:t>
      </w:r>
      <w:r w:rsidR="00D23ECC">
        <w:t xml:space="preserve"> </w:t>
      </w:r>
      <w:r>
        <w:t>refreshed</w:t>
      </w:r>
      <w:r w:rsidR="00D23ECC">
        <w:t xml:space="preserve"> </w:t>
      </w:r>
      <w:r>
        <w:t>to</w:t>
      </w:r>
      <w:r w:rsidR="00D23ECC">
        <w:t xml:space="preserve"> </w:t>
      </w:r>
      <w:r>
        <w:t>provide</w:t>
      </w:r>
      <w:r w:rsidR="00D23ECC">
        <w:t xml:space="preserve"> </w:t>
      </w:r>
      <w:r>
        <w:t>updated,</w:t>
      </w:r>
      <w:r w:rsidR="00D23ECC">
        <w:t xml:space="preserve"> </w:t>
      </w:r>
      <w:r>
        <w:t>clear</w:t>
      </w:r>
      <w:r w:rsidR="00D23ECC">
        <w:t xml:space="preserve"> </w:t>
      </w:r>
      <w:r>
        <w:t>and</w:t>
      </w:r>
      <w:r w:rsidR="00D23ECC">
        <w:t xml:space="preserve"> </w:t>
      </w:r>
      <w:r>
        <w:t>accessible</w:t>
      </w:r>
      <w:r w:rsidR="00D23ECC">
        <w:t xml:space="preserve"> </w:t>
      </w:r>
      <w:r>
        <w:t>information.</w:t>
      </w:r>
      <w:r w:rsidR="00D23ECC">
        <w:t xml:space="preserve"> </w:t>
      </w:r>
      <w:r>
        <w:t>Enhancements</w:t>
      </w:r>
      <w:r w:rsidR="00D23ECC">
        <w:t xml:space="preserve"> </w:t>
      </w:r>
      <w:r>
        <w:t>were</w:t>
      </w:r>
      <w:r w:rsidR="00D23ECC">
        <w:t xml:space="preserve"> </w:t>
      </w:r>
      <w:r>
        <w:t>also</w:t>
      </w:r>
      <w:r w:rsidR="00D23ECC">
        <w:t xml:space="preserve"> </w:t>
      </w:r>
      <w:r>
        <w:t>made</w:t>
      </w:r>
      <w:r w:rsidR="00D23ECC">
        <w:t xml:space="preserve"> </w:t>
      </w:r>
      <w:r>
        <w:t>to</w:t>
      </w:r>
      <w:r w:rsidR="00D23ECC">
        <w:t xml:space="preserve"> </w:t>
      </w:r>
      <w:r>
        <w:t>improve</w:t>
      </w:r>
      <w:r w:rsidR="00D23ECC">
        <w:t xml:space="preserve"> </w:t>
      </w:r>
      <w:r>
        <w:t>user</w:t>
      </w:r>
      <w:r w:rsidR="00D23ECC">
        <w:t xml:space="preserve"> </w:t>
      </w:r>
      <w:r>
        <w:t>experience.</w:t>
      </w:r>
      <w:r w:rsidR="00D23ECC">
        <w:t xml:space="preserve"> </w:t>
      </w:r>
      <w:r>
        <w:t>A</w:t>
      </w:r>
      <w:r w:rsidR="00D23ECC">
        <w:t xml:space="preserve"> </w:t>
      </w:r>
      <w:r>
        <w:t>comprehensive</w:t>
      </w:r>
      <w:r w:rsidR="00D23ECC">
        <w:t xml:space="preserve"> </w:t>
      </w:r>
      <w:r>
        <w:t>strategy</w:t>
      </w:r>
      <w:r w:rsidR="00D23ECC">
        <w:t xml:space="preserve"> </w:t>
      </w:r>
      <w:r>
        <w:t>provided</w:t>
      </w:r>
      <w:r w:rsidR="00D23ECC">
        <w:t xml:space="preserve"> </w:t>
      </w:r>
      <w:r>
        <w:t>clear,</w:t>
      </w:r>
      <w:r w:rsidR="00D23ECC">
        <w:t xml:space="preserve"> </w:t>
      </w:r>
      <w:r>
        <w:t>transparent</w:t>
      </w:r>
      <w:r w:rsidR="00D23ECC">
        <w:t xml:space="preserve"> </w:t>
      </w:r>
      <w:r>
        <w:t>and</w:t>
      </w:r>
      <w:r w:rsidR="00D23ECC">
        <w:t xml:space="preserve"> </w:t>
      </w:r>
      <w:r>
        <w:t>accessible</w:t>
      </w:r>
      <w:r w:rsidR="00D23ECC">
        <w:t xml:space="preserve"> </w:t>
      </w:r>
      <w:r>
        <w:t>information</w:t>
      </w:r>
      <w:r w:rsidR="00D23ECC">
        <w:t xml:space="preserve"> </w:t>
      </w:r>
      <w:r>
        <w:t>to</w:t>
      </w:r>
      <w:r w:rsidR="00D23ECC">
        <w:t xml:space="preserve"> </w:t>
      </w:r>
      <w:r>
        <w:t>CALD</w:t>
      </w:r>
      <w:r w:rsidR="00D23ECC">
        <w:t xml:space="preserve"> </w:t>
      </w:r>
      <w:r>
        <w:t>and</w:t>
      </w:r>
      <w:r w:rsidR="00D23ECC">
        <w:t xml:space="preserve"> </w:t>
      </w:r>
      <w:r>
        <w:t>vulnerable</w:t>
      </w:r>
      <w:r w:rsidR="00D23ECC">
        <w:t xml:space="preserve"> </w:t>
      </w:r>
      <w:r>
        <w:t>renters,</w:t>
      </w:r>
      <w:r w:rsidR="00D23ECC">
        <w:t xml:space="preserve"> </w:t>
      </w:r>
      <w:r>
        <w:t>including</w:t>
      </w:r>
      <w:r w:rsidR="00D23ECC">
        <w:t xml:space="preserve"> </w:t>
      </w:r>
      <w:r>
        <w:t>older</w:t>
      </w:r>
      <w:r w:rsidR="00D23ECC">
        <w:t xml:space="preserve"> </w:t>
      </w:r>
      <w:r>
        <w:t>Victorians,</w:t>
      </w:r>
      <w:r w:rsidR="00D23ECC">
        <w:t xml:space="preserve"> </w:t>
      </w:r>
      <w:r>
        <w:t>those</w:t>
      </w:r>
      <w:r w:rsidR="00D23ECC">
        <w:t xml:space="preserve"> </w:t>
      </w:r>
      <w:r>
        <w:t>on</w:t>
      </w:r>
      <w:r w:rsidR="00D23ECC">
        <w:t xml:space="preserve"> </w:t>
      </w:r>
      <w:r>
        <w:t>low</w:t>
      </w:r>
      <w:r w:rsidR="00D23ECC">
        <w:t xml:space="preserve"> </w:t>
      </w:r>
      <w:r>
        <w:t>or</w:t>
      </w:r>
      <w:r w:rsidR="00D23ECC">
        <w:t xml:space="preserve"> </w:t>
      </w:r>
      <w:r>
        <w:t>fixed</w:t>
      </w:r>
      <w:r w:rsidR="00D23ECC">
        <w:t xml:space="preserve"> </w:t>
      </w:r>
      <w:r>
        <w:t>incomes,</w:t>
      </w:r>
      <w:r w:rsidR="00D23ECC">
        <w:t xml:space="preserve"> </w:t>
      </w:r>
      <w:r>
        <w:t>family</w:t>
      </w:r>
      <w:r w:rsidR="00D23ECC">
        <w:t xml:space="preserve"> </w:t>
      </w:r>
      <w:r>
        <w:t>violence</w:t>
      </w:r>
      <w:r w:rsidR="00D23ECC">
        <w:t xml:space="preserve"> </w:t>
      </w:r>
      <w:r>
        <w:t>survivors,</w:t>
      </w:r>
      <w:r w:rsidR="00D23ECC">
        <w:t xml:space="preserve"> </w:t>
      </w:r>
      <w:r>
        <w:t>and</w:t>
      </w:r>
      <w:r w:rsidR="00D23ECC">
        <w:t xml:space="preserve"> </w:t>
      </w:r>
      <w:r>
        <w:t>people</w:t>
      </w:r>
      <w:r w:rsidR="00D23ECC">
        <w:t xml:space="preserve"> </w:t>
      </w:r>
      <w:r>
        <w:t>with</w:t>
      </w:r>
      <w:r w:rsidR="00D23ECC">
        <w:t xml:space="preserve"> </w:t>
      </w:r>
      <w:r>
        <w:t>disabilities.</w:t>
      </w:r>
      <w:r w:rsidR="00D23ECC">
        <w:t xml:space="preserve"> </w:t>
      </w:r>
      <w:r>
        <w:t>See</w:t>
      </w:r>
      <w:r w:rsidR="00D23ECC">
        <w:t xml:space="preserve"> </w:t>
      </w:r>
      <w:hyperlink w:anchor="_New_rental_laws" w:history="1">
        <w:r w:rsidRPr="008B12F9">
          <w:rPr>
            <w:rStyle w:val="Hyperlink"/>
          </w:rPr>
          <w:t>‘Our</w:t>
        </w:r>
        <w:r w:rsidR="00D23ECC" w:rsidRPr="008B12F9">
          <w:rPr>
            <w:rStyle w:val="Hyperlink"/>
          </w:rPr>
          <w:t xml:space="preserve"> </w:t>
        </w:r>
        <w:r w:rsidRPr="008B12F9">
          <w:rPr>
            <w:rStyle w:val="Hyperlink"/>
          </w:rPr>
          <w:t>Achievements</w:t>
        </w:r>
        <w:r w:rsidR="00D23ECC" w:rsidRPr="008B12F9">
          <w:rPr>
            <w:rStyle w:val="Hyperlink"/>
          </w:rPr>
          <w:t xml:space="preserve"> </w:t>
        </w:r>
        <w:r w:rsidRPr="008B12F9">
          <w:rPr>
            <w:rStyle w:val="Hyperlink"/>
          </w:rPr>
          <w:t>–</w:t>
        </w:r>
        <w:r w:rsidR="00D23ECC" w:rsidRPr="008B12F9">
          <w:rPr>
            <w:rStyle w:val="Hyperlink"/>
          </w:rPr>
          <w:t xml:space="preserve"> </w:t>
        </w:r>
        <w:r w:rsidRPr="008B12F9">
          <w:rPr>
            <w:rStyle w:val="Hyperlink"/>
          </w:rPr>
          <w:t>New</w:t>
        </w:r>
        <w:r w:rsidR="00D23ECC" w:rsidRPr="008B12F9">
          <w:rPr>
            <w:rStyle w:val="Hyperlink"/>
          </w:rPr>
          <w:t xml:space="preserve"> </w:t>
        </w:r>
        <w:r w:rsidRPr="008B12F9">
          <w:rPr>
            <w:rStyle w:val="Hyperlink"/>
          </w:rPr>
          <w:t>rental</w:t>
        </w:r>
        <w:r w:rsidR="00D23ECC" w:rsidRPr="008B12F9">
          <w:rPr>
            <w:rStyle w:val="Hyperlink"/>
          </w:rPr>
          <w:t xml:space="preserve"> </w:t>
        </w:r>
        <w:r w:rsidRPr="008B12F9">
          <w:rPr>
            <w:rStyle w:val="Hyperlink"/>
          </w:rPr>
          <w:t>laws’</w:t>
        </w:r>
      </w:hyperlink>
      <w:r w:rsidR="00D23ECC">
        <w:t xml:space="preserve"> </w:t>
      </w:r>
      <w:r>
        <w:t>on</w:t>
      </w:r>
      <w:r w:rsidR="00D23ECC">
        <w:t xml:space="preserve"> </w:t>
      </w:r>
      <w:r>
        <w:t>page</w:t>
      </w:r>
      <w:r w:rsidR="00D23ECC">
        <w:t xml:space="preserve"> </w:t>
      </w:r>
      <w:r w:rsidR="008B12F9">
        <w:fldChar w:fldCharType="begin"/>
      </w:r>
      <w:r w:rsidR="008B12F9">
        <w:instrText xml:space="preserve"> PAGEREF _Ref85883562 \h </w:instrText>
      </w:r>
      <w:r w:rsidR="008B12F9">
        <w:fldChar w:fldCharType="separate"/>
      </w:r>
      <w:r w:rsidR="006C3CC1">
        <w:rPr>
          <w:noProof/>
        </w:rPr>
        <w:t>23</w:t>
      </w:r>
      <w:r w:rsidR="008B12F9">
        <w:fldChar w:fldCharType="end"/>
      </w:r>
      <w:r w:rsidR="00D23ECC">
        <w:t xml:space="preserve"> </w:t>
      </w:r>
      <w:r>
        <w:t>for</w:t>
      </w:r>
      <w:r w:rsidR="00D23ECC">
        <w:t xml:space="preserve"> </w:t>
      </w:r>
      <w:r>
        <w:t>more</w:t>
      </w:r>
      <w:r w:rsidR="00D23ECC">
        <w:t xml:space="preserve"> </w:t>
      </w:r>
      <w:r>
        <w:t>information.</w:t>
      </w:r>
    </w:p>
    <w:p w14:paraId="4BE4727E" w14:textId="7C6A6BD5" w:rsidR="00DE3B0D" w:rsidRDefault="00DE3B0D" w:rsidP="00D23ECC">
      <w:pPr>
        <w:pStyle w:val="BodyText"/>
      </w:pPr>
      <w:r>
        <w:t>In</w:t>
      </w:r>
      <w:r w:rsidR="00D23ECC">
        <w:t xml:space="preserve"> </w:t>
      </w:r>
      <w:r>
        <w:t>anticipation</w:t>
      </w:r>
      <w:r w:rsidR="00D23ECC">
        <w:t xml:space="preserve"> </w:t>
      </w:r>
      <w:r>
        <w:t>of</w:t>
      </w:r>
      <w:r w:rsidR="00D23ECC">
        <w:t xml:space="preserve"> </w:t>
      </w:r>
      <w:r>
        <w:t>new</w:t>
      </w:r>
      <w:r w:rsidR="00D23ECC">
        <w:t xml:space="preserve"> </w:t>
      </w:r>
      <w:r>
        <w:t>requirements</w:t>
      </w:r>
      <w:r w:rsidR="00D23ECC">
        <w:t xml:space="preserve"> </w:t>
      </w:r>
      <w:r>
        <w:t>for</w:t>
      </w:r>
      <w:r w:rsidR="00D23ECC">
        <w:t xml:space="preserve"> </w:t>
      </w:r>
      <w:r>
        <w:t>registration</w:t>
      </w:r>
      <w:r w:rsidR="00D23ECC">
        <w:t xml:space="preserve"> </w:t>
      </w:r>
      <w:r>
        <w:t>of</w:t>
      </w:r>
      <w:r w:rsidR="00D23ECC">
        <w:t xml:space="preserve"> </w:t>
      </w:r>
      <w:r>
        <w:t>professional</w:t>
      </w:r>
      <w:r w:rsidR="00D23ECC">
        <w:t xml:space="preserve"> </w:t>
      </w:r>
      <w:r>
        <w:t>engineers,</w:t>
      </w:r>
      <w:r w:rsidR="00D23ECC">
        <w:t xml:space="preserve"> </w:t>
      </w:r>
      <w:r>
        <w:t>which</w:t>
      </w:r>
      <w:r w:rsidR="00D23ECC">
        <w:t xml:space="preserve"> </w:t>
      </w:r>
      <w:r>
        <w:t>commenced</w:t>
      </w:r>
      <w:r w:rsidR="00D23ECC">
        <w:t xml:space="preserve"> </w:t>
      </w:r>
      <w:r>
        <w:t>on</w:t>
      </w:r>
      <w:r w:rsidR="00D23ECC">
        <w:t xml:space="preserve"> </w:t>
      </w:r>
      <w:r>
        <w:t>1</w:t>
      </w:r>
      <w:r w:rsidR="00D23ECC">
        <w:t xml:space="preserve"> </w:t>
      </w:r>
      <w:r>
        <w:t>July</w:t>
      </w:r>
      <w:r w:rsidR="00D23ECC">
        <w:t xml:space="preserve"> </w:t>
      </w:r>
      <w:r>
        <w:t>2021,</w:t>
      </w:r>
      <w:r w:rsidR="00D23ECC">
        <w:t xml:space="preserve"> </w:t>
      </w:r>
      <w:r>
        <w:t>we</w:t>
      </w:r>
      <w:r w:rsidR="00D23ECC">
        <w:t xml:space="preserve"> </w:t>
      </w:r>
      <w:r>
        <w:t>developed,</w:t>
      </w:r>
      <w:r w:rsidR="00D23ECC">
        <w:t xml:space="preserve"> </w:t>
      </w:r>
      <w:r>
        <w:t>user</w:t>
      </w:r>
      <w:r w:rsidR="00D23ECC">
        <w:t xml:space="preserve"> </w:t>
      </w:r>
      <w:r>
        <w:t>tested</w:t>
      </w:r>
      <w:r w:rsidR="00D23ECC">
        <w:t xml:space="preserve"> </w:t>
      </w:r>
      <w:r>
        <w:t>and</w:t>
      </w:r>
      <w:r w:rsidR="00D23ECC">
        <w:t xml:space="preserve"> </w:t>
      </w:r>
      <w:r>
        <w:t>published</w:t>
      </w:r>
      <w:r w:rsidR="00D23ECC">
        <w:t xml:space="preserve"> </w:t>
      </w:r>
      <w:r>
        <w:t>website</w:t>
      </w:r>
      <w:r w:rsidR="00D23ECC">
        <w:t xml:space="preserve"> </w:t>
      </w:r>
      <w:r>
        <w:t>material</w:t>
      </w:r>
      <w:r w:rsidR="00D23ECC">
        <w:t xml:space="preserve"> </w:t>
      </w:r>
      <w:r>
        <w:t>to</w:t>
      </w:r>
      <w:r w:rsidR="00D23ECC">
        <w:t xml:space="preserve"> </w:t>
      </w:r>
      <w:r>
        <w:t>support</w:t>
      </w:r>
      <w:r w:rsidR="00D23ECC">
        <w:t xml:space="preserve"> </w:t>
      </w:r>
      <w:r>
        <w:t>professional</w:t>
      </w:r>
      <w:r w:rsidR="00D23ECC">
        <w:t xml:space="preserve"> </w:t>
      </w:r>
      <w:r>
        <w:t>engineers’</w:t>
      </w:r>
      <w:r w:rsidR="00D23ECC">
        <w:t xml:space="preserve"> </w:t>
      </w:r>
      <w:r>
        <w:t>understanding</w:t>
      </w:r>
      <w:r w:rsidR="00D23ECC">
        <w:t xml:space="preserve"> </w:t>
      </w:r>
      <w:r>
        <w:t>and</w:t>
      </w:r>
      <w:r w:rsidR="00D23ECC">
        <w:t xml:space="preserve"> </w:t>
      </w:r>
      <w:r>
        <w:t>future</w:t>
      </w:r>
      <w:r w:rsidR="00D23ECC">
        <w:t xml:space="preserve"> </w:t>
      </w:r>
      <w:r>
        <w:t>compliance</w:t>
      </w:r>
      <w:r w:rsidR="00D23ECC">
        <w:t xml:space="preserve"> </w:t>
      </w:r>
      <w:r>
        <w:t>with</w:t>
      </w:r>
      <w:r w:rsidR="00D23ECC">
        <w:t xml:space="preserve"> </w:t>
      </w:r>
      <w:r>
        <w:t>the</w:t>
      </w:r>
      <w:r w:rsidR="00D23ECC">
        <w:t xml:space="preserve"> </w:t>
      </w:r>
      <w:r>
        <w:t>Act.</w:t>
      </w:r>
      <w:r w:rsidR="00D23ECC">
        <w:t xml:space="preserve"> </w:t>
      </w:r>
      <w:r>
        <w:t>See</w:t>
      </w:r>
      <w:r w:rsidR="00D23ECC">
        <w:t xml:space="preserve"> </w:t>
      </w:r>
      <w:hyperlink w:anchor="_Registration_of_professional" w:history="1">
        <w:r w:rsidRPr="008B12F9">
          <w:rPr>
            <w:rStyle w:val="Hyperlink"/>
          </w:rPr>
          <w:t>‘Our</w:t>
        </w:r>
        <w:r w:rsidR="00D23ECC" w:rsidRPr="008B12F9">
          <w:rPr>
            <w:rStyle w:val="Hyperlink"/>
          </w:rPr>
          <w:t xml:space="preserve"> </w:t>
        </w:r>
        <w:r w:rsidRPr="008B12F9">
          <w:rPr>
            <w:rStyle w:val="Hyperlink"/>
          </w:rPr>
          <w:t>Achievements</w:t>
        </w:r>
        <w:r w:rsidR="00D23ECC" w:rsidRPr="008B12F9">
          <w:rPr>
            <w:rStyle w:val="Hyperlink"/>
          </w:rPr>
          <w:t xml:space="preserve"> </w:t>
        </w:r>
        <w:r w:rsidRPr="008B12F9">
          <w:rPr>
            <w:rStyle w:val="Hyperlink"/>
          </w:rPr>
          <w:t>–</w:t>
        </w:r>
        <w:r w:rsidR="00D23ECC" w:rsidRPr="008B12F9">
          <w:rPr>
            <w:rStyle w:val="Hyperlink"/>
          </w:rPr>
          <w:t xml:space="preserve"> </w:t>
        </w:r>
        <w:r w:rsidRPr="008B12F9">
          <w:rPr>
            <w:rStyle w:val="Hyperlink"/>
          </w:rPr>
          <w:t>Registration</w:t>
        </w:r>
        <w:r w:rsidR="00D23ECC" w:rsidRPr="008B12F9">
          <w:rPr>
            <w:rStyle w:val="Hyperlink"/>
          </w:rPr>
          <w:t xml:space="preserve"> </w:t>
        </w:r>
        <w:r w:rsidRPr="008B12F9">
          <w:rPr>
            <w:rStyle w:val="Hyperlink"/>
          </w:rPr>
          <w:t>of</w:t>
        </w:r>
        <w:r w:rsidR="00D23ECC" w:rsidRPr="008B12F9">
          <w:rPr>
            <w:rStyle w:val="Hyperlink"/>
          </w:rPr>
          <w:t xml:space="preserve"> </w:t>
        </w:r>
        <w:r w:rsidRPr="008B12F9">
          <w:rPr>
            <w:rStyle w:val="Hyperlink"/>
          </w:rPr>
          <w:t>professional</w:t>
        </w:r>
        <w:r w:rsidR="00D23ECC" w:rsidRPr="008B12F9">
          <w:rPr>
            <w:rStyle w:val="Hyperlink"/>
          </w:rPr>
          <w:t xml:space="preserve"> </w:t>
        </w:r>
        <w:r w:rsidRPr="008B12F9">
          <w:rPr>
            <w:rStyle w:val="Hyperlink"/>
          </w:rPr>
          <w:t>engineers</w:t>
        </w:r>
        <w:r w:rsidR="00D23ECC" w:rsidRPr="008B12F9">
          <w:rPr>
            <w:rStyle w:val="Hyperlink"/>
          </w:rPr>
          <w:t xml:space="preserve"> </w:t>
        </w:r>
        <w:r w:rsidRPr="008B12F9">
          <w:rPr>
            <w:rStyle w:val="Hyperlink"/>
          </w:rPr>
          <w:t>has</w:t>
        </w:r>
        <w:r w:rsidR="00D23ECC" w:rsidRPr="008B12F9">
          <w:rPr>
            <w:rStyle w:val="Hyperlink"/>
          </w:rPr>
          <w:t xml:space="preserve"> </w:t>
        </w:r>
        <w:r w:rsidRPr="008B12F9">
          <w:rPr>
            <w:rStyle w:val="Hyperlink"/>
          </w:rPr>
          <w:t>commenced’</w:t>
        </w:r>
      </w:hyperlink>
      <w:r w:rsidR="00D23ECC">
        <w:t xml:space="preserve"> </w:t>
      </w:r>
      <w:r>
        <w:t>on</w:t>
      </w:r>
      <w:r w:rsidR="00D23ECC">
        <w:t xml:space="preserve"> </w:t>
      </w:r>
      <w:r>
        <w:t>page</w:t>
      </w:r>
      <w:r w:rsidR="00D23ECC">
        <w:t xml:space="preserve"> </w:t>
      </w:r>
      <w:r w:rsidR="008B12F9">
        <w:fldChar w:fldCharType="begin"/>
      </w:r>
      <w:r w:rsidR="008B12F9">
        <w:instrText xml:space="preserve"> PAGEREF _Ref85883600 \h </w:instrText>
      </w:r>
      <w:r w:rsidR="008B12F9">
        <w:fldChar w:fldCharType="separate"/>
      </w:r>
      <w:r w:rsidR="006C3CC1">
        <w:rPr>
          <w:noProof/>
        </w:rPr>
        <w:t>12</w:t>
      </w:r>
      <w:r w:rsidR="008B12F9">
        <w:fldChar w:fldCharType="end"/>
      </w:r>
      <w:r w:rsidR="00D23ECC">
        <w:t xml:space="preserve"> </w:t>
      </w:r>
      <w:r>
        <w:t>for</w:t>
      </w:r>
      <w:r w:rsidR="00D23ECC">
        <w:t xml:space="preserve"> </w:t>
      </w:r>
      <w:r>
        <w:t>more</w:t>
      </w:r>
      <w:r w:rsidR="00D23ECC">
        <w:t xml:space="preserve"> </w:t>
      </w:r>
      <w:r>
        <w:t>information.</w:t>
      </w:r>
    </w:p>
    <w:p w14:paraId="65CA8AFE" w14:textId="77777777" w:rsidR="00F22B33" w:rsidRDefault="00F22B33" w:rsidP="00AE374E">
      <w:pPr>
        <w:pStyle w:val="Heading2"/>
        <w:sectPr w:rsidR="00F22B33" w:rsidSect="00FB2F9B">
          <w:footnotePr>
            <w:pos w:val="beneathText"/>
            <w:numRestart w:val="eachPage"/>
          </w:footnotePr>
          <w:type w:val="continuous"/>
          <w:pgSz w:w="11906" w:h="16838" w:code="9"/>
          <w:pgMar w:top="1418" w:right="1418" w:bottom="1134" w:left="1418" w:header="510" w:footer="510" w:gutter="0"/>
          <w:cols w:space="708"/>
          <w:titlePg/>
          <w:docGrid w:linePitch="360"/>
        </w:sectPr>
      </w:pPr>
    </w:p>
    <w:p w14:paraId="160919A0" w14:textId="1A847007" w:rsidR="00DE3B0D" w:rsidRDefault="00DE3B0D" w:rsidP="00AE374E">
      <w:pPr>
        <w:pStyle w:val="Heading2"/>
      </w:pPr>
      <w:bookmarkStart w:id="36" w:name="_Toc85912306"/>
      <w:r>
        <w:lastRenderedPageBreak/>
        <w:t>Financial</w:t>
      </w:r>
      <w:r w:rsidR="00D23ECC">
        <w:t xml:space="preserve"> </w:t>
      </w:r>
      <w:r>
        <w:t>information</w:t>
      </w:r>
      <w:r w:rsidR="00D23ECC">
        <w:t xml:space="preserve"> </w:t>
      </w:r>
      <w:r>
        <w:t>2020–21</w:t>
      </w:r>
      <w:bookmarkEnd w:id="36"/>
    </w:p>
    <w:tbl>
      <w:tblPr>
        <w:tblStyle w:val="TableGrid"/>
        <w:tblW w:w="20979" w:type="dxa"/>
        <w:tblLayout w:type="fixed"/>
        <w:tblLook w:val="06A0" w:firstRow="1" w:lastRow="0" w:firstColumn="1" w:lastColumn="0" w:noHBand="1" w:noVBand="1"/>
      </w:tblPr>
      <w:tblGrid>
        <w:gridCol w:w="7340"/>
        <w:gridCol w:w="1704"/>
        <w:gridCol w:w="1705"/>
        <w:gridCol w:w="1705"/>
        <w:gridCol w:w="1705"/>
        <w:gridCol w:w="1705"/>
        <w:gridCol w:w="1705"/>
        <w:gridCol w:w="1705"/>
        <w:gridCol w:w="1705"/>
      </w:tblGrid>
      <w:tr w:rsidR="003C5B62" w14:paraId="5DA8881F" w14:textId="77777777" w:rsidTr="00C52146">
        <w:trPr>
          <w:cnfStyle w:val="100000000000" w:firstRow="1" w:lastRow="0" w:firstColumn="0" w:lastColumn="0" w:oddVBand="0" w:evenVBand="0" w:oddHBand="0" w:evenHBand="0" w:firstRowFirstColumn="0" w:firstRowLastColumn="0" w:lastRowFirstColumn="0" w:lastRowLastColumn="0"/>
          <w:trHeight w:val="60"/>
          <w:tblHeader/>
        </w:trPr>
        <w:tc>
          <w:tcPr>
            <w:tcW w:w="7340" w:type="dxa"/>
          </w:tcPr>
          <w:p w14:paraId="291B81E3" w14:textId="77777777" w:rsidR="003C5B62" w:rsidRDefault="003C5B62" w:rsidP="00C52146">
            <w:pPr>
              <w:pStyle w:val="TableColHead"/>
            </w:pPr>
          </w:p>
        </w:tc>
        <w:tc>
          <w:tcPr>
            <w:tcW w:w="1704" w:type="dxa"/>
          </w:tcPr>
          <w:p w14:paraId="1F52A1D5" w14:textId="77777777" w:rsidR="003C5B62" w:rsidRDefault="003C5B62" w:rsidP="00C52146">
            <w:pPr>
              <w:pStyle w:val="TableColHeadRight"/>
            </w:pPr>
            <w:r>
              <w:t>Victorian Consumer Law Fund</w:t>
            </w:r>
          </w:p>
        </w:tc>
        <w:tc>
          <w:tcPr>
            <w:tcW w:w="1705" w:type="dxa"/>
          </w:tcPr>
          <w:p w14:paraId="40171CFB" w14:textId="77777777" w:rsidR="003C5B62" w:rsidRDefault="003C5B62" w:rsidP="00C52146">
            <w:pPr>
              <w:pStyle w:val="TableColHeadRight"/>
            </w:pPr>
            <w:r>
              <w:t>Domestic Builders Fund</w:t>
            </w:r>
          </w:p>
        </w:tc>
        <w:tc>
          <w:tcPr>
            <w:tcW w:w="1705" w:type="dxa"/>
          </w:tcPr>
          <w:p w14:paraId="51BF904A" w14:textId="77777777" w:rsidR="003C5B62" w:rsidRDefault="003C5B62" w:rsidP="00C52146">
            <w:pPr>
              <w:pStyle w:val="TableColHeadRight"/>
            </w:pPr>
            <w:r>
              <w:t>Motor Car Traders’ Guarantee Fund</w:t>
            </w:r>
          </w:p>
        </w:tc>
        <w:tc>
          <w:tcPr>
            <w:tcW w:w="1705" w:type="dxa"/>
          </w:tcPr>
          <w:p w14:paraId="3D0F4F2F" w14:textId="77777777" w:rsidR="003C5B62" w:rsidRDefault="003C5B62" w:rsidP="00C52146">
            <w:pPr>
              <w:pStyle w:val="TableColHeadRight"/>
            </w:pPr>
            <w:r>
              <w:t>Residential Bonds Investment Income Account</w:t>
            </w:r>
          </w:p>
        </w:tc>
        <w:tc>
          <w:tcPr>
            <w:tcW w:w="1705" w:type="dxa"/>
          </w:tcPr>
          <w:p w14:paraId="0F5D91EC" w14:textId="77777777" w:rsidR="003C5B62" w:rsidRDefault="003C5B62" w:rsidP="00C52146">
            <w:pPr>
              <w:pStyle w:val="TableColHeadRight"/>
            </w:pPr>
            <w:r>
              <w:t>Residential Tenancies Fund</w:t>
            </w:r>
          </w:p>
        </w:tc>
        <w:tc>
          <w:tcPr>
            <w:tcW w:w="1705" w:type="dxa"/>
          </w:tcPr>
          <w:p w14:paraId="13B3C807" w14:textId="77777777" w:rsidR="003C5B62" w:rsidRDefault="003C5B62" w:rsidP="00C52146">
            <w:pPr>
              <w:pStyle w:val="TableColHeadRight"/>
            </w:pPr>
            <w:r>
              <w:t>Sex Work Regulation Fund</w:t>
            </w:r>
          </w:p>
        </w:tc>
        <w:tc>
          <w:tcPr>
            <w:tcW w:w="1705" w:type="dxa"/>
          </w:tcPr>
          <w:p w14:paraId="730D7E58" w14:textId="77777777" w:rsidR="003C5B62" w:rsidRDefault="003C5B62" w:rsidP="00C52146">
            <w:pPr>
              <w:pStyle w:val="TableColHeadRight"/>
            </w:pPr>
            <w:r>
              <w:t>Victorian Property Fund</w:t>
            </w:r>
          </w:p>
        </w:tc>
        <w:tc>
          <w:tcPr>
            <w:tcW w:w="1705" w:type="dxa"/>
          </w:tcPr>
          <w:p w14:paraId="67B4F2F2" w14:textId="77777777" w:rsidR="003C5B62" w:rsidRDefault="003C5B62" w:rsidP="00C52146">
            <w:pPr>
              <w:pStyle w:val="TableColHeadRight"/>
            </w:pPr>
            <w:r>
              <w:t>Trust Funds Total</w:t>
            </w:r>
          </w:p>
          <w:p w14:paraId="23D92D38" w14:textId="2E396E21" w:rsidR="003C5B62" w:rsidRDefault="003C5B62" w:rsidP="00C52146">
            <w:pPr>
              <w:pStyle w:val="TableColHeadRight"/>
            </w:pPr>
            <w:r>
              <w:t>20</w:t>
            </w:r>
            <w:r w:rsidR="007C37DD">
              <w:t>20</w:t>
            </w:r>
            <w:r>
              <w:t>–2</w:t>
            </w:r>
            <w:r w:rsidR="007C37DD">
              <w:t>1</w:t>
            </w:r>
          </w:p>
        </w:tc>
      </w:tr>
      <w:tr w:rsidR="007C37DD" w14:paraId="7898CFC0" w14:textId="77777777" w:rsidTr="00C52146">
        <w:trPr>
          <w:trHeight w:val="60"/>
        </w:trPr>
        <w:tc>
          <w:tcPr>
            <w:tcW w:w="20979" w:type="dxa"/>
            <w:gridSpan w:val="9"/>
            <w:shd w:val="clear" w:color="auto" w:fill="B2D5F0"/>
          </w:tcPr>
          <w:p w14:paraId="257AF1BE" w14:textId="13AC81F2" w:rsidR="007C37DD" w:rsidRPr="00E3488C" w:rsidRDefault="007C37DD" w:rsidP="007C37DD">
            <w:pPr>
              <w:pStyle w:val="TableTextBold"/>
            </w:pPr>
            <w:r w:rsidRPr="000F7C09">
              <w:t>CAV trust funds revenue</w:t>
            </w:r>
          </w:p>
        </w:tc>
      </w:tr>
      <w:tr w:rsidR="007C37DD" w14:paraId="024DE8D5" w14:textId="77777777" w:rsidTr="00C52146">
        <w:trPr>
          <w:trHeight w:val="60"/>
        </w:trPr>
        <w:tc>
          <w:tcPr>
            <w:tcW w:w="7340" w:type="dxa"/>
          </w:tcPr>
          <w:p w14:paraId="1966EEC4" w14:textId="4BD96209" w:rsidR="007C37DD" w:rsidRDefault="007C37DD" w:rsidP="007C37DD">
            <w:pPr>
              <w:pStyle w:val="TableText"/>
            </w:pPr>
            <w:r w:rsidRPr="000F7C09">
              <w:t>Revenue recognition, Estate Agent and Conveyancer trust accounts</w:t>
            </w:r>
          </w:p>
        </w:tc>
        <w:tc>
          <w:tcPr>
            <w:tcW w:w="1704" w:type="dxa"/>
          </w:tcPr>
          <w:p w14:paraId="1CE28BFA" w14:textId="77777777" w:rsidR="007C37DD" w:rsidRDefault="007C37DD" w:rsidP="007C37DD">
            <w:pPr>
              <w:pStyle w:val="TableTextRight"/>
            </w:pPr>
          </w:p>
        </w:tc>
        <w:tc>
          <w:tcPr>
            <w:tcW w:w="1705" w:type="dxa"/>
          </w:tcPr>
          <w:p w14:paraId="3A20C731" w14:textId="77777777" w:rsidR="007C37DD" w:rsidRDefault="007C37DD" w:rsidP="007C37DD">
            <w:pPr>
              <w:pStyle w:val="TableTextRight"/>
            </w:pPr>
          </w:p>
        </w:tc>
        <w:tc>
          <w:tcPr>
            <w:tcW w:w="1705" w:type="dxa"/>
          </w:tcPr>
          <w:p w14:paraId="168686AF" w14:textId="77777777" w:rsidR="007C37DD" w:rsidRDefault="007C37DD" w:rsidP="007C37DD">
            <w:pPr>
              <w:pStyle w:val="TableTextRight"/>
            </w:pPr>
          </w:p>
        </w:tc>
        <w:tc>
          <w:tcPr>
            <w:tcW w:w="1705" w:type="dxa"/>
          </w:tcPr>
          <w:p w14:paraId="41E99FEC" w14:textId="77777777" w:rsidR="007C37DD" w:rsidRDefault="007C37DD" w:rsidP="007C37DD">
            <w:pPr>
              <w:pStyle w:val="TableTextRight"/>
            </w:pPr>
          </w:p>
        </w:tc>
        <w:tc>
          <w:tcPr>
            <w:tcW w:w="1705" w:type="dxa"/>
          </w:tcPr>
          <w:p w14:paraId="3AA8EAFD" w14:textId="77777777" w:rsidR="007C37DD" w:rsidRDefault="007C37DD" w:rsidP="007C37DD">
            <w:pPr>
              <w:pStyle w:val="TableTextRight"/>
            </w:pPr>
          </w:p>
        </w:tc>
        <w:tc>
          <w:tcPr>
            <w:tcW w:w="1705" w:type="dxa"/>
          </w:tcPr>
          <w:p w14:paraId="7D4BC5F8" w14:textId="77777777" w:rsidR="007C37DD" w:rsidRDefault="007C37DD" w:rsidP="007C37DD">
            <w:pPr>
              <w:pStyle w:val="TableTextRight"/>
            </w:pPr>
          </w:p>
        </w:tc>
        <w:tc>
          <w:tcPr>
            <w:tcW w:w="1705" w:type="dxa"/>
          </w:tcPr>
          <w:p w14:paraId="5EF6C808" w14:textId="3599A869" w:rsidR="007C37DD" w:rsidRDefault="007C37DD" w:rsidP="007C37DD">
            <w:pPr>
              <w:pStyle w:val="TableTextRight"/>
            </w:pPr>
            <w:r w:rsidRPr="000F7C09">
              <w:t>3,869,862</w:t>
            </w:r>
          </w:p>
        </w:tc>
        <w:tc>
          <w:tcPr>
            <w:tcW w:w="1705" w:type="dxa"/>
          </w:tcPr>
          <w:p w14:paraId="3C64CE5F" w14:textId="11769D30" w:rsidR="007C37DD" w:rsidRDefault="007C37DD" w:rsidP="007C37DD">
            <w:pPr>
              <w:pStyle w:val="TableTextRight"/>
            </w:pPr>
            <w:r w:rsidRPr="000F7C09">
              <w:t>3,869,862</w:t>
            </w:r>
          </w:p>
        </w:tc>
      </w:tr>
      <w:tr w:rsidR="007C37DD" w14:paraId="5BA87254" w14:textId="77777777" w:rsidTr="00C52146">
        <w:trPr>
          <w:trHeight w:val="60"/>
        </w:trPr>
        <w:tc>
          <w:tcPr>
            <w:tcW w:w="7340" w:type="dxa"/>
          </w:tcPr>
          <w:p w14:paraId="01E9F073" w14:textId="5109B325" w:rsidR="007C37DD" w:rsidRDefault="007C37DD" w:rsidP="007C37DD">
            <w:pPr>
              <w:pStyle w:val="TableText"/>
            </w:pPr>
            <w:r w:rsidRPr="000F7C09">
              <w:t>Revenue recognition, Residential Tenancy Bonds</w:t>
            </w:r>
          </w:p>
        </w:tc>
        <w:tc>
          <w:tcPr>
            <w:tcW w:w="1704" w:type="dxa"/>
          </w:tcPr>
          <w:p w14:paraId="06BA20AF" w14:textId="77777777" w:rsidR="007C37DD" w:rsidRDefault="007C37DD" w:rsidP="007C37DD">
            <w:pPr>
              <w:pStyle w:val="TableTextRight"/>
            </w:pPr>
          </w:p>
        </w:tc>
        <w:tc>
          <w:tcPr>
            <w:tcW w:w="1705" w:type="dxa"/>
          </w:tcPr>
          <w:p w14:paraId="2D8486D4" w14:textId="77777777" w:rsidR="007C37DD" w:rsidRDefault="007C37DD" w:rsidP="007C37DD">
            <w:pPr>
              <w:pStyle w:val="TableTextRight"/>
            </w:pPr>
          </w:p>
        </w:tc>
        <w:tc>
          <w:tcPr>
            <w:tcW w:w="1705" w:type="dxa"/>
          </w:tcPr>
          <w:p w14:paraId="50353A24" w14:textId="77777777" w:rsidR="007C37DD" w:rsidRDefault="007C37DD" w:rsidP="007C37DD">
            <w:pPr>
              <w:pStyle w:val="TableTextRight"/>
            </w:pPr>
          </w:p>
        </w:tc>
        <w:tc>
          <w:tcPr>
            <w:tcW w:w="1705" w:type="dxa"/>
          </w:tcPr>
          <w:p w14:paraId="25045783" w14:textId="01F35E8F" w:rsidR="007C37DD" w:rsidRDefault="007C37DD" w:rsidP="007C37DD">
            <w:pPr>
              <w:pStyle w:val="TableTextRight"/>
            </w:pPr>
            <w:r w:rsidRPr="000F7C09">
              <w:t>43,448,086</w:t>
            </w:r>
          </w:p>
        </w:tc>
        <w:tc>
          <w:tcPr>
            <w:tcW w:w="1705" w:type="dxa"/>
          </w:tcPr>
          <w:p w14:paraId="329E0DAA" w14:textId="77777777" w:rsidR="007C37DD" w:rsidRDefault="007C37DD" w:rsidP="007C37DD">
            <w:pPr>
              <w:pStyle w:val="TableTextRight"/>
            </w:pPr>
          </w:p>
        </w:tc>
        <w:tc>
          <w:tcPr>
            <w:tcW w:w="1705" w:type="dxa"/>
          </w:tcPr>
          <w:p w14:paraId="747EFAC3" w14:textId="77777777" w:rsidR="007C37DD" w:rsidRDefault="007C37DD" w:rsidP="007C37DD">
            <w:pPr>
              <w:pStyle w:val="TableTextRight"/>
            </w:pPr>
          </w:p>
        </w:tc>
        <w:tc>
          <w:tcPr>
            <w:tcW w:w="1705" w:type="dxa"/>
          </w:tcPr>
          <w:p w14:paraId="4666FA09" w14:textId="77777777" w:rsidR="007C37DD" w:rsidRDefault="007C37DD" w:rsidP="007C37DD">
            <w:pPr>
              <w:pStyle w:val="TableTextRight"/>
            </w:pPr>
          </w:p>
        </w:tc>
        <w:tc>
          <w:tcPr>
            <w:tcW w:w="1705" w:type="dxa"/>
          </w:tcPr>
          <w:p w14:paraId="7792F406" w14:textId="5B770E34" w:rsidR="007C37DD" w:rsidRDefault="007C37DD" w:rsidP="007C37DD">
            <w:pPr>
              <w:pStyle w:val="TableTextRight"/>
            </w:pPr>
            <w:r w:rsidRPr="000F7C09">
              <w:t>43,448,086</w:t>
            </w:r>
          </w:p>
        </w:tc>
      </w:tr>
      <w:tr w:rsidR="007C37DD" w14:paraId="48A41103" w14:textId="77777777" w:rsidTr="00C52146">
        <w:trPr>
          <w:trHeight w:val="60"/>
        </w:trPr>
        <w:tc>
          <w:tcPr>
            <w:tcW w:w="7340" w:type="dxa"/>
          </w:tcPr>
          <w:p w14:paraId="6836ECEF" w14:textId="2E5F751A" w:rsidR="007C37DD" w:rsidRDefault="007C37DD" w:rsidP="007C37DD">
            <w:pPr>
              <w:pStyle w:val="TableText"/>
            </w:pPr>
            <w:r w:rsidRPr="000F7C09">
              <w:t>Fees income</w:t>
            </w:r>
          </w:p>
        </w:tc>
        <w:tc>
          <w:tcPr>
            <w:tcW w:w="1704" w:type="dxa"/>
          </w:tcPr>
          <w:p w14:paraId="1E2C86A9" w14:textId="77777777" w:rsidR="007C37DD" w:rsidRDefault="007C37DD" w:rsidP="007C37DD">
            <w:pPr>
              <w:pStyle w:val="TableTextRight"/>
            </w:pPr>
          </w:p>
        </w:tc>
        <w:tc>
          <w:tcPr>
            <w:tcW w:w="1705" w:type="dxa"/>
          </w:tcPr>
          <w:p w14:paraId="2D36C235" w14:textId="16433714" w:rsidR="007C37DD" w:rsidRDefault="007C37DD" w:rsidP="007C37DD">
            <w:pPr>
              <w:pStyle w:val="TableTextRight"/>
            </w:pPr>
            <w:r w:rsidRPr="000F7C09">
              <w:t>923,010</w:t>
            </w:r>
          </w:p>
        </w:tc>
        <w:tc>
          <w:tcPr>
            <w:tcW w:w="1705" w:type="dxa"/>
          </w:tcPr>
          <w:p w14:paraId="28C549AA" w14:textId="6BF2C25B" w:rsidR="007C37DD" w:rsidRDefault="007C37DD" w:rsidP="007C37DD">
            <w:pPr>
              <w:pStyle w:val="TableTextRight"/>
            </w:pPr>
            <w:r w:rsidRPr="000F7C09">
              <w:t>2,988,867</w:t>
            </w:r>
          </w:p>
        </w:tc>
        <w:tc>
          <w:tcPr>
            <w:tcW w:w="1705" w:type="dxa"/>
          </w:tcPr>
          <w:p w14:paraId="33A7D381" w14:textId="77777777" w:rsidR="007C37DD" w:rsidRDefault="007C37DD" w:rsidP="007C37DD">
            <w:pPr>
              <w:pStyle w:val="TableTextRight"/>
            </w:pPr>
          </w:p>
        </w:tc>
        <w:tc>
          <w:tcPr>
            <w:tcW w:w="1705" w:type="dxa"/>
          </w:tcPr>
          <w:p w14:paraId="4869C00C" w14:textId="1DF495C8" w:rsidR="007C37DD" w:rsidRDefault="007C37DD" w:rsidP="007C37DD">
            <w:pPr>
              <w:pStyle w:val="TableTextRight"/>
            </w:pPr>
            <w:r w:rsidRPr="000F7C09">
              <w:t>2,211,206</w:t>
            </w:r>
          </w:p>
        </w:tc>
        <w:tc>
          <w:tcPr>
            <w:tcW w:w="1705" w:type="dxa"/>
          </w:tcPr>
          <w:p w14:paraId="1BF97171" w14:textId="135AA98D" w:rsidR="007C37DD" w:rsidRDefault="007C37DD" w:rsidP="007C37DD">
            <w:pPr>
              <w:pStyle w:val="TableTextRight"/>
            </w:pPr>
            <w:r w:rsidRPr="000F7C09">
              <w:t>336,573</w:t>
            </w:r>
          </w:p>
        </w:tc>
        <w:tc>
          <w:tcPr>
            <w:tcW w:w="1705" w:type="dxa"/>
          </w:tcPr>
          <w:p w14:paraId="4B81B0CD" w14:textId="32DD8536" w:rsidR="007C37DD" w:rsidRDefault="007C37DD" w:rsidP="007C37DD">
            <w:pPr>
              <w:pStyle w:val="TableTextRight"/>
            </w:pPr>
            <w:r w:rsidRPr="000F7C09">
              <w:t>7,814,336</w:t>
            </w:r>
          </w:p>
        </w:tc>
        <w:tc>
          <w:tcPr>
            <w:tcW w:w="1705" w:type="dxa"/>
          </w:tcPr>
          <w:p w14:paraId="49687D84" w14:textId="4106520D" w:rsidR="007C37DD" w:rsidRDefault="007C37DD" w:rsidP="007C37DD">
            <w:pPr>
              <w:pStyle w:val="TableTextRight"/>
            </w:pPr>
            <w:r w:rsidRPr="000F7C09">
              <w:t>14,273,992</w:t>
            </w:r>
          </w:p>
        </w:tc>
      </w:tr>
      <w:tr w:rsidR="007C37DD" w14:paraId="1958449C" w14:textId="77777777" w:rsidTr="00C52146">
        <w:trPr>
          <w:trHeight w:val="60"/>
        </w:trPr>
        <w:tc>
          <w:tcPr>
            <w:tcW w:w="7340" w:type="dxa"/>
          </w:tcPr>
          <w:p w14:paraId="592D74AF" w14:textId="072B70EC" w:rsidR="007C37DD" w:rsidRDefault="007C37DD" w:rsidP="007C37DD">
            <w:pPr>
              <w:pStyle w:val="TableText"/>
            </w:pPr>
            <w:r w:rsidRPr="000F7C09">
              <w:t>Interest income</w:t>
            </w:r>
          </w:p>
        </w:tc>
        <w:tc>
          <w:tcPr>
            <w:tcW w:w="1704" w:type="dxa"/>
          </w:tcPr>
          <w:p w14:paraId="3FE23A30" w14:textId="5F4F5822" w:rsidR="007C37DD" w:rsidRDefault="007C37DD" w:rsidP="007C37DD">
            <w:pPr>
              <w:pStyle w:val="TableTextRight"/>
            </w:pPr>
            <w:r w:rsidRPr="000F7C09">
              <w:t>15,834</w:t>
            </w:r>
          </w:p>
        </w:tc>
        <w:tc>
          <w:tcPr>
            <w:tcW w:w="1705" w:type="dxa"/>
          </w:tcPr>
          <w:p w14:paraId="64DF0A65" w14:textId="3074F5AD" w:rsidR="007C37DD" w:rsidRDefault="007C37DD" w:rsidP="007C37DD">
            <w:pPr>
              <w:pStyle w:val="TableTextRight"/>
            </w:pPr>
            <w:r w:rsidRPr="000F7C09">
              <w:t>413,263</w:t>
            </w:r>
          </w:p>
        </w:tc>
        <w:tc>
          <w:tcPr>
            <w:tcW w:w="1705" w:type="dxa"/>
          </w:tcPr>
          <w:p w14:paraId="5B9E9F0E" w14:textId="655181E9" w:rsidR="007C37DD" w:rsidRDefault="007C37DD" w:rsidP="007C37DD">
            <w:pPr>
              <w:pStyle w:val="TableTextRight"/>
            </w:pPr>
            <w:r w:rsidRPr="000F7C09">
              <w:t>17,508</w:t>
            </w:r>
          </w:p>
        </w:tc>
        <w:tc>
          <w:tcPr>
            <w:tcW w:w="1705" w:type="dxa"/>
          </w:tcPr>
          <w:p w14:paraId="6F48B82C" w14:textId="0C0075E2" w:rsidR="007C37DD" w:rsidRDefault="007C37DD" w:rsidP="007C37DD">
            <w:pPr>
              <w:pStyle w:val="TableTextRight"/>
            </w:pPr>
            <w:r w:rsidRPr="000F7C09">
              <w:t>100,610</w:t>
            </w:r>
          </w:p>
        </w:tc>
        <w:tc>
          <w:tcPr>
            <w:tcW w:w="1705" w:type="dxa"/>
          </w:tcPr>
          <w:p w14:paraId="53CE52E4" w14:textId="7527DFB5" w:rsidR="007C37DD" w:rsidRDefault="007C37DD" w:rsidP="007C37DD">
            <w:pPr>
              <w:pStyle w:val="TableTextRight"/>
            </w:pPr>
            <w:r w:rsidRPr="000F7C09">
              <w:t>3,049,722</w:t>
            </w:r>
          </w:p>
        </w:tc>
        <w:tc>
          <w:tcPr>
            <w:tcW w:w="1705" w:type="dxa"/>
          </w:tcPr>
          <w:p w14:paraId="2D4EC5AD" w14:textId="3B53AAFF" w:rsidR="007C37DD" w:rsidRDefault="007C37DD" w:rsidP="007C37DD">
            <w:pPr>
              <w:pStyle w:val="TableTextRight"/>
            </w:pPr>
            <w:r w:rsidRPr="000F7C09">
              <w:t>1,140</w:t>
            </w:r>
          </w:p>
        </w:tc>
        <w:tc>
          <w:tcPr>
            <w:tcW w:w="1705" w:type="dxa"/>
          </w:tcPr>
          <w:p w14:paraId="42025750" w14:textId="41FBEFF2" w:rsidR="007C37DD" w:rsidRDefault="007C37DD" w:rsidP="007C37DD">
            <w:pPr>
              <w:pStyle w:val="TableTextRight"/>
            </w:pPr>
            <w:r w:rsidRPr="000F7C09">
              <w:t>11,386,406</w:t>
            </w:r>
          </w:p>
        </w:tc>
        <w:tc>
          <w:tcPr>
            <w:tcW w:w="1705" w:type="dxa"/>
          </w:tcPr>
          <w:p w14:paraId="6EDC6D41" w14:textId="67823769" w:rsidR="007C37DD" w:rsidRDefault="007C37DD" w:rsidP="007C37DD">
            <w:pPr>
              <w:pStyle w:val="TableTextRight"/>
            </w:pPr>
            <w:r w:rsidRPr="000F7C09">
              <w:t>14,984,483</w:t>
            </w:r>
          </w:p>
        </w:tc>
      </w:tr>
      <w:tr w:rsidR="007C37DD" w14:paraId="6042A46F" w14:textId="77777777" w:rsidTr="00C52146">
        <w:trPr>
          <w:trHeight w:val="60"/>
        </w:trPr>
        <w:tc>
          <w:tcPr>
            <w:tcW w:w="7340" w:type="dxa"/>
          </w:tcPr>
          <w:p w14:paraId="6A4CE106" w14:textId="07A811BA" w:rsidR="007C37DD" w:rsidRDefault="007C37DD" w:rsidP="007C37DD">
            <w:pPr>
              <w:pStyle w:val="TableText"/>
            </w:pPr>
            <w:r w:rsidRPr="000F7C09">
              <w:t>Transferred from the Victorian Building Authority </w:t>
            </w:r>
            <w:r>
              <w:rPr>
                <w:vertAlign w:val="superscript"/>
              </w:rPr>
              <w:footnoteReference w:id="10"/>
            </w:r>
          </w:p>
        </w:tc>
        <w:tc>
          <w:tcPr>
            <w:tcW w:w="1704" w:type="dxa"/>
          </w:tcPr>
          <w:p w14:paraId="2261808B" w14:textId="77777777" w:rsidR="007C37DD" w:rsidRDefault="007C37DD" w:rsidP="007C37DD">
            <w:pPr>
              <w:pStyle w:val="TableTextRight"/>
            </w:pPr>
          </w:p>
        </w:tc>
        <w:tc>
          <w:tcPr>
            <w:tcW w:w="1705" w:type="dxa"/>
          </w:tcPr>
          <w:p w14:paraId="118D146A" w14:textId="150E1AB3" w:rsidR="007C37DD" w:rsidRDefault="007C37DD" w:rsidP="007C37DD">
            <w:pPr>
              <w:pStyle w:val="TableTextRight"/>
            </w:pPr>
            <w:r w:rsidRPr="000F7C09">
              <w:t>18,240,924</w:t>
            </w:r>
          </w:p>
        </w:tc>
        <w:tc>
          <w:tcPr>
            <w:tcW w:w="1705" w:type="dxa"/>
          </w:tcPr>
          <w:p w14:paraId="6C54D7A9" w14:textId="77777777" w:rsidR="007C37DD" w:rsidRDefault="007C37DD" w:rsidP="007C37DD">
            <w:pPr>
              <w:pStyle w:val="TableTextRight"/>
            </w:pPr>
          </w:p>
        </w:tc>
        <w:tc>
          <w:tcPr>
            <w:tcW w:w="1705" w:type="dxa"/>
          </w:tcPr>
          <w:p w14:paraId="0DE24E3B" w14:textId="77777777" w:rsidR="007C37DD" w:rsidRDefault="007C37DD" w:rsidP="007C37DD">
            <w:pPr>
              <w:pStyle w:val="TableTextRight"/>
            </w:pPr>
          </w:p>
        </w:tc>
        <w:tc>
          <w:tcPr>
            <w:tcW w:w="1705" w:type="dxa"/>
          </w:tcPr>
          <w:p w14:paraId="3DDFED33" w14:textId="77777777" w:rsidR="007C37DD" w:rsidRDefault="007C37DD" w:rsidP="007C37DD">
            <w:pPr>
              <w:pStyle w:val="TableTextRight"/>
            </w:pPr>
          </w:p>
        </w:tc>
        <w:tc>
          <w:tcPr>
            <w:tcW w:w="1705" w:type="dxa"/>
          </w:tcPr>
          <w:p w14:paraId="529B871B" w14:textId="77777777" w:rsidR="007C37DD" w:rsidRDefault="007C37DD" w:rsidP="007C37DD">
            <w:pPr>
              <w:pStyle w:val="TableTextRight"/>
            </w:pPr>
          </w:p>
        </w:tc>
        <w:tc>
          <w:tcPr>
            <w:tcW w:w="1705" w:type="dxa"/>
          </w:tcPr>
          <w:p w14:paraId="339AFEE3" w14:textId="77777777" w:rsidR="007C37DD" w:rsidRDefault="007C37DD" w:rsidP="007C37DD">
            <w:pPr>
              <w:pStyle w:val="TableTextRight"/>
            </w:pPr>
          </w:p>
        </w:tc>
        <w:tc>
          <w:tcPr>
            <w:tcW w:w="1705" w:type="dxa"/>
          </w:tcPr>
          <w:p w14:paraId="5C310967" w14:textId="30BD9AD8" w:rsidR="007C37DD" w:rsidRDefault="007C37DD" w:rsidP="007C37DD">
            <w:pPr>
              <w:pStyle w:val="TableTextRight"/>
            </w:pPr>
            <w:r w:rsidRPr="000F7C09">
              <w:t>18,240,924</w:t>
            </w:r>
          </w:p>
        </w:tc>
      </w:tr>
      <w:tr w:rsidR="007C37DD" w14:paraId="46F7F101" w14:textId="77777777" w:rsidTr="00C52146">
        <w:trPr>
          <w:trHeight w:val="60"/>
        </w:trPr>
        <w:tc>
          <w:tcPr>
            <w:tcW w:w="7340" w:type="dxa"/>
          </w:tcPr>
          <w:p w14:paraId="77AB255D" w14:textId="529A5615" w:rsidR="007C37DD" w:rsidRDefault="007C37DD" w:rsidP="007C37DD">
            <w:pPr>
              <w:pStyle w:val="TableText"/>
            </w:pPr>
            <w:r w:rsidRPr="000F7C09">
              <w:t>Other revenue</w:t>
            </w:r>
          </w:p>
        </w:tc>
        <w:tc>
          <w:tcPr>
            <w:tcW w:w="1704" w:type="dxa"/>
          </w:tcPr>
          <w:p w14:paraId="7BC56854" w14:textId="4828E29C" w:rsidR="007C37DD" w:rsidRDefault="007C37DD" w:rsidP="007C37DD">
            <w:pPr>
              <w:pStyle w:val="TableTextRight"/>
            </w:pPr>
            <w:r w:rsidRPr="000F7C09">
              <w:t>436,714</w:t>
            </w:r>
          </w:p>
        </w:tc>
        <w:tc>
          <w:tcPr>
            <w:tcW w:w="1705" w:type="dxa"/>
          </w:tcPr>
          <w:p w14:paraId="5F404EFB" w14:textId="4AE4CDC4" w:rsidR="007C37DD" w:rsidRDefault="007C37DD" w:rsidP="007C37DD">
            <w:pPr>
              <w:pStyle w:val="TableTextRight"/>
            </w:pPr>
            <w:r w:rsidRPr="000F7C09">
              <w:t>778</w:t>
            </w:r>
          </w:p>
        </w:tc>
        <w:tc>
          <w:tcPr>
            <w:tcW w:w="1705" w:type="dxa"/>
          </w:tcPr>
          <w:p w14:paraId="4122E5C0" w14:textId="77777777" w:rsidR="007C37DD" w:rsidRDefault="007C37DD" w:rsidP="007C37DD">
            <w:pPr>
              <w:pStyle w:val="TableTextRight"/>
            </w:pPr>
          </w:p>
        </w:tc>
        <w:tc>
          <w:tcPr>
            <w:tcW w:w="1705" w:type="dxa"/>
          </w:tcPr>
          <w:p w14:paraId="72D4C62C" w14:textId="6801B6E0" w:rsidR="007C37DD" w:rsidRDefault="007C37DD" w:rsidP="007C37DD">
            <w:pPr>
              <w:pStyle w:val="TableTextRight"/>
            </w:pPr>
            <w:r w:rsidRPr="000F7C09">
              <w:t>1,893,060</w:t>
            </w:r>
          </w:p>
        </w:tc>
        <w:tc>
          <w:tcPr>
            <w:tcW w:w="1705" w:type="dxa"/>
          </w:tcPr>
          <w:p w14:paraId="67C37480" w14:textId="1904EC90" w:rsidR="007C37DD" w:rsidRDefault="007C37DD" w:rsidP="007C37DD">
            <w:pPr>
              <w:pStyle w:val="TableTextRight"/>
            </w:pPr>
            <w:r w:rsidRPr="000F7C09">
              <w:t>10,072</w:t>
            </w:r>
          </w:p>
        </w:tc>
        <w:tc>
          <w:tcPr>
            <w:tcW w:w="1705" w:type="dxa"/>
          </w:tcPr>
          <w:p w14:paraId="50594FB4" w14:textId="77777777" w:rsidR="007C37DD" w:rsidRDefault="007C37DD" w:rsidP="007C37DD">
            <w:pPr>
              <w:pStyle w:val="TableTextRight"/>
            </w:pPr>
          </w:p>
        </w:tc>
        <w:tc>
          <w:tcPr>
            <w:tcW w:w="1705" w:type="dxa"/>
          </w:tcPr>
          <w:p w14:paraId="0D539A3D" w14:textId="6C360088" w:rsidR="007C37DD" w:rsidRDefault="007C37DD" w:rsidP="007C37DD">
            <w:pPr>
              <w:pStyle w:val="TableTextRight"/>
            </w:pPr>
            <w:r w:rsidRPr="000F7C09">
              <w:t>75,473</w:t>
            </w:r>
          </w:p>
        </w:tc>
        <w:tc>
          <w:tcPr>
            <w:tcW w:w="1705" w:type="dxa"/>
          </w:tcPr>
          <w:p w14:paraId="5B50D493" w14:textId="3A5925BC" w:rsidR="007C37DD" w:rsidRDefault="007C37DD" w:rsidP="007C37DD">
            <w:pPr>
              <w:pStyle w:val="TableTextRight"/>
            </w:pPr>
            <w:r w:rsidRPr="000F7C09">
              <w:t>2,416,097</w:t>
            </w:r>
          </w:p>
        </w:tc>
      </w:tr>
      <w:tr w:rsidR="007C37DD" w14:paraId="17D9552B" w14:textId="77777777" w:rsidTr="00C52146">
        <w:trPr>
          <w:trHeight w:val="60"/>
        </w:trPr>
        <w:tc>
          <w:tcPr>
            <w:tcW w:w="7340" w:type="dxa"/>
          </w:tcPr>
          <w:p w14:paraId="30E598E4" w14:textId="4CD5B83F" w:rsidR="007C37DD" w:rsidRDefault="007C37DD" w:rsidP="007C37DD">
            <w:pPr>
              <w:pStyle w:val="TableText"/>
            </w:pPr>
            <w:r w:rsidRPr="000F7C09">
              <w:t>Penalty income</w:t>
            </w:r>
          </w:p>
        </w:tc>
        <w:tc>
          <w:tcPr>
            <w:tcW w:w="1704" w:type="dxa"/>
          </w:tcPr>
          <w:p w14:paraId="73274163" w14:textId="2667454C" w:rsidR="007C37DD" w:rsidRDefault="007C37DD" w:rsidP="007C37DD">
            <w:pPr>
              <w:pStyle w:val="TableTextRight"/>
            </w:pPr>
            <w:r w:rsidRPr="000F7C09">
              <w:t>146,341</w:t>
            </w:r>
          </w:p>
        </w:tc>
        <w:tc>
          <w:tcPr>
            <w:tcW w:w="1705" w:type="dxa"/>
          </w:tcPr>
          <w:p w14:paraId="440455A5" w14:textId="77777777" w:rsidR="007C37DD" w:rsidRDefault="007C37DD" w:rsidP="007C37DD">
            <w:pPr>
              <w:pStyle w:val="TableTextRight"/>
            </w:pPr>
          </w:p>
        </w:tc>
        <w:tc>
          <w:tcPr>
            <w:tcW w:w="1705" w:type="dxa"/>
          </w:tcPr>
          <w:p w14:paraId="75567D52" w14:textId="6685A28F" w:rsidR="007C37DD" w:rsidRDefault="007C37DD" w:rsidP="007C37DD">
            <w:pPr>
              <w:pStyle w:val="TableTextRight"/>
            </w:pPr>
            <w:r w:rsidRPr="000F7C09">
              <w:t>1,256</w:t>
            </w:r>
          </w:p>
        </w:tc>
        <w:tc>
          <w:tcPr>
            <w:tcW w:w="1705" w:type="dxa"/>
          </w:tcPr>
          <w:p w14:paraId="12129F97" w14:textId="77777777" w:rsidR="007C37DD" w:rsidRDefault="007C37DD" w:rsidP="007C37DD">
            <w:pPr>
              <w:pStyle w:val="TableTextRight"/>
            </w:pPr>
          </w:p>
        </w:tc>
        <w:tc>
          <w:tcPr>
            <w:tcW w:w="1705" w:type="dxa"/>
          </w:tcPr>
          <w:p w14:paraId="6F810D70" w14:textId="150AB8E6" w:rsidR="007C37DD" w:rsidRDefault="007C37DD" w:rsidP="007C37DD">
            <w:pPr>
              <w:pStyle w:val="TableTextRight"/>
            </w:pPr>
            <w:r w:rsidRPr="000F7C09">
              <w:t>3,561</w:t>
            </w:r>
          </w:p>
        </w:tc>
        <w:tc>
          <w:tcPr>
            <w:tcW w:w="1705" w:type="dxa"/>
          </w:tcPr>
          <w:p w14:paraId="44ED7A9F" w14:textId="57641383" w:rsidR="007C37DD" w:rsidRDefault="007C37DD" w:rsidP="007C37DD">
            <w:pPr>
              <w:pStyle w:val="TableTextRight"/>
            </w:pPr>
          </w:p>
        </w:tc>
        <w:tc>
          <w:tcPr>
            <w:tcW w:w="1705" w:type="dxa"/>
          </w:tcPr>
          <w:p w14:paraId="65860631" w14:textId="7912D619" w:rsidR="007C37DD" w:rsidRDefault="007C37DD" w:rsidP="007C37DD">
            <w:pPr>
              <w:pStyle w:val="TableTextRight"/>
            </w:pPr>
            <w:r w:rsidRPr="000F7C09">
              <w:t>221,527</w:t>
            </w:r>
          </w:p>
        </w:tc>
        <w:tc>
          <w:tcPr>
            <w:tcW w:w="1705" w:type="dxa"/>
          </w:tcPr>
          <w:p w14:paraId="61A87D3C" w14:textId="0D6C1569" w:rsidR="007C37DD" w:rsidRDefault="007C37DD" w:rsidP="007C37DD">
            <w:pPr>
              <w:pStyle w:val="TableTextRight"/>
            </w:pPr>
            <w:r w:rsidRPr="000F7C09">
              <w:t>372,685</w:t>
            </w:r>
          </w:p>
        </w:tc>
      </w:tr>
      <w:tr w:rsidR="007C37DD" w14:paraId="003D0D49" w14:textId="77777777" w:rsidTr="00C52146">
        <w:trPr>
          <w:trHeight w:val="60"/>
        </w:trPr>
        <w:tc>
          <w:tcPr>
            <w:tcW w:w="7340" w:type="dxa"/>
          </w:tcPr>
          <w:p w14:paraId="07A51B75" w14:textId="300AF602" w:rsidR="007C37DD" w:rsidRDefault="007C37DD" w:rsidP="007C37DD">
            <w:pPr>
              <w:pStyle w:val="TableText"/>
            </w:pPr>
            <w:r w:rsidRPr="000F7C09">
              <w:t>Transfers</w:t>
            </w:r>
          </w:p>
        </w:tc>
        <w:tc>
          <w:tcPr>
            <w:tcW w:w="1704" w:type="dxa"/>
          </w:tcPr>
          <w:p w14:paraId="641AF9E5" w14:textId="77777777" w:rsidR="007C37DD" w:rsidRDefault="007C37DD" w:rsidP="007C37DD">
            <w:pPr>
              <w:pStyle w:val="TableTextRight"/>
            </w:pPr>
          </w:p>
        </w:tc>
        <w:tc>
          <w:tcPr>
            <w:tcW w:w="1705" w:type="dxa"/>
          </w:tcPr>
          <w:p w14:paraId="79F1AE57" w14:textId="77777777" w:rsidR="007C37DD" w:rsidRDefault="007C37DD" w:rsidP="007C37DD">
            <w:pPr>
              <w:pStyle w:val="TableTextRight"/>
            </w:pPr>
          </w:p>
        </w:tc>
        <w:tc>
          <w:tcPr>
            <w:tcW w:w="1705" w:type="dxa"/>
          </w:tcPr>
          <w:p w14:paraId="47BA2BE0" w14:textId="77777777" w:rsidR="007C37DD" w:rsidRDefault="007C37DD" w:rsidP="007C37DD">
            <w:pPr>
              <w:pStyle w:val="TableTextRight"/>
            </w:pPr>
          </w:p>
        </w:tc>
        <w:tc>
          <w:tcPr>
            <w:tcW w:w="1705" w:type="dxa"/>
          </w:tcPr>
          <w:p w14:paraId="4C321C59" w14:textId="3C1CE7FA" w:rsidR="007C37DD" w:rsidRDefault="007C37DD" w:rsidP="007C37DD">
            <w:pPr>
              <w:pStyle w:val="TableTextRight"/>
            </w:pPr>
            <w:r w:rsidRPr="000F7C09">
              <w:t>(8,400,000)</w:t>
            </w:r>
          </w:p>
        </w:tc>
        <w:tc>
          <w:tcPr>
            <w:tcW w:w="1705" w:type="dxa"/>
          </w:tcPr>
          <w:p w14:paraId="3976525B" w14:textId="58699E78" w:rsidR="007C37DD" w:rsidRDefault="007C37DD" w:rsidP="007C37DD">
            <w:pPr>
              <w:pStyle w:val="TableTextRight"/>
            </w:pPr>
            <w:r w:rsidRPr="000F7C09">
              <w:t>22,900,000</w:t>
            </w:r>
          </w:p>
        </w:tc>
        <w:tc>
          <w:tcPr>
            <w:tcW w:w="1705" w:type="dxa"/>
          </w:tcPr>
          <w:p w14:paraId="0B42469A" w14:textId="4FC9BFC3" w:rsidR="007C37DD" w:rsidRDefault="007C37DD" w:rsidP="007C37DD">
            <w:pPr>
              <w:pStyle w:val="TableTextRight"/>
            </w:pPr>
            <w:r w:rsidRPr="000F7C09">
              <w:t>1,400,000</w:t>
            </w:r>
          </w:p>
        </w:tc>
        <w:tc>
          <w:tcPr>
            <w:tcW w:w="1705" w:type="dxa"/>
          </w:tcPr>
          <w:p w14:paraId="089B37BF" w14:textId="5242F1D6" w:rsidR="007C37DD" w:rsidRDefault="007C37DD" w:rsidP="007C37DD">
            <w:pPr>
              <w:pStyle w:val="TableTextRight"/>
            </w:pPr>
            <w:r w:rsidRPr="000F7C09">
              <w:t>(14,500,000)</w:t>
            </w:r>
          </w:p>
        </w:tc>
        <w:tc>
          <w:tcPr>
            <w:tcW w:w="1705" w:type="dxa"/>
          </w:tcPr>
          <w:p w14:paraId="45B65DE6" w14:textId="78C4076D" w:rsidR="007C37DD" w:rsidRDefault="007C37DD" w:rsidP="007C37DD">
            <w:pPr>
              <w:pStyle w:val="TableTextRight"/>
            </w:pPr>
            <w:r w:rsidRPr="000F7C09">
              <w:t>1,400,000</w:t>
            </w:r>
          </w:p>
        </w:tc>
      </w:tr>
      <w:tr w:rsidR="007C37DD" w14:paraId="5460D66C" w14:textId="77777777" w:rsidTr="00C52146">
        <w:trPr>
          <w:trHeight w:val="60"/>
        </w:trPr>
        <w:tc>
          <w:tcPr>
            <w:tcW w:w="7340" w:type="dxa"/>
            <w:shd w:val="clear" w:color="auto" w:fill="CCE3F5"/>
          </w:tcPr>
          <w:p w14:paraId="41335CFF" w14:textId="7461EF5E" w:rsidR="007C37DD" w:rsidRPr="00E3488C" w:rsidRDefault="007C37DD" w:rsidP="007C37DD">
            <w:pPr>
              <w:pStyle w:val="TableTextBold"/>
            </w:pPr>
            <w:r w:rsidRPr="000F7C09">
              <w:t xml:space="preserve">Total CAV </w:t>
            </w:r>
            <w:r w:rsidR="00647CC3" w:rsidRPr="000F7C09">
              <w:t>trust funds revenue</w:t>
            </w:r>
          </w:p>
        </w:tc>
        <w:tc>
          <w:tcPr>
            <w:tcW w:w="1704" w:type="dxa"/>
            <w:shd w:val="clear" w:color="auto" w:fill="CCE3F5"/>
          </w:tcPr>
          <w:p w14:paraId="6A83744F" w14:textId="7740F3DA" w:rsidR="007C37DD" w:rsidRPr="00E3488C" w:rsidRDefault="007C37DD" w:rsidP="007C37DD">
            <w:pPr>
              <w:pStyle w:val="TableTextRightBold"/>
            </w:pPr>
            <w:r w:rsidRPr="000F7C09">
              <w:t>598,889</w:t>
            </w:r>
          </w:p>
        </w:tc>
        <w:tc>
          <w:tcPr>
            <w:tcW w:w="1705" w:type="dxa"/>
            <w:shd w:val="clear" w:color="auto" w:fill="CCE3F5"/>
          </w:tcPr>
          <w:p w14:paraId="5011E279" w14:textId="21E3029A" w:rsidR="007C37DD" w:rsidRPr="00E3488C" w:rsidRDefault="007C37DD" w:rsidP="007C37DD">
            <w:pPr>
              <w:pStyle w:val="TableTextRightBold"/>
            </w:pPr>
            <w:r w:rsidRPr="000F7C09">
              <w:t>19,577,975</w:t>
            </w:r>
          </w:p>
        </w:tc>
        <w:tc>
          <w:tcPr>
            <w:tcW w:w="1705" w:type="dxa"/>
            <w:shd w:val="clear" w:color="auto" w:fill="CCE3F5"/>
          </w:tcPr>
          <w:p w14:paraId="592A2BC0" w14:textId="7CFA48C0" w:rsidR="007C37DD" w:rsidRPr="00E3488C" w:rsidRDefault="007C37DD" w:rsidP="007C37DD">
            <w:pPr>
              <w:pStyle w:val="TableTextRightBold"/>
            </w:pPr>
            <w:r w:rsidRPr="000F7C09">
              <w:t>3,007,631</w:t>
            </w:r>
          </w:p>
        </w:tc>
        <w:tc>
          <w:tcPr>
            <w:tcW w:w="1705" w:type="dxa"/>
            <w:shd w:val="clear" w:color="auto" w:fill="CCE3F5"/>
          </w:tcPr>
          <w:p w14:paraId="41DD3EE4" w14:textId="4B57E60C" w:rsidR="007C37DD" w:rsidRPr="00E3488C" w:rsidRDefault="007C37DD" w:rsidP="007C37DD">
            <w:pPr>
              <w:pStyle w:val="TableTextRightBold"/>
            </w:pPr>
            <w:r w:rsidRPr="000F7C09">
              <w:t>37,041,756</w:t>
            </w:r>
          </w:p>
        </w:tc>
        <w:tc>
          <w:tcPr>
            <w:tcW w:w="1705" w:type="dxa"/>
            <w:shd w:val="clear" w:color="auto" w:fill="CCE3F5"/>
          </w:tcPr>
          <w:p w14:paraId="5FC27802" w14:textId="424F8089" w:rsidR="007C37DD" w:rsidRPr="00E3488C" w:rsidRDefault="007C37DD" w:rsidP="007C37DD">
            <w:pPr>
              <w:pStyle w:val="TableTextRightBold"/>
            </w:pPr>
            <w:r w:rsidRPr="000F7C09">
              <w:t>28,174,561</w:t>
            </w:r>
          </w:p>
        </w:tc>
        <w:tc>
          <w:tcPr>
            <w:tcW w:w="1705" w:type="dxa"/>
            <w:shd w:val="clear" w:color="auto" w:fill="CCE3F5"/>
          </w:tcPr>
          <w:p w14:paraId="4282D3FF" w14:textId="2E08BEA9" w:rsidR="007C37DD" w:rsidRPr="00E3488C" w:rsidRDefault="007C37DD" w:rsidP="007C37DD">
            <w:pPr>
              <w:pStyle w:val="TableTextRightBold"/>
            </w:pPr>
            <w:r w:rsidRPr="000F7C09">
              <w:t>1,737,713</w:t>
            </w:r>
          </w:p>
        </w:tc>
        <w:tc>
          <w:tcPr>
            <w:tcW w:w="1705" w:type="dxa"/>
            <w:shd w:val="clear" w:color="auto" w:fill="CCE3F5"/>
          </w:tcPr>
          <w:p w14:paraId="300BAD5D" w14:textId="7E88CDAC" w:rsidR="007C37DD" w:rsidRPr="00E3488C" w:rsidRDefault="007C37DD" w:rsidP="007C37DD">
            <w:pPr>
              <w:pStyle w:val="TableTextRightBold"/>
            </w:pPr>
            <w:r w:rsidRPr="000F7C09">
              <w:t>8,867,604</w:t>
            </w:r>
          </w:p>
        </w:tc>
        <w:tc>
          <w:tcPr>
            <w:tcW w:w="1705" w:type="dxa"/>
            <w:shd w:val="clear" w:color="auto" w:fill="CCE3F5"/>
          </w:tcPr>
          <w:p w14:paraId="4B068673" w14:textId="039169A4" w:rsidR="007C37DD" w:rsidRPr="00E3488C" w:rsidRDefault="007C37DD" w:rsidP="007C37DD">
            <w:pPr>
              <w:pStyle w:val="TableTextRightBold"/>
            </w:pPr>
            <w:r w:rsidRPr="000F7C09">
              <w:t>99,006,129</w:t>
            </w:r>
          </w:p>
        </w:tc>
      </w:tr>
      <w:tr w:rsidR="007C37DD" w14:paraId="2E259C7D" w14:textId="77777777" w:rsidTr="00C52146">
        <w:trPr>
          <w:trHeight w:val="60"/>
        </w:trPr>
        <w:tc>
          <w:tcPr>
            <w:tcW w:w="20979" w:type="dxa"/>
            <w:gridSpan w:val="9"/>
            <w:shd w:val="clear" w:color="auto" w:fill="B2D5F0"/>
          </w:tcPr>
          <w:p w14:paraId="220ED59D" w14:textId="7C5EA314" w:rsidR="007C37DD" w:rsidRPr="00E3488C" w:rsidRDefault="007C37DD" w:rsidP="007C37DD">
            <w:pPr>
              <w:pStyle w:val="TableTextBold"/>
            </w:pPr>
            <w:r w:rsidRPr="000F7C09">
              <w:t>CAV trust funds expenditure</w:t>
            </w:r>
          </w:p>
        </w:tc>
      </w:tr>
      <w:tr w:rsidR="007C37DD" w14:paraId="0B304B7F" w14:textId="77777777" w:rsidTr="00C52146">
        <w:trPr>
          <w:trHeight w:val="60"/>
        </w:trPr>
        <w:tc>
          <w:tcPr>
            <w:tcW w:w="7340" w:type="dxa"/>
          </w:tcPr>
          <w:p w14:paraId="73F12094" w14:textId="6EA48B69" w:rsidR="007C37DD" w:rsidRDefault="007C37DD" w:rsidP="007C37DD">
            <w:pPr>
              <w:pStyle w:val="TableText"/>
            </w:pPr>
            <w:r w:rsidRPr="000F7C09">
              <w:t>Audit services</w:t>
            </w:r>
          </w:p>
        </w:tc>
        <w:tc>
          <w:tcPr>
            <w:tcW w:w="1704" w:type="dxa"/>
          </w:tcPr>
          <w:p w14:paraId="047BBE50" w14:textId="77777777" w:rsidR="007C37DD" w:rsidRDefault="007C37DD" w:rsidP="007C37DD">
            <w:pPr>
              <w:pStyle w:val="TableTextRight"/>
            </w:pPr>
          </w:p>
        </w:tc>
        <w:tc>
          <w:tcPr>
            <w:tcW w:w="1705" w:type="dxa"/>
          </w:tcPr>
          <w:p w14:paraId="1A40AFF2" w14:textId="77777777" w:rsidR="007C37DD" w:rsidRDefault="007C37DD" w:rsidP="007C37DD">
            <w:pPr>
              <w:pStyle w:val="TableTextRight"/>
            </w:pPr>
          </w:p>
        </w:tc>
        <w:tc>
          <w:tcPr>
            <w:tcW w:w="1705" w:type="dxa"/>
          </w:tcPr>
          <w:p w14:paraId="3EAAA930" w14:textId="77777777" w:rsidR="007C37DD" w:rsidRDefault="007C37DD" w:rsidP="007C37DD">
            <w:pPr>
              <w:pStyle w:val="TableTextRight"/>
            </w:pPr>
          </w:p>
        </w:tc>
        <w:tc>
          <w:tcPr>
            <w:tcW w:w="1705" w:type="dxa"/>
          </w:tcPr>
          <w:p w14:paraId="34295AD9" w14:textId="462BC3B3" w:rsidR="007C37DD" w:rsidRDefault="007C37DD" w:rsidP="007C37DD">
            <w:pPr>
              <w:pStyle w:val="TableTextRight"/>
            </w:pPr>
            <w:r w:rsidRPr="000F7C09">
              <w:t>18,300</w:t>
            </w:r>
          </w:p>
        </w:tc>
        <w:tc>
          <w:tcPr>
            <w:tcW w:w="1705" w:type="dxa"/>
          </w:tcPr>
          <w:p w14:paraId="318F0A74" w14:textId="77777777" w:rsidR="007C37DD" w:rsidRDefault="007C37DD" w:rsidP="007C37DD">
            <w:pPr>
              <w:pStyle w:val="TableTextRight"/>
            </w:pPr>
          </w:p>
        </w:tc>
        <w:tc>
          <w:tcPr>
            <w:tcW w:w="1705" w:type="dxa"/>
          </w:tcPr>
          <w:p w14:paraId="5790D2E4" w14:textId="77777777" w:rsidR="007C37DD" w:rsidRDefault="007C37DD" w:rsidP="007C37DD">
            <w:pPr>
              <w:pStyle w:val="TableTextRight"/>
            </w:pPr>
          </w:p>
        </w:tc>
        <w:tc>
          <w:tcPr>
            <w:tcW w:w="1705" w:type="dxa"/>
          </w:tcPr>
          <w:p w14:paraId="69F74AFE" w14:textId="77777777" w:rsidR="007C37DD" w:rsidRDefault="007C37DD" w:rsidP="007C37DD">
            <w:pPr>
              <w:pStyle w:val="TableTextRight"/>
            </w:pPr>
          </w:p>
        </w:tc>
        <w:tc>
          <w:tcPr>
            <w:tcW w:w="1705" w:type="dxa"/>
          </w:tcPr>
          <w:p w14:paraId="4F04EE21" w14:textId="3F225C74" w:rsidR="007C37DD" w:rsidRDefault="007C37DD" w:rsidP="007C37DD">
            <w:pPr>
              <w:pStyle w:val="TableTextRight"/>
            </w:pPr>
            <w:r w:rsidRPr="000F7C09">
              <w:t>18,300</w:t>
            </w:r>
          </w:p>
        </w:tc>
      </w:tr>
      <w:tr w:rsidR="007C37DD" w14:paraId="24AA6095" w14:textId="77777777" w:rsidTr="00C52146">
        <w:trPr>
          <w:trHeight w:val="60"/>
        </w:trPr>
        <w:tc>
          <w:tcPr>
            <w:tcW w:w="7340" w:type="dxa"/>
          </w:tcPr>
          <w:p w14:paraId="56CD0301" w14:textId="03499737" w:rsidR="007C37DD" w:rsidRDefault="007C37DD" w:rsidP="007C37DD">
            <w:pPr>
              <w:pStyle w:val="TableText"/>
            </w:pPr>
            <w:r w:rsidRPr="000F7C09">
              <w:t>Claims on consumer guarantee funds</w:t>
            </w:r>
          </w:p>
        </w:tc>
        <w:tc>
          <w:tcPr>
            <w:tcW w:w="1704" w:type="dxa"/>
          </w:tcPr>
          <w:p w14:paraId="11F91C3A" w14:textId="77777777" w:rsidR="007C37DD" w:rsidRDefault="007C37DD" w:rsidP="007C37DD">
            <w:pPr>
              <w:pStyle w:val="TableTextRight"/>
            </w:pPr>
          </w:p>
        </w:tc>
        <w:tc>
          <w:tcPr>
            <w:tcW w:w="1705" w:type="dxa"/>
          </w:tcPr>
          <w:p w14:paraId="1CBC8EE6" w14:textId="77777777" w:rsidR="007C37DD" w:rsidRDefault="007C37DD" w:rsidP="007C37DD">
            <w:pPr>
              <w:pStyle w:val="TableTextRight"/>
            </w:pPr>
          </w:p>
        </w:tc>
        <w:tc>
          <w:tcPr>
            <w:tcW w:w="1705" w:type="dxa"/>
          </w:tcPr>
          <w:p w14:paraId="08C2DF61" w14:textId="21E77D7B" w:rsidR="007C37DD" w:rsidRDefault="007C37DD" w:rsidP="007C37DD">
            <w:pPr>
              <w:pStyle w:val="TableTextRight"/>
            </w:pPr>
            <w:r w:rsidRPr="000F7C09">
              <w:t>16,048</w:t>
            </w:r>
          </w:p>
        </w:tc>
        <w:tc>
          <w:tcPr>
            <w:tcW w:w="1705" w:type="dxa"/>
          </w:tcPr>
          <w:p w14:paraId="37004D34" w14:textId="77777777" w:rsidR="007C37DD" w:rsidRDefault="007C37DD" w:rsidP="007C37DD">
            <w:pPr>
              <w:pStyle w:val="TableTextRight"/>
            </w:pPr>
          </w:p>
        </w:tc>
        <w:tc>
          <w:tcPr>
            <w:tcW w:w="1705" w:type="dxa"/>
          </w:tcPr>
          <w:p w14:paraId="219E89E0" w14:textId="77777777" w:rsidR="007C37DD" w:rsidRDefault="007C37DD" w:rsidP="007C37DD">
            <w:pPr>
              <w:pStyle w:val="TableTextRight"/>
            </w:pPr>
          </w:p>
        </w:tc>
        <w:tc>
          <w:tcPr>
            <w:tcW w:w="1705" w:type="dxa"/>
          </w:tcPr>
          <w:p w14:paraId="5A1C22E0" w14:textId="77777777" w:rsidR="007C37DD" w:rsidRDefault="007C37DD" w:rsidP="007C37DD">
            <w:pPr>
              <w:pStyle w:val="TableTextRight"/>
            </w:pPr>
          </w:p>
        </w:tc>
        <w:tc>
          <w:tcPr>
            <w:tcW w:w="1705" w:type="dxa"/>
          </w:tcPr>
          <w:p w14:paraId="0472D6AD" w14:textId="5DDFF0E9" w:rsidR="007C37DD" w:rsidRDefault="007C37DD" w:rsidP="007C37DD">
            <w:pPr>
              <w:pStyle w:val="TableTextRight"/>
            </w:pPr>
            <w:r w:rsidRPr="000F7C09">
              <w:t>2,530,674</w:t>
            </w:r>
          </w:p>
        </w:tc>
        <w:tc>
          <w:tcPr>
            <w:tcW w:w="1705" w:type="dxa"/>
          </w:tcPr>
          <w:p w14:paraId="44A26285" w14:textId="2C4742B4" w:rsidR="007C37DD" w:rsidRDefault="007C37DD" w:rsidP="007C37DD">
            <w:pPr>
              <w:pStyle w:val="TableTextRight"/>
            </w:pPr>
            <w:r w:rsidRPr="000F7C09">
              <w:t>2,546,722</w:t>
            </w:r>
          </w:p>
        </w:tc>
      </w:tr>
      <w:tr w:rsidR="007C37DD" w14:paraId="3881A201" w14:textId="77777777" w:rsidTr="00C52146">
        <w:trPr>
          <w:trHeight w:val="60"/>
        </w:trPr>
        <w:tc>
          <w:tcPr>
            <w:tcW w:w="7340" w:type="dxa"/>
          </w:tcPr>
          <w:p w14:paraId="37480CEB" w14:textId="7BAF4E97" w:rsidR="007C37DD" w:rsidRDefault="007C37DD" w:rsidP="007C37DD">
            <w:pPr>
              <w:pStyle w:val="TableText"/>
            </w:pPr>
            <w:r w:rsidRPr="000F7C09">
              <w:t>Contractors, consultants and professional services</w:t>
            </w:r>
          </w:p>
        </w:tc>
        <w:tc>
          <w:tcPr>
            <w:tcW w:w="1704" w:type="dxa"/>
          </w:tcPr>
          <w:p w14:paraId="62247693" w14:textId="77777777" w:rsidR="007C37DD" w:rsidRDefault="007C37DD" w:rsidP="007C37DD">
            <w:pPr>
              <w:pStyle w:val="TableTextRight"/>
            </w:pPr>
          </w:p>
        </w:tc>
        <w:tc>
          <w:tcPr>
            <w:tcW w:w="1705" w:type="dxa"/>
          </w:tcPr>
          <w:p w14:paraId="2BE5D220" w14:textId="7BCA9013" w:rsidR="007C37DD" w:rsidRDefault="007C37DD" w:rsidP="007C37DD">
            <w:pPr>
              <w:pStyle w:val="TableTextRight"/>
            </w:pPr>
            <w:r w:rsidRPr="000F7C09">
              <w:t>396,171</w:t>
            </w:r>
          </w:p>
        </w:tc>
        <w:tc>
          <w:tcPr>
            <w:tcW w:w="1705" w:type="dxa"/>
          </w:tcPr>
          <w:p w14:paraId="2ABADE9B" w14:textId="74E5CAB3" w:rsidR="007C37DD" w:rsidRDefault="007C37DD" w:rsidP="007C37DD">
            <w:pPr>
              <w:pStyle w:val="TableTextRight"/>
            </w:pPr>
            <w:r w:rsidRPr="000F7C09">
              <w:t>9,319</w:t>
            </w:r>
          </w:p>
        </w:tc>
        <w:tc>
          <w:tcPr>
            <w:tcW w:w="1705" w:type="dxa"/>
          </w:tcPr>
          <w:p w14:paraId="5DFAB700" w14:textId="02F4B239" w:rsidR="007C37DD" w:rsidRDefault="007C37DD" w:rsidP="007C37DD">
            <w:pPr>
              <w:pStyle w:val="TableTextRight"/>
            </w:pPr>
            <w:r w:rsidRPr="000F7C09">
              <w:t>233,091</w:t>
            </w:r>
          </w:p>
        </w:tc>
        <w:tc>
          <w:tcPr>
            <w:tcW w:w="1705" w:type="dxa"/>
          </w:tcPr>
          <w:p w14:paraId="764B5AE8" w14:textId="5DEB62E1" w:rsidR="007C37DD" w:rsidRDefault="007C37DD" w:rsidP="007C37DD">
            <w:pPr>
              <w:pStyle w:val="TableTextRight"/>
            </w:pPr>
            <w:r w:rsidRPr="000F7C09">
              <w:t>113,582</w:t>
            </w:r>
          </w:p>
        </w:tc>
        <w:tc>
          <w:tcPr>
            <w:tcW w:w="1705" w:type="dxa"/>
          </w:tcPr>
          <w:p w14:paraId="43EB634D" w14:textId="0B49BEF4" w:rsidR="007C37DD" w:rsidRDefault="007C37DD" w:rsidP="007C37DD">
            <w:pPr>
              <w:pStyle w:val="TableTextRight"/>
            </w:pPr>
            <w:r w:rsidRPr="000F7C09">
              <w:t>126,529</w:t>
            </w:r>
          </w:p>
        </w:tc>
        <w:tc>
          <w:tcPr>
            <w:tcW w:w="1705" w:type="dxa"/>
          </w:tcPr>
          <w:p w14:paraId="384D65E7" w14:textId="5A162B45" w:rsidR="007C37DD" w:rsidRDefault="007C37DD" w:rsidP="007C37DD">
            <w:pPr>
              <w:pStyle w:val="TableTextRight"/>
            </w:pPr>
            <w:r w:rsidRPr="000F7C09">
              <w:t>286,436</w:t>
            </w:r>
          </w:p>
        </w:tc>
        <w:tc>
          <w:tcPr>
            <w:tcW w:w="1705" w:type="dxa"/>
          </w:tcPr>
          <w:p w14:paraId="0C4B1C19" w14:textId="14CB4776" w:rsidR="007C37DD" w:rsidRDefault="007C37DD" w:rsidP="007C37DD">
            <w:pPr>
              <w:pStyle w:val="TableTextRight"/>
            </w:pPr>
            <w:r w:rsidRPr="000F7C09">
              <w:t>1,165,128</w:t>
            </w:r>
          </w:p>
        </w:tc>
      </w:tr>
      <w:tr w:rsidR="007C37DD" w14:paraId="6E03C8DD" w14:textId="77777777" w:rsidTr="00C52146">
        <w:trPr>
          <w:trHeight w:val="60"/>
        </w:trPr>
        <w:tc>
          <w:tcPr>
            <w:tcW w:w="7340" w:type="dxa"/>
          </w:tcPr>
          <w:p w14:paraId="6030DFAC" w14:textId="58A9AFA6" w:rsidR="007C37DD" w:rsidRDefault="007C37DD" w:rsidP="007C37DD">
            <w:pPr>
              <w:pStyle w:val="TableText"/>
            </w:pPr>
            <w:r w:rsidRPr="000F7C09">
              <w:t>Employee related costs</w:t>
            </w:r>
          </w:p>
        </w:tc>
        <w:tc>
          <w:tcPr>
            <w:tcW w:w="1704" w:type="dxa"/>
          </w:tcPr>
          <w:p w14:paraId="4E01A51F" w14:textId="77777777" w:rsidR="007C37DD" w:rsidRDefault="007C37DD" w:rsidP="007C37DD">
            <w:pPr>
              <w:pStyle w:val="TableTextRight"/>
            </w:pPr>
          </w:p>
        </w:tc>
        <w:tc>
          <w:tcPr>
            <w:tcW w:w="1705" w:type="dxa"/>
          </w:tcPr>
          <w:p w14:paraId="302875B9" w14:textId="04FE7F8F" w:rsidR="007C37DD" w:rsidRDefault="007C37DD" w:rsidP="007C37DD">
            <w:pPr>
              <w:pStyle w:val="TableTextRight"/>
            </w:pPr>
            <w:r w:rsidRPr="000F7C09">
              <w:t>10,116,565</w:t>
            </w:r>
          </w:p>
        </w:tc>
        <w:tc>
          <w:tcPr>
            <w:tcW w:w="1705" w:type="dxa"/>
          </w:tcPr>
          <w:p w14:paraId="1B38FD6C" w14:textId="1703D205" w:rsidR="007C37DD" w:rsidRDefault="007C37DD" w:rsidP="007C37DD">
            <w:pPr>
              <w:pStyle w:val="TableTextRight"/>
            </w:pPr>
            <w:r w:rsidRPr="000F7C09">
              <w:t>1,641,836</w:t>
            </w:r>
          </w:p>
        </w:tc>
        <w:tc>
          <w:tcPr>
            <w:tcW w:w="1705" w:type="dxa"/>
          </w:tcPr>
          <w:p w14:paraId="745EC916" w14:textId="030F05B7" w:rsidR="007C37DD" w:rsidRDefault="007C37DD" w:rsidP="007C37DD">
            <w:pPr>
              <w:pStyle w:val="TableTextRight"/>
            </w:pPr>
            <w:r w:rsidRPr="000F7C09">
              <w:t>2,042,739</w:t>
            </w:r>
          </w:p>
        </w:tc>
        <w:tc>
          <w:tcPr>
            <w:tcW w:w="1705" w:type="dxa"/>
          </w:tcPr>
          <w:p w14:paraId="73553B50" w14:textId="264963B3" w:rsidR="007C37DD" w:rsidRDefault="007C37DD" w:rsidP="007C37DD">
            <w:pPr>
              <w:pStyle w:val="TableTextRight"/>
            </w:pPr>
            <w:r w:rsidRPr="000F7C09">
              <w:t>10,982,756</w:t>
            </w:r>
          </w:p>
        </w:tc>
        <w:tc>
          <w:tcPr>
            <w:tcW w:w="1705" w:type="dxa"/>
          </w:tcPr>
          <w:p w14:paraId="27D162AD" w14:textId="7690506C" w:rsidR="007C37DD" w:rsidRDefault="007C37DD" w:rsidP="007C37DD">
            <w:pPr>
              <w:pStyle w:val="TableTextRight"/>
            </w:pPr>
            <w:r w:rsidRPr="000F7C09">
              <w:t>1,388,445</w:t>
            </w:r>
          </w:p>
        </w:tc>
        <w:tc>
          <w:tcPr>
            <w:tcW w:w="1705" w:type="dxa"/>
          </w:tcPr>
          <w:p w14:paraId="26C34F01" w14:textId="19925A26" w:rsidR="007C37DD" w:rsidRDefault="007C37DD" w:rsidP="007C37DD">
            <w:pPr>
              <w:pStyle w:val="TableTextRight"/>
            </w:pPr>
            <w:r w:rsidRPr="000F7C09">
              <w:t>9,391,901</w:t>
            </w:r>
          </w:p>
        </w:tc>
        <w:tc>
          <w:tcPr>
            <w:tcW w:w="1705" w:type="dxa"/>
          </w:tcPr>
          <w:p w14:paraId="2DBAB022" w14:textId="7238D5A9" w:rsidR="007C37DD" w:rsidRDefault="007C37DD" w:rsidP="007C37DD">
            <w:pPr>
              <w:pStyle w:val="TableTextRight"/>
            </w:pPr>
            <w:r w:rsidRPr="000F7C09">
              <w:t>35,564,242</w:t>
            </w:r>
          </w:p>
        </w:tc>
      </w:tr>
      <w:tr w:rsidR="007C37DD" w14:paraId="3E3C0FDC" w14:textId="77777777" w:rsidTr="00C52146">
        <w:trPr>
          <w:trHeight w:val="60"/>
        </w:trPr>
        <w:tc>
          <w:tcPr>
            <w:tcW w:w="7340" w:type="dxa"/>
          </w:tcPr>
          <w:p w14:paraId="223DAF30" w14:textId="3761C1FB" w:rsidR="007C37DD" w:rsidRDefault="007C37DD" w:rsidP="007C37DD">
            <w:pPr>
              <w:pStyle w:val="TableText"/>
            </w:pPr>
            <w:r w:rsidRPr="000F7C09">
              <w:t>Grants paid</w:t>
            </w:r>
          </w:p>
        </w:tc>
        <w:tc>
          <w:tcPr>
            <w:tcW w:w="1704" w:type="dxa"/>
          </w:tcPr>
          <w:p w14:paraId="3376834E" w14:textId="2144909A" w:rsidR="007C37DD" w:rsidRDefault="007C37DD" w:rsidP="007C37DD">
            <w:pPr>
              <w:pStyle w:val="TableTextRight"/>
            </w:pPr>
            <w:r w:rsidRPr="000F7C09">
              <w:t>1,190,675</w:t>
            </w:r>
          </w:p>
        </w:tc>
        <w:tc>
          <w:tcPr>
            <w:tcW w:w="1705" w:type="dxa"/>
          </w:tcPr>
          <w:p w14:paraId="64980A05" w14:textId="777D115B" w:rsidR="007C37DD" w:rsidRDefault="007C37DD" w:rsidP="007C37DD">
            <w:pPr>
              <w:pStyle w:val="TableTextRight"/>
            </w:pPr>
            <w:r w:rsidRPr="000F7C09">
              <w:t>4,117,272</w:t>
            </w:r>
          </w:p>
        </w:tc>
        <w:tc>
          <w:tcPr>
            <w:tcW w:w="1705" w:type="dxa"/>
          </w:tcPr>
          <w:p w14:paraId="37C554FB" w14:textId="77777777" w:rsidR="007C37DD" w:rsidRDefault="007C37DD" w:rsidP="007C37DD">
            <w:pPr>
              <w:pStyle w:val="TableTextRight"/>
            </w:pPr>
          </w:p>
        </w:tc>
        <w:tc>
          <w:tcPr>
            <w:tcW w:w="1705" w:type="dxa"/>
          </w:tcPr>
          <w:p w14:paraId="285A01FE" w14:textId="77777777" w:rsidR="007C37DD" w:rsidRDefault="007C37DD" w:rsidP="007C37DD">
            <w:pPr>
              <w:pStyle w:val="TableTextRight"/>
            </w:pPr>
          </w:p>
        </w:tc>
        <w:tc>
          <w:tcPr>
            <w:tcW w:w="1705" w:type="dxa"/>
          </w:tcPr>
          <w:p w14:paraId="200B3AD4" w14:textId="3BAD2392" w:rsidR="007C37DD" w:rsidRDefault="007C37DD" w:rsidP="007C37DD">
            <w:pPr>
              <w:pStyle w:val="TableTextRight"/>
            </w:pPr>
            <w:r w:rsidRPr="000F7C09">
              <w:t>18,924,007</w:t>
            </w:r>
          </w:p>
        </w:tc>
        <w:tc>
          <w:tcPr>
            <w:tcW w:w="1705" w:type="dxa"/>
          </w:tcPr>
          <w:p w14:paraId="69DC8A6A" w14:textId="77777777" w:rsidR="007C37DD" w:rsidRDefault="007C37DD" w:rsidP="007C37DD">
            <w:pPr>
              <w:pStyle w:val="TableTextRight"/>
            </w:pPr>
          </w:p>
        </w:tc>
        <w:tc>
          <w:tcPr>
            <w:tcW w:w="1705" w:type="dxa"/>
          </w:tcPr>
          <w:p w14:paraId="4CB6F593" w14:textId="6801C3FD" w:rsidR="007C37DD" w:rsidRDefault="007C37DD" w:rsidP="007C37DD">
            <w:pPr>
              <w:pStyle w:val="TableTextRight"/>
            </w:pPr>
            <w:r w:rsidRPr="000F7C09">
              <w:t>11,155,431</w:t>
            </w:r>
          </w:p>
        </w:tc>
        <w:tc>
          <w:tcPr>
            <w:tcW w:w="1705" w:type="dxa"/>
          </w:tcPr>
          <w:p w14:paraId="21F7E5EA" w14:textId="7A723792" w:rsidR="007C37DD" w:rsidRDefault="007C37DD" w:rsidP="007C37DD">
            <w:pPr>
              <w:pStyle w:val="TableTextRight"/>
            </w:pPr>
            <w:r w:rsidRPr="000F7C09">
              <w:t>35,387,385</w:t>
            </w:r>
          </w:p>
        </w:tc>
      </w:tr>
      <w:tr w:rsidR="007C37DD" w14:paraId="197A10DC" w14:textId="77777777" w:rsidTr="00C52146">
        <w:trPr>
          <w:trHeight w:val="60"/>
        </w:trPr>
        <w:tc>
          <w:tcPr>
            <w:tcW w:w="7340" w:type="dxa"/>
          </w:tcPr>
          <w:p w14:paraId="21393A33" w14:textId="24617D69" w:rsidR="007C37DD" w:rsidRDefault="007C37DD" w:rsidP="007C37DD">
            <w:pPr>
              <w:pStyle w:val="TableText"/>
            </w:pPr>
            <w:r w:rsidRPr="000F7C09">
              <w:t>Information technology</w:t>
            </w:r>
          </w:p>
        </w:tc>
        <w:tc>
          <w:tcPr>
            <w:tcW w:w="1704" w:type="dxa"/>
          </w:tcPr>
          <w:p w14:paraId="2B7A70C0" w14:textId="77777777" w:rsidR="007C37DD" w:rsidRDefault="007C37DD" w:rsidP="007C37DD">
            <w:pPr>
              <w:pStyle w:val="TableTextRight"/>
            </w:pPr>
          </w:p>
        </w:tc>
        <w:tc>
          <w:tcPr>
            <w:tcW w:w="1705" w:type="dxa"/>
          </w:tcPr>
          <w:p w14:paraId="13442E66" w14:textId="7A9EB3BB" w:rsidR="007C37DD" w:rsidRDefault="007C37DD" w:rsidP="007C37DD">
            <w:pPr>
              <w:pStyle w:val="TableTextRight"/>
            </w:pPr>
            <w:r w:rsidRPr="000F7C09">
              <w:t>317,769</w:t>
            </w:r>
          </w:p>
        </w:tc>
        <w:tc>
          <w:tcPr>
            <w:tcW w:w="1705" w:type="dxa"/>
          </w:tcPr>
          <w:p w14:paraId="39B4BED2" w14:textId="0D3A2DEB" w:rsidR="007C37DD" w:rsidRDefault="007C37DD" w:rsidP="007C37DD">
            <w:pPr>
              <w:pStyle w:val="TableTextRight"/>
            </w:pPr>
            <w:r w:rsidRPr="000F7C09">
              <w:t>59,443</w:t>
            </w:r>
          </w:p>
        </w:tc>
        <w:tc>
          <w:tcPr>
            <w:tcW w:w="1705" w:type="dxa"/>
          </w:tcPr>
          <w:p w14:paraId="660947DE" w14:textId="7FC4DE2F" w:rsidR="007C37DD" w:rsidRDefault="007C37DD" w:rsidP="007C37DD">
            <w:pPr>
              <w:pStyle w:val="TableTextRight"/>
            </w:pPr>
            <w:r w:rsidRPr="000F7C09">
              <w:t>88,750</w:t>
            </w:r>
          </w:p>
        </w:tc>
        <w:tc>
          <w:tcPr>
            <w:tcW w:w="1705" w:type="dxa"/>
          </w:tcPr>
          <w:p w14:paraId="0D16F7BA" w14:textId="3596ACAF" w:rsidR="007C37DD" w:rsidRDefault="007C37DD" w:rsidP="007C37DD">
            <w:pPr>
              <w:pStyle w:val="TableTextRight"/>
            </w:pPr>
            <w:r w:rsidRPr="000F7C09">
              <w:t>379,830</w:t>
            </w:r>
          </w:p>
        </w:tc>
        <w:tc>
          <w:tcPr>
            <w:tcW w:w="1705" w:type="dxa"/>
          </w:tcPr>
          <w:p w14:paraId="452A5983" w14:textId="666469F7" w:rsidR="007C37DD" w:rsidRDefault="007C37DD" w:rsidP="007C37DD">
            <w:pPr>
              <w:pStyle w:val="TableTextRight"/>
            </w:pPr>
            <w:r w:rsidRPr="000F7C09">
              <w:t>64,334</w:t>
            </w:r>
          </w:p>
        </w:tc>
        <w:tc>
          <w:tcPr>
            <w:tcW w:w="1705" w:type="dxa"/>
          </w:tcPr>
          <w:p w14:paraId="04B8C040" w14:textId="458271FF" w:rsidR="007C37DD" w:rsidRDefault="007C37DD" w:rsidP="007C37DD">
            <w:pPr>
              <w:pStyle w:val="TableTextRight"/>
            </w:pPr>
            <w:r w:rsidRPr="000F7C09">
              <w:t>330,475</w:t>
            </w:r>
          </w:p>
        </w:tc>
        <w:tc>
          <w:tcPr>
            <w:tcW w:w="1705" w:type="dxa"/>
          </w:tcPr>
          <w:p w14:paraId="3EB3F991" w14:textId="42259482" w:rsidR="007C37DD" w:rsidRDefault="007C37DD" w:rsidP="007C37DD">
            <w:pPr>
              <w:pStyle w:val="TableTextRight"/>
            </w:pPr>
            <w:r w:rsidRPr="000F7C09">
              <w:t>1,240,601</w:t>
            </w:r>
          </w:p>
        </w:tc>
      </w:tr>
      <w:tr w:rsidR="007C37DD" w14:paraId="069DC352" w14:textId="77777777" w:rsidTr="00C52146">
        <w:trPr>
          <w:trHeight w:val="60"/>
        </w:trPr>
        <w:tc>
          <w:tcPr>
            <w:tcW w:w="7340" w:type="dxa"/>
          </w:tcPr>
          <w:p w14:paraId="7AE591F3" w14:textId="5BF235B1" w:rsidR="007C37DD" w:rsidRDefault="007C37DD" w:rsidP="007C37DD">
            <w:pPr>
              <w:pStyle w:val="TableText"/>
            </w:pPr>
            <w:r w:rsidRPr="000F7C09">
              <w:t>Occupancy costs</w:t>
            </w:r>
          </w:p>
        </w:tc>
        <w:tc>
          <w:tcPr>
            <w:tcW w:w="1704" w:type="dxa"/>
          </w:tcPr>
          <w:p w14:paraId="541D02CC" w14:textId="77777777" w:rsidR="007C37DD" w:rsidRDefault="007C37DD" w:rsidP="007C37DD">
            <w:pPr>
              <w:pStyle w:val="TableTextRight"/>
            </w:pPr>
          </w:p>
        </w:tc>
        <w:tc>
          <w:tcPr>
            <w:tcW w:w="1705" w:type="dxa"/>
          </w:tcPr>
          <w:p w14:paraId="78013F1F" w14:textId="5FF21C78" w:rsidR="007C37DD" w:rsidRDefault="007C37DD" w:rsidP="007C37DD">
            <w:pPr>
              <w:pStyle w:val="TableTextRight"/>
            </w:pPr>
            <w:r w:rsidRPr="000F7C09">
              <w:t>24,176</w:t>
            </w:r>
          </w:p>
        </w:tc>
        <w:tc>
          <w:tcPr>
            <w:tcW w:w="1705" w:type="dxa"/>
          </w:tcPr>
          <w:p w14:paraId="62DF817E" w14:textId="0478A58C" w:rsidR="007C37DD" w:rsidRDefault="007C37DD" w:rsidP="007C37DD">
            <w:pPr>
              <w:pStyle w:val="TableTextRight"/>
            </w:pPr>
            <w:r w:rsidRPr="000F7C09">
              <w:t>2,246</w:t>
            </w:r>
          </w:p>
        </w:tc>
        <w:tc>
          <w:tcPr>
            <w:tcW w:w="1705" w:type="dxa"/>
          </w:tcPr>
          <w:p w14:paraId="3377BB15" w14:textId="25193EE6" w:rsidR="007C37DD" w:rsidRDefault="007C37DD" w:rsidP="007C37DD">
            <w:pPr>
              <w:pStyle w:val="TableTextRight"/>
            </w:pPr>
            <w:r w:rsidRPr="000F7C09">
              <w:t>21,943</w:t>
            </w:r>
          </w:p>
        </w:tc>
        <w:tc>
          <w:tcPr>
            <w:tcW w:w="1705" w:type="dxa"/>
          </w:tcPr>
          <w:p w14:paraId="1350D538" w14:textId="05B39D56" w:rsidR="007C37DD" w:rsidRDefault="007C37DD" w:rsidP="007C37DD">
            <w:pPr>
              <w:pStyle w:val="TableTextRight"/>
            </w:pPr>
            <w:r w:rsidRPr="000F7C09">
              <w:t>4,649</w:t>
            </w:r>
          </w:p>
        </w:tc>
        <w:tc>
          <w:tcPr>
            <w:tcW w:w="1705" w:type="dxa"/>
          </w:tcPr>
          <w:p w14:paraId="1F108EDA" w14:textId="754B82AC" w:rsidR="007C37DD" w:rsidRDefault="007C37DD" w:rsidP="007C37DD">
            <w:pPr>
              <w:pStyle w:val="TableTextRight"/>
            </w:pPr>
            <w:r w:rsidRPr="000F7C09">
              <w:t>4,321</w:t>
            </w:r>
          </w:p>
        </w:tc>
        <w:tc>
          <w:tcPr>
            <w:tcW w:w="1705" w:type="dxa"/>
          </w:tcPr>
          <w:p w14:paraId="5944FBF0" w14:textId="0C494FB1" w:rsidR="007C37DD" w:rsidRDefault="007C37DD" w:rsidP="007C37DD">
            <w:pPr>
              <w:pStyle w:val="TableTextRight"/>
            </w:pPr>
            <w:r w:rsidRPr="000F7C09">
              <w:t>17,566</w:t>
            </w:r>
          </w:p>
        </w:tc>
        <w:tc>
          <w:tcPr>
            <w:tcW w:w="1705" w:type="dxa"/>
          </w:tcPr>
          <w:p w14:paraId="46820F9D" w14:textId="014C59C3" w:rsidR="007C37DD" w:rsidRDefault="007C37DD" w:rsidP="007C37DD">
            <w:pPr>
              <w:pStyle w:val="TableTextRight"/>
            </w:pPr>
            <w:r w:rsidRPr="000F7C09">
              <w:t>74,901</w:t>
            </w:r>
          </w:p>
        </w:tc>
      </w:tr>
      <w:tr w:rsidR="007C37DD" w14:paraId="7928FB5A" w14:textId="77777777" w:rsidTr="00C52146">
        <w:trPr>
          <w:trHeight w:val="60"/>
        </w:trPr>
        <w:tc>
          <w:tcPr>
            <w:tcW w:w="7340" w:type="dxa"/>
          </w:tcPr>
          <w:p w14:paraId="6D5AC6A0" w14:textId="7B111CF5" w:rsidR="007C37DD" w:rsidRDefault="007C37DD" w:rsidP="007C37DD">
            <w:pPr>
              <w:pStyle w:val="TableText"/>
            </w:pPr>
            <w:r w:rsidRPr="000F7C09">
              <w:t>Other operating costs</w:t>
            </w:r>
          </w:p>
        </w:tc>
        <w:tc>
          <w:tcPr>
            <w:tcW w:w="1704" w:type="dxa"/>
          </w:tcPr>
          <w:p w14:paraId="4E82DDE9" w14:textId="77777777" w:rsidR="007C37DD" w:rsidRDefault="007C37DD" w:rsidP="007C37DD">
            <w:pPr>
              <w:pStyle w:val="TableTextRight"/>
            </w:pPr>
          </w:p>
        </w:tc>
        <w:tc>
          <w:tcPr>
            <w:tcW w:w="1705" w:type="dxa"/>
          </w:tcPr>
          <w:p w14:paraId="0D88222B" w14:textId="05324584" w:rsidR="007C37DD" w:rsidRDefault="007C37DD" w:rsidP="007C37DD">
            <w:pPr>
              <w:pStyle w:val="TableTextRight"/>
            </w:pPr>
            <w:r w:rsidRPr="000F7C09">
              <w:t>788,817</w:t>
            </w:r>
          </w:p>
        </w:tc>
        <w:tc>
          <w:tcPr>
            <w:tcW w:w="1705" w:type="dxa"/>
          </w:tcPr>
          <w:p w14:paraId="3A937C07" w14:textId="7624B7A7" w:rsidR="007C37DD" w:rsidRDefault="007C37DD" w:rsidP="007C37DD">
            <w:pPr>
              <w:pStyle w:val="TableTextRight"/>
            </w:pPr>
            <w:r w:rsidRPr="000F7C09">
              <w:t>349,962</w:t>
            </w:r>
          </w:p>
        </w:tc>
        <w:tc>
          <w:tcPr>
            <w:tcW w:w="1705" w:type="dxa"/>
          </w:tcPr>
          <w:p w14:paraId="4709D90E" w14:textId="042755E2" w:rsidR="007C37DD" w:rsidRDefault="007C37DD" w:rsidP="007C37DD">
            <w:pPr>
              <w:pStyle w:val="TableTextRight"/>
            </w:pPr>
            <w:r w:rsidRPr="000F7C09">
              <w:t>327,415</w:t>
            </w:r>
          </w:p>
        </w:tc>
        <w:tc>
          <w:tcPr>
            <w:tcW w:w="1705" w:type="dxa"/>
          </w:tcPr>
          <w:p w14:paraId="5FD8D6FC" w14:textId="1BEBACCD" w:rsidR="007C37DD" w:rsidRDefault="007C37DD" w:rsidP="007C37DD">
            <w:pPr>
              <w:pStyle w:val="TableTextRight"/>
            </w:pPr>
            <w:r w:rsidRPr="000F7C09">
              <w:t>2,072,079</w:t>
            </w:r>
          </w:p>
        </w:tc>
        <w:tc>
          <w:tcPr>
            <w:tcW w:w="1705" w:type="dxa"/>
          </w:tcPr>
          <w:p w14:paraId="1CBC66C7" w14:textId="2E5CF338" w:rsidR="007C37DD" w:rsidRDefault="007C37DD" w:rsidP="007C37DD">
            <w:pPr>
              <w:pStyle w:val="TableTextRight"/>
            </w:pPr>
            <w:r w:rsidRPr="000F7C09">
              <w:t>169,533</w:t>
            </w:r>
          </w:p>
        </w:tc>
        <w:tc>
          <w:tcPr>
            <w:tcW w:w="1705" w:type="dxa"/>
          </w:tcPr>
          <w:p w14:paraId="02BFA2FC" w14:textId="6C7DEC73" w:rsidR="007C37DD" w:rsidRDefault="007C37DD" w:rsidP="007C37DD">
            <w:pPr>
              <w:pStyle w:val="TableTextRight"/>
            </w:pPr>
            <w:r w:rsidRPr="000F7C09">
              <w:t>988,373</w:t>
            </w:r>
          </w:p>
        </w:tc>
        <w:tc>
          <w:tcPr>
            <w:tcW w:w="1705" w:type="dxa"/>
          </w:tcPr>
          <w:p w14:paraId="0CDC43FD" w14:textId="2B8BAF9F" w:rsidR="007C37DD" w:rsidRDefault="007C37DD" w:rsidP="007C37DD">
            <w:pPr>
              <w:pStyle w:val="TableTextRight"/>
            </w:pPr>
            <w:r w:rsidRPr="000F7C09">
              <w:t>4,696,179</w:t>
            </w:r>
          </w:p>
        </w:tc>
      </w:tr>
      <w:tr w:rsidR="007C37DD" w14:paraId="3C175B9C" w14:textId="77777777" w:rsidTr="00C52146">
        <w:trPr>
          <w:trHeight w:val="60"/>
        </w:trPr>
        <w:tc>
          <w:tcPr>
            <w:tcW w:w="7340" w:type="dxa"/>
          </w:tcPr>
          <w:p w14:paraId="343FB69B" w14:textId="4A6BCC79" w:rsidR="007C37DD" w:rsidRDefault="007C37DD" w:rsidP="007C37DD">
            <w:pPr>
              <w:pStyle w:val="TableText"/>
            </w:pPr>
            <w:r w:rsidRPr="000F7C09">
              <w:t>Outsourced contracted costs</w:t>
            </w:r>
          </w:p>
        </w:tc>
        <w:tc>
          <w:tcPr>
            <w:tcW w:w="1704" w:type="dxa"/>
          </w:tcPr>
          <w:p w14:paraId="0B4D19E0" w14:textId="77777777" w:rsidR="007C37DD" w:rsidRDefault="007C37DD" w:rsidP="007C37DD">
            <w:pPr>
              <w:pStyle w:val="TableTextRight"/>
            </w:pPr>
          </w:p>
        </w:tc>
        <w:tc>
          <w:tcPr>
            <w:tcW w:w="1705" w:type="dxa"/>
          </w:tcPr>
          <w:p w14:paraId="27E65761" w14:textId="77777777" w:rsidR="007C37DD" w:rsidRDefault="007C37DD" w:rsidP="007C37DD">
            <w:pPr>
              <w:pStyle w:val="TableTextRight"/>
            </w:pPr>
          </w:p>
        </w:tc>
        <w:tc>
          <w:tcPr>
            <w:tcW w:w="1705" w:type="dxa"/>
          </w:tcPr>
          <w:p w14:paraId="4AB2F622" w14:textId="77777777" w:rsidR="007C37DD" w:rsidRDefault="007C37DD" w:rsidP="007C37DD">
            <w:pPr>
              <w:pStyle w:val="TableTextRight"/>
            </w:pPr>
          </w:p>
        </w:tc>
        <w:tc>
          <w:tcPr>
            <w:tcW w:w="1705" w:type="dxa"/>
          </w:tcPr>
          <w:p w14:paraId="4E9964A5" w14:textId="451933DD" w:rsidR="007C37DD" w:rsidRDefault="007C37DD" w:rsidP="007C37DD">
            <w:pPr>
              <w:pStyle w:val="TableTextRight"/>
            </w:pPr>
            <w:r w:rsidRPr="000F7C09">
              <w:t>6,139,868</w:t>
            </w:r>
          </w:p>
        </w:tc>
        <w:tc>
          <w:tcPr>
            <w:tcW w:w="1705" w:type="dxa"/>
          </w:tcPr>
          <w:p w14:paraId="6DB6F62A" w14:textId="77777777" w:rsidR="007C37DD" w:rsidRDefault="007C37DD" w:rsidP="007C37DD">
            <w:pPr>
              <w:pStyle w:val="TableTextRight"/>
            </w:pPr>
          </w:p>
        </w:tc>
        <w:tc>
          <w:tcPr>
            <w:tcW w:w="1705" w:type="dxa"/>
          </w:tcPr>
          <w:p w14:paraId="1F0E9C80" w14:textId="77777777" w:rsidR="007C37DD" w:rsidRDefault="007C37DD" w:rsidP="007C37DD">
            <w:pPr>
              <w:pStyle w:val="TableTextRight"/>
            </w:pPr>
          </w:p>
        </w:tc>
        <w:tc>
          <w:tcPr>
            <w:tcW w:w="1705" w:type="dxa"/>
          </w:tcPr>
          <w:p w14:paraId="0E969C11" w14:textId="77777777" w:rsidR="007C37DD" w:rsidRDefault="007C37DD" w:rsidP="007C37DD">
            <w:pPr>
              <w:pStyle w:val="TableTextRight"/>
            </w:pPr>
          </w:p>
        </w:tc>
        <w:tc>
          <w:tcPr>
            <w:tcW w:w="1705" w:type="dxa"/>
          </w:tcPr>
          <w:p w14:paraId="42EDE92E" w14:textId="33220189" w:rsidR="007C37DD" w:rsidRDefault="007C37DD" w:rsidP="007C37DD">
            <w:pPr>
              <w:pStyle w:val="TableTextRight"/>
            </w:pPr>
            <w:r w:rsidRPr="000F7C09">
              <w:t>6,139,868</w:t>
            </w:r>
          </w:p>
        </w:tc>
      </w:tr>
      <w:tr w:rsidR="007C37DD" w:rsidRPr="00A11832" w14:paraId="612F1C04" w14:textId="77777777" w:rsidTr="00C52146">
        <w:trPr>
          <w:trHeight w:val="60"/>
        </w:trPr>
        <w:tc>
          <w:tcPr>
            <w:tcW w:w="7340" w:type="dxa"/>
            <w:shd w:val="clear" w:color="auto" w:fill="CCE3F5"/>
          </w:tcPr>
          <w:p w14:paraId="6722379A" w14:textId="358651FE" w:rsidR="007C37DD" w:rsidRPr="00E3488C" w:rsidRDefault="007C37DD" w:rsidP="007C37DD">
            <w:pPr>
              <w:pStyle w:val="TableTextBold"/>
            </w:pPr>
            <w:r w:rsidRPr="000F7C09">
              <w:t xml:space="preserve">Total CAV </w:t>
            </w:r>
            <w:r w:rsidR="00647CC3" w:rsidRPr="000F7C09">
              <w:t>trust funds expenditure</w:t>
            </w:r>
          </w:p>
        </w:tc>
        <w:tc>
          <w:tcPr>
            <w:tcW w:w="1704" w:type="dxa"/>
            <w:shd w:val="clear" w:color="auto" w:fill="CCE3F5"/>
          </w:tcPr>
          <w:p w14:paraId="26BBF72C" w14:textId="1B6B4AE1" w:rsidR="007C37DD" w:rsidRPr="00A11832" w:rsidRDefault="007C37DD" w:rsidP="007C37DD">
            <w:pPr>
              <w:pStyle w:val="TableTextRightBold"/>
            </w:pPr>
            <w:r w:rsidRPr="000F7C09">
              <w:t>1,190,675</w:t>
            </w:r>
          </w:p>
        </w:tc>
        <w:tc>
          <w:tcPr>
            <w:tcW w:w="1705" w:type="dxa"/>
            <w:shd w:val="clear" w:color="auto" w:fill="CCE3F5"/>
          </w:tcPr>
          <w:p w14:paraId="14061FDD" w14:textId="54D224B3" w:rsidR="007C37DD" w:rsidRPr="00A11832" w:rsidRDefault="007C37DD" w:rsidP="007C37DD">
            <w:pPr>
              <w:pStyle w:val="TableTextRightBold"/>
            </w:pPr>
            <w:r w:rsidRPr="000F7C09">
              <w:t>15,760,770</w:t>
            </w:r>
          </w:p>
        </w:tc>
        <w:tc>
          <w:tcPr>
            <w:tcW w:w="1705" w:type="dxa"/>
            <w:shd w:val="clear" w:color="auto" w:fill="CCE3F5"/>
          </w:tcPr>
          <w:p w14:paraId="4A0122B3" w14:textId="7669CE0A" w:rsidR="007C37DD" w:rsidRPr="00A11832" w:rsidRDefault="007C37DD" w:rsidP="007C37DD">
            <w:pPr>
              <w:pStyle w:val="TableTextRightBold"/>
            </w:pPr>
            <w:r w:rsidRPr="000F7C09">
              <w:t>2,078,854</w:t>
            </w:r>
          </w:p>
        </w:tc>
        <w:tc>
          <w:tcPr>
            <w:tcW w:w="1705" w:type="dxa"/>
            <w:shd w:val="clear" w:color="auto" w:fill="CCE3F5"/>
          </w:tcPr>
          <w:p w14:paraId="289CF675" w14:textId="5F1A7CFD" w:rsidR="007C37DD" w:rsidRPr="00A11832" w:rsidRDefault="007C37DD" w:rsidP="007C37DD">
            <w:pPr>
              <w:pStyle w:val="TableTextRightBold"/>
            </w:pPr>
            <w:r w:rsidRPr="000F7C09">
              <w:t>8,872,106</w:t>
            </w:r>
          </w:p>
        </w:tc>
        <w:tc>
          <w:tcPr>
            <w:tcW w:w="1705" w:type="dxa"/>
            <w:shd w:val="clear" w:color="auto" w:fill="CCE3F5"/>
          </w:tcPr>
          <w:p w14:paraId="28A7C0A5" w14:textId="428AAE6E" w:rsidR="007C37DD" w:rsidRPr="00A11832" w:rsidRDefault="007C37DD" w:rsidP="007C37DD">
            <w:pPr>
              <w:pStyle w:val="TableTextRightBold"/>
            </w:pPr>
            <w:r w:rsidRPr="000F7C09">
              <w:t>32,476,903</w:t>
            </w:r>
          </w:p>
        </w:tc>
        <w:tc>
          <w:tcPr>
            <w:tcW w:w="1705" w:type="dxa"/>
            <w:shd w:val="clear" w:color="auto" w:fill="CCE3F5"/>
          </w:tcPr>
          <w:p w14:paraId="46964120" w14:textId="449E9410" w:rsidR="007C37DD" w:rsidRPr="00A11832" w:rsidRDefault="007C37DD" w:rsidP="007C37DD">
            <w:pPr>
              <w:pStyle w:val="TableTextRightBold"/>
            </w:pPr>
            <w:r w:rsidRPr="000F7C09">
              <w:t>1,753,162</w:t>
            </w:r>
          </w:p>
        </w:tc>
        <w:tc>
          <w:tcPr>
            <w:tcW w:w="1705" w:type="dxa"/>
            <w:shd w:val="clear" w:color="auto" w:fill="CCE3F5"/>
          </w:tcPr>
          <w:p w14:paraId="0D4D3189" w14:textId="15902FA8" w:rsidR="007C37DD" w:rsidRPr="00A11832" w:rsidRDefault="007C37DD" w:rsidP="007C37DD">
            <w:pPr>
              <w:pStyle w:val="TableTextRightBold"/>
            </w:pPr>
            <w:r w:rsidRPr="000F7C09">
              <w:t>24,700,856</w:t>
            </w:r>
          </w:p>
        </w:tc>
        <w:tc>
          <w:tcPr>
            <w:tcW w:w="1705" w:type="dxa"/>
            <w:shd w:val="clear" w:color="auto" w:fill="CCE3F5"/>
          </w:tcPr>
          <w:p w14:paraId="6571FE21" w14:textId="0CE4878B" w:rsidR="007C37DD" w:rsidRPr="00A11832" w:rsidRDefault="007C37DD" w:rsidP="007C37DD">
            <w:pPr>
              <w:pStyle w:val="TableTextRightBold"/>
            </w:pPr>
            <w:r w:rsidRPr="000F7C09">
              <w:t>86,833,326</w:t>
            </w:r>
          </w:p>
        </w:tc>
      </w:tr>
      <w:tr w:rsidR="007C37DD" w:rsidRPr="00A11832" w14:paraId="45D3A24B" w14:textId="77777777" w:rsidTr="00C52146">
        <w:trPr>
          <w:trHeight w:val="60"/>
        </w:trPr>
        <w:tc>
          <w:tcPr>
            <w:tcW w:w="7340" w:type="dxa"/>
          </w:tcPr>
          <w:p w14:paraId="6752B219" w14:textId="2AB143A8" w:rsidR="007C37DD" w:rsidRPr="00E3488C" w:rsidRDefault="007C37DD" w:rsidP="007C37DD">
            <w:pPr>
              <w:pStyle w:val="TableTextBold"/>
            </w:pPr>
            <w:r w:rsidRPr="000F7C09">
              <w:t xml:space="preserve">Trust </w:t>
            </w:r>
            <w:r w:rsidR="00647CC3">
              <w:t>f</w:t>
            </w:r>
            <w:r w:rsidRPr="000F7C09">
              <w:t>unds, opening equity 1 July 2020</w:t>
            </w:r>
          </w:p>
        </w:tc>
        <w:tc>
          <w:tcPr>
            <w:tcW w:w="1704" w:type="dxa"/>
          </w:tcPr>
          <w:p w14:paraId="6A875174" w14:textId="17F08145" w:rsidR="007C37DD" w:rsidRPr="00A11832" w:rsidRDefault="007C37DD" w:rsidP="007C37DD">
            <w:pPr>
              <w:pStyle w:val="TableTextRightBold"/>
            </w:pPr>
            <w:r w:rsidRPr="000F7C09">
              <w:t>5,259,384</w:t>
            </w:r>
          </w:p>
        </w:tc>
        <w:tc>
          <w:tcPr>
            <w:tcW w:w="1705" w:type="dxa"/>
          </w:tcPr>
          <w:p w14:paraId="644CD051" w14:textId="796331D7" w:rsidR="007C37DD" w:rsidRPr="00A11832" w:rsidRDefault="007C37DD" w:rsidP="007C37DD">
            <w:pPr>
              <w:pStyle w:val="TableTextRightBold"/>
            </w:pPr>
            <w:r w:rsidRPr="000F7C09">
              <w:t>25,749,524</w:t>
            </w:r>
          </w:p>
        </w:tc>
        <w:tc>
          <w:tcPr>
            <w:tcW w:w="1705" w:type="dxa"/>
          </w:tcPr>
          <w:p w14:paraId="71E092F5" w14:textId="488184EB" w:rsidR="007C37DD" w:rsidRPr="00A11832" w:rsidRDefault="007C37DD" w:rsidP="007C37DD">
            <w:pPr>
              <w:pStyle w:val="TableTextRightBold"/>
            </w:pPr>
            <w:r w:rsidRPr="000F7C09">
              <w:t>5,240,722</w:t>
            </w:r>
          </w:p>
        </w:tc>
        <w:tc>
          <w:tcPr>
            <w:tcW w:w="1705" w:type="dxa"/>
          </w:tcPr>
          <w:p w14:paraId="4F72B18C" w14:textId="280D2515" w:rsidR="007C37DD" w:rsidRPr="00A11832" w:rsidRDefault="007C37DD" w:rsidP="007C37DD">
            <w:pPr>
              <w:pStyle w:val="TableTextRightBold"/>
            </w:pPr>
            <w:r w:rsidRPr="000F7C09">
              <w:t>33,306,183</w:t>
            </w:r>
          </w:p>
        </w:tc>
        <w:tc>
          <w:tcPr>
            <w:tcW w:w="1705" w:type="dxa"/>
          </w:tcPr>
          <w:p w14:paraId="7E121B1A" w14:textId="0DCDE6E9" w:rsidR="007C37DD" w:rsidRPr="00A11832" w:rsidRDefault="007C37DD" w:rsidP="007C37DD">
            <w:pPr>
              <w:pStyle w:val="TableTextRightBold"/>
            </w:pPr>
            <w:r w:rsidRPr="000F7C09">
              <w:t>42,809,484</w:t>
            </w:r>
          </w:p>
        </w:tc>
        <w:tc>
          <w:tcPr>
            <w:tcW w:w="1705" w:type="dxa"/>
          </w:tcPr>
          <w:p w14:paraId="17A6AD15" w14:textId="039C4CA8" w:rsidR="007C37DD" w:rsidRPr="00A11832" w:rsidRDefault="007C37DD" w:rsidP="007C37DD">
            <w:pPr>
              <w:pStyle w:val="TableTextRightBold"/>
            </w:pPr>
            <w:r w:rsidRPr="000F7C09">
              <w:t>528,634</w:t>
            </w:r>
          </w:p>
        </w:tc>
        <w:tc>
          <w:tcPr>
            <w:tcW w:w="1705" w:type="dxa"/>
          </w:tcPr>
          <w:p w14:paraId="704AC330" w14:textId="06100C3A" w:rsidR="007C37DD" w:rsidRPr="00A11832" w:rsidRDefault="007C37DD" w:rsidP="007C37DD">
            <w:pPr>
              <w:pStyle w:val="TableTextRightBold"/>
            </w:pPr>
            <w:r w:rsidRPr="000F7C09">
              <w:t>168,685,002</w:t>
            </w:r>
          </w:p>
        </w:tc>
        <w:tc>
          <w:tcPr>
            <w:tcW w:w="1705" w:type="dxa"/>
          </w:tcPr>
          <w:p w14:paraId="7F2EE9FE" w14:textId="30DAEE03" w:rsidR="007C37DD" w:rsidRPr="00A11832" w:rsidRDefault="007C37DD" w:rsidP="007C37DD">
            <w:pPr>
              <w:pStyle w:val="TableTextRightBold"/>
            </w:pPr>
            <w:r w:rsidRPr="000F7C09">
              <w:t>281,578,933</w:t>
            </w:r>
          </w:p>
        </w:tc>
      </w:tr>
      <w:tr w:rsidR="007C37DD" w14:paraId="5B0F6322" w14:textId="77777777" w:rsidTr="00C52146">
        <w:trPr>
          <w:trHeight w:val="60"/>
        </w:trPr>
        <w:tc>
          <w:tcPr>
            <w:tcW w:w="7340" w:type="dxa"/>
          </w:tcPr>
          <w:p w14:paraId="6305FC2C" w14:textId="75D14E2F" w:rsidR="007C37DD" w:rsidRDefault="007C37DD" w:rsidP="007C37DD">
            <w:pPr>
              <w:pStyle w:val="TableText"/>
            </w:pPr>
            <w:r w:rsidRPr="000F7C09">
              <w:t>Current year operating surplus/(deficit)</w:t>
            </w:r>
          </w:p>
        </w:tc>
        <w:tc>
          <w:tcPr>
            <w:tcW w:w="1704" w:type="dxa"/>
          </w:tcPr>
          <w:p w14:paraId="77A81785" w14:textId="24BFB49C" w:rsidR="007C37DD" w:rsidRDefault="007C37DD" w:rsidP="007C37DD">
            <w:pPr>
              <w:pStyle w:val="TableTextRight"/>
            </w:pPr>
            <w:r w:rsidRPr="000F7C09">
              <w:t>(591,786)</w:t>
            </w:r>
          </w:p>
        </w:tc>
        <w:tc>
          <w:tcPr>
            <w:tcW w:w="1705" w:type="dxa"/>
          </w:tcPr>
          <w:p w14:paraId="069B4CF8" w14:textId="05ACE082" w:rsidR="007C37DD" w:rsidRDefault="007C37DD" w:rsidP="007C37DD">
            <w:pPr>
              <w:pStyle w:val="TableTextRight"/>
            </w:pPr>
            <w:r w:rsidRPr="000F7C09">
              <w:t>3,817,205</w:t>
            </w:r>
          </w:p>
        </w:tc>
        <w:tc>
          <w:tcPr>
            <w:tcW w:w="1705" w:type="dxa"/>
          </w:tcPr>
          <w:p w14:paraId="0EE47F1E" w14:textId="72CE20CD" w:rsidR="007C37DD" w:rsidRDefault="007C37DD" w:rsidP="007C37DD">
            <w:pPr>
              <w:pStyle w:val="TableTextRight"/>
            </w:pPr>
            <w:r w:rsidRPr="000F7C09">
              <w:t>928,777</w:t>
            </w:r>
          </w:p>
        </w:tc>
        <w:tc>
          <w:tcPr>
            <w:tcW w:w="1705" w:type="dxa"/>
          </w:tcPr>
          <w:p w14:paraId="6EED5E23" w14:textId="27824599" w:rsidR="007C37DD" w:rsidRDefault="007C37DD" w:rsidP="007C37DD">
            <w:pPr>
              <w:pStyle w:val="TableTextRight"/>
            </w:pPr>
            <w:r w:rsidRPr="000F7C09">
              <w:t>28,169,650</w:t>
            </w:r>
          </w:p>
        </w:tc>
        <w:tc>
          <w:tcPr>
            <w:tcW w:w="1705" w:type="dxa"/>
          </w:tcPr>
          <w:p w14:paraId="2341666B" w14:textId="71C03159" w:rsidR="007C37DD" w:rsidRDefault="007C37DD" w:rsidP="007C37DD">
            <w:pPr>
              <w:pStyle w:val="TableTextRight"/>
            </w:pPr>
            <w:r w:rsidRPr="000F7C09">
              <w:t>(4,302,342)</w:t>
            </w:r>
          </w:p>
        </w:tc>
        <w:tc>
          <w:tcPr>
            <w:tcW w:w="1705" w:type="dxa"/>
          </w:tcPr>
          <w:p w14:paraId="1F02DA89" w14:textId="1B769F64" w:rsidR="007C37DD" w:rsidRDefault="007C37DD" w:rsidP="007C37DD">
            <w:pPr>
              <w:pStyle w:val="TableTextRight"/>
            </w:pPr>
            <w:r w:rsidRPr="000F7C09">
              <w:t>(15,449)</w:t>
            </w:r>
          </w:p>
        </w:tc>
        <w:tc>
          <w:tcPr>
            <w:tcW w:w="1705" w:type="dxa"/>
          </w:tcPr>
          <w:p w14:paraId="4B866E12" w14:textId="54A31B8B" w:rsidR="007C37DD" w:rsidRDefault="007C37DD" w:rsidP="007C37DD">
            <w:pPr>
              <w:pStyle w:val="TableTextRight"/>
            </w:pPr>
            <w:r w:rsidRPr="000F7C09">
              <w:t>(15,833,252)</w:t>
            </w:r>
          </w:p>
        </w:tc>
        <w:tc>
          <w:tcPr>
            <w:tcW w:w="1705" w:type="dxa"/>
          </w:tcPr>
          <w:p w14:paraId="7F397A22" w14:textId="7948E800" w:rsidR="007C37DD" w:rsidRDefault="007C37DD" w:rsidP="007C37DD">
            <w:pPr>
              <w:pStyle w:val="TableTextRight"/>
            </w:pPr>
            <w:r w:rsidRPr="000F7C09">
              <w:t>12,172,803</w:t>
            </w:r>
          </w:p>
        </w:tc>
      </w:tr>
      <w:tr w:rsidR="007C37DD" w14:paraId="0BAEB752" w14:textId="77777777" w:rsidTr="00C52146">
        <w:trPr>
          <w:trHeight w:val="60"/>
        </w:trPr>
        <w:tc>
          <w:tcPr>
            <w:tcW w:w="7340" w:type="dxa"/>
          </w:tcPr>
          <w:p w14:paraId="785B080F" w14:textId="7EB06E89" w:rsidR="007C37DD" w:rsidRDefault="007C37DD" w:rsidP="007C37DD">
            <w:pPr>
              <w:pStyle w:val="TableTextBold"/>
            </w:pPr>
            <w:r w:rsidRPr="000F7C09">
              <w:t>Trust funds, closing equity 30 June 2021</w:t>
            </w:r>
          </w:p>
        </w:tc>
        <w:tc>
          <w:tcPr>
            <w:tcW w:w="1704" w:type="dxa"/>
          </w:tcPr>
          <w:p w14:paraId="57511930" w14:textId="3C040CC2" w:rsidR="007C37DD" w:rsidRDefault="007C37DD" w:rsidP="007C37DD">
            <w:pPr>
              <w:pStyle w:val="TableTextRightBold"/>
            </w:pPr>
            <w:r w:rsidRPr="000F7C09">
              <w:t>4,667,598</w:t>
            </w:r>
          </w:p>
        </w:tc>
        <w:tc>
          <w:tcPr>
            <w:tcW w:w="1705" w:type="dxa"/>
          </w:tcPr>
          <w:p w14:paraId="5D403C73" w14:textId="3F48E0EC" w:rsidR="007C37DD" w:rsidRDefault="007C37DD" w:rsidP="007C37DD">
            <w:pPr>
              <w:pStyle w:val="TableTextRightBold"/>
            </w:pPr>
            <w:r w:rsidRPr="000F7C09">
              <w:t>29,566,729</w:t>
            </w:r>
          </w:p>
        </w:tc>
        <w:tc>
          <w:tcPr>
            <w:tcW w:w="1705" w:type="dxa"/>
          </w:tcPr>
          <w:p w14:paraId="045BE4D8" w14:textId="3FF03C05" w:rsidR="007C37DD" w:rsidRDefault="007C37DD" w:rsidP="007C37DD">
            <w:pPr>
              <w:pStyle w:val="TableTextRightBold"/>
            </w:pPr>
            <w:r w:rsidRPr="000F7C09">
              <w:t>6,169,499</w:t>
            </w:r>
          </w:p>
        </w:tc>
        <w:tc>
          <w:tcPr>
            <w:tcW w:w="1705" w:type="dxa"/>
          </w:tcPr>
          <w:p w14:paraId="5466D682" w14:textId="46B4FB58" w:rsidR="007C37DD" w:rsidRDefault="007C37DD" w:rsidP="007C37DD">
            <w:pPr>
              <w:pStyle w:val="TableTextRightBold"/>
            </w:pPr>
            <w:r w:rsidRPr="000F7C09">
              <w:t>61,475,833</w:t>
            </w:r>
          </w:p>
        </w:tc>
        <w:tc>
          <w:tcPr>
            <w:tcW w:w="1705" w:type="dxa"/>
          </w:tcPr>
          <w:p w14:paraId="0840213B" w14:textId="356545A2" w:rsidR="007C37DD" w:rsidRDefault="007C37DD" w:rsidP="007C37DD">
            <w:pPr>
              <w:pStyle w:val="TableTextRightBold"/>
            </w:pPr>
            <w:r w:rsidRPr="000F7C09">
              <w:t>38,507,142</w:t>
            </w:r>
          </w:p>
        </w:tc>
        <w:tc>
          <w:tcPr>
            <w:tcW w:w="1705" w:type="dxa"/>
          </w:tcPr>
          <w:p w14:paraId="1F478C68" w14:textId="253CEBF5" w:rsidR="007C37DD" w:rsidRDefault="007C37DD" w:rsidP="007C37DD">
            <w:pPr>
              <w:pStyle w:val="TableTextRightBold"/>
            </w:pPr>
            <w:r w:rsidRPr="000F7C09">
              <w:t>513,185</w:t>
            </w:r>
          </w:p>
        </w:tc>
        <w:tc>
          <w:tcPr>
            <w:tcW w:w="1705" w:type="dxa"/>
          </w:tcPr>
          <w:p w14:paraId="16E23F8F" w14:textId="61AB911B" w:rsidR="007C37DD" w:rsidRDefault="007C37DD" w:rsidP="007C37DD">
            <w:pPr>
              <w:pStyle w:val="TableTextRightBold"/>
            </w:pPr>
            <w:r w:rsidRPr="000F7C09">
              <w:t>152,851,750</w:t>
            </w:r>
          </w:p>
        </w:tc>
        <w:tc>
          <w:tcPr>
            <w:tcW w:w="1705" w:type="dxa"/>
          </w:tcPr>
          <w:p w14:paraId="00AD1942" w14:textId="7E6CD4EB" w:rsidR="007C37DD" w:rsidRDefault="007C37DD" w:rsidP="007C37DD">
            <w:pPr>
              <w:pStyle w:val="TableTextRightBold"/>
            </w:pPr>
            <w:r w:rsidRPr="000F7C09">
              <w:t>293,751,736</w:t>
            </w:r>
          </w:p>
        </w:tc>
      </w:tr>
    </w:tbl>
    <w:p w14:paraId="18E8CFA4" w14:textId="6316FD77" w:rsidR="00DE3B0D" w:rsidRDefault="00DE3B0D" w:rsidP="00742620">
      <w:pPr>
        <w:pStyle w:val="FootnoteText"/>
        <w:ind w:left="0" w:firstLine="0"/>
      </w:pPr>
      <w:r>
        <w:t>Note</w:t>
      </w:r>
      <w:r w:rsidR="00D23ECC">
        <w:t xml:space="preserve"> </w:t>
      </w:r>
      <w:r>
        <w:t>that</w:t>
      </w:r>
      <w:r w:rsidR="00D23ECC">
        <w:t xml:space="preserve"> </w:t>
      </w:r>
      <w:r>
        <w:t>Consumer</w:t>
      </w:r>
      <w:r w:rsidR="00D23ECC">
        <w:t xml:space="preserve"> </w:t>
      </w:r>
      <w:r>
        <w:t>Affairs</w:t>
      </w:r>
      <w:r w:rsidR="00D23ECC">
        <w:t xml:space="preserve"> </w:t>
      </w:r>
      <w:r>
        <w:t>Victoria</w:t>
      </w:r>
      <w:r w:rsidR="00D23ECC">
        <w:t xml:space="preserve"> </w:t>
      </w:r>
      <w:r>
        <w:t>also</w:t>
      </w:r>
      <w:r w:rsidR="00D23ECC">
        <w:t xml:space="preserve"> </w:t>
      </w:r>
      <w:r>
        <w:t>receives</w:t>
      </w:r>
      <w:r w:rsidR="00D23ECC">
        <w:t xml:space="preserve"> </w:t>
      </w:r>
      <w:r>
        <w:t>funding</w:t>
      </w:r>
      <w:r w:rsidR="00D23ECC">
        <w:t xml:space="preserve"> </w:t>
      </w:r>
      <w:r>
        <w:t>through</w:t>
      </w:r>
      <w:r w:rsidR="00D23ECC">
        <w:t xml:space="preserve"> </w:t>
      </w:r>
      <w:r>
        <w:t>appropriations</w:t>
      </w:r>
      <w:r w:rsidR="00D23ECC">
        <w:t xml:space="preserve"> </w:t>
      </w:r>
      <w:r>
        <w:t>to</w:t>
      </w:r>
      <w:r w:rsidR="00D23ECC">
        <w:t xml:space="preserve"> </w:t>
      </w:r>
      <w:r>
        <w:t>perform</w:t>
      </w:r>
      <w:r w:rsidR="00D23ECC">
        <w:t xml:space="preserve"> </w:t>
      </w:r>
      <w:r>
        <w:t>its</w:t>
      </w:r>
      <w:r w:rsidR="00D23ECC">
        <w:t xml:space="preserve"> </w:t>
      </w:r>
      <w:r>
        <w:t>functions</w:t>
      </w:r>
      <w:r w:rsidR="00D23ECC">
        <w:t xml:space="preserve"> </w:t>
      </w:r>
      <w:r>
        <w:t>each</w:t>
      </w:r>
      <w:r w:rsidR="00D23ECC">
        <w:t xml:space="preserve"> </w:t>
      </w:r>
      <w:r>
        <w:t>year.</w:t>
      </w:r>
      <w:r w:rsidR="00D23ECC">
        <w:t xml:space="preserve"> </w:t>
      </w:r>
      <w:r>
        <w:t>Annual</w:t>
      </w:r>
      <w:r w:rsidR="00D23ECC">
        <w:t xml:space="preserve"> </w:t>
      </w:r>
      <w:r>
        <w:t>reporting</w:t>
      </w:r>
      <w:r w:rsidR="00D23ECC">
        <w:t xml:space="preserve"> </w:t>
      </w:r>
      <w:r>
        <w:t>against</w:t>
      </w:r>
      <w:r w:rsidR="00D23ECC">
        <w:t xml:space="preserve"> </w:t>
      </w:r>
      <w:r>
        <w:t>that</w:t>
      </w:r>
      <w:r w:rsidR="00D23ECC">
        <w:t xml:space="preserve"> </w:t>
      </w:r>
      <w:r>
        <w:t>expenditure</w:t>
      </w:r>
      <w:r w:rsidR="00D23ECC">
        <w:t xml:space="preserve"> </w:t>
      </w:r>
      <w:r>
        <w:t>is</w:t>
      </w:r>
      <w:r w:rsidR="00D23ECC">
        <w:t xml:space="preserve"> </w:t>
      </w:r>
      <w:r>
        <w:t>contained</w:t>
      </w:r>
      <w:r w:rsidR="00D23ECC">
        <w:t xml:space="preserve"> </w:t>
      </w:r>
      <w:r>
        <w:t>in</w:t>
      </w:r>
      <w:r w:rsidR="00D23ECC">
        <w:t xml:space="preserve"> </w:t>
      </w:r>
      <w:r>
        <w:t>the</w:t>
      </w:r>
      <w:r w:rsidR="00D23ECC">
        <w:t xml:space="preserve"> </w:t>
      </w:r>
      <w:r>
        <w:t>Department</w:t>
      </w:r>
      <w:r w:rsidR="00D23ECC">
        <w:t xml:space="preserve"> </w:t>
      </w:r>
      <w:r>
        <w:t>of</w:t>
      </w:r>
      <w:r w:rsidR="00D23ECC">
        <w:t xml:space="preserve"> </w:t>
      </w:r>
      <w:r>
        <w:t>Justice</w:t>
      </w:r>
      <w:r w:rsidR="00D23ECC">
        <w:t xml:space="preserve"> </w:t>
      </w:r>
      <w:r>
        <w:t>and</w:t>
      </w:r>
      <w:r w:rsidR="00D23ECC">
        <w:t xml:space="preserve"> </w:t>
      </w:r>
      <w:r>
        <w:t>Community</w:t>
      </w:r>
      <w:r w:rsidR="00D23ECC">
        <w:t xml:space="preserve"> </w:t>
      </w:r>
      <w:r>
        <w:t>Safety</w:t>
      </w:r>
      <w:r w:rsidR="00D23ECC">
        <w:t xml:space="preserve"> </w:t>
      </w:r>
      <w:r>
        <w:t>Annual</w:t>
      </w:r>
      <w:r w:rsidR="00D23ECC">
        <w:t xml:space="preserve"> </w:t>
      </w:r>
      <w:r>
        <w:t>Report.</w:t>
      </w:r>
    </w:p>
    <w:p w14:paraId="36727F4D" w14:textId="1902AD20" w:rsidR="00DE3B0D" w:rsidRDefault="00DE3B0D" w:rsidP="00742620">
      <w:pPr>
        <w:pStyle w:val="FootnoteText"/>
        <w:ind w:left="0" w:firstLine="0"/>
      </w:pPr>
      <w:r>
        <w:t>Where</w:t>
      </w:r>
      <w:r w:rsidR="00D23ECC">
        <w:t xml:space="preserve"> </w:t>
      </w:r>
      <w:r>
        <w:t>a</w:t>
      </w:r>
      <w:r w:rsidR="00D23ECC">
        <w:t xml:space="preserve"> </w:t>
      </w:r>
      <w:r>
        <w:t>trust</w:t>
      </w:r>
      <w:r w:rsidR="00D23ECC">
        <w:t xml:space="preserve"> </w:t>
      </w:r>
      <w:r>
        <w:t>fund</w:t>
      </w:r>
      <w:r w:rsidR="00D23ECC">
        <w:t xml:space="preserve"> </w:t>
      </w:r>
      <w:r>
        <w:t>does</w:t>
      </w:r>
      <w:r w:rsidR="00D23ECC">
        <w:t xml:space="preserve"> </w:t>
      </w:r>
      <w:r>
        <w:t>not</w:t>
      </w:r>
      <w:r w:rsidR="00D23ECC">
        <w:t xml:space="preserve"> </w:t>
      </w:r>
      <w:r>
        <w:t>have</w:t>
      </w:r>
      <w:r w:rsidR="00D23ECC">
        <w:t xml:space="preserve"> </w:t>
      </w:r>
      <w:r>
        <w:t>sufficient</w:t>
      </w:r>
      <w:r w:rsidR="00D23ECC">
        <w:t xml:space="preserve"> </w:t>
      </w:r>
      <w:r>
        <w:t>funds</w:t>
      </w:r>
      <w:r w:rsidR="00D23ECC">
        <w:t xml:space="preserve"> </w:t>
      </w:r>
      <w:r>
        <w:t>to</w:t>
      </w:r>
      <w:r w:rsidR="00D23ECC">
        <w:t xml:space="preserve"> </w:t>
      </w:r>
      <w:r>
        <w:t>support</w:t>
      </w:r>
      <w:r w:rsidR="00D23ECC">
        <w:t xml:space="preserve"> </w:t>
      </w:r>
      <w:r>
        <w:t>the</w:t>
      </w:r>
      <w:r w:rsidR="00D23ECC">
        <w:t xml:space="preserve"> </w:t>
      </w:r>
      <w:r>
        <w:t>work</w:t>
      </w:r>
      <w:r w:rsidR="00D23ECC">
        <w:t xml:space="preserve"> </w:t>
      </w:r>
      <w:r>
        <w:t>relating</w:t>
      </w:r>
      <w:r w:rsidR="00D23ECC">
        <w:t xml:space="preserve"> </w:t>
      </w:r>
      <w:r>
        <w:t>to</w:t>
      </w:r>
      <w:r w:rsidR="00D23ECC">
        <w:t xml:space="preserve"> </w:t>
      </w:r>
      <w:r>
        <w:t>the</w:t>
      </w:r>
      <w:r w:rsidR="00D23ECC">
        <w:t xml:space="preserve"> </w:t>
      </w:r>
      <w:r>
        <w:t>administration</w:t>
      </w:r>
      <w:r w:rsidR="00D23ECC">
        <w:t xml:space="preserve"> </w:t>
      </w:r>
      <w:r>
        <w:t>of</w:t>
      </w:r>
      <w:r w:rsidR="00D23ECC">
        <w:t xml:space="preserve"> </w:t>
      </w:r>
      <w:r>
        <w:t>the</w:t>
      </w:r>
      <w:r w:rsidR="00D23ECC">
        <w:t xml:space="preserve"> </w:t>
      </w:r>
      <w:r>
        <w:t>relevant</w:t>
      </w:r>
      <w:r w:rsidR="00D23ECC">
        <w:t xml:space="preserve"> </w:t>
      </w:r>
      <w:r>
        <w:t>Act,</w:t>
      </w:r>
      <w:r w:rsidR="00D23ECC">
        <w:t xml:space="preserve"> </w:t>
      </w:r>
      <w:r>
        <w:t>we</w:t>
      </w:r>
      <w:r w:rsidR="00D23ECC">
        <w:t xml:space="preserve"> </w:t>
      </w:r>
      <w:r>
        <w:t>will</w:t>
      </w:r>
      <w:r w:rsidR="00D23ECC">
        <w:t xml:space="preserve"> </w:t>
      </w:r>
      <w:r>
        <w:t>sometimes</w:t>
      </w:r>
      <w:r w:rsidR="00D23ECC">
        <w:t xml:space="preserve"> </w:t>
      </w:r>
      <w:r>
        <w:t>supplement</w:t>
      </w:r>
      <w:r w:rsidR="00D23ECC">
        <w:t xml:space="preserve"> </w:t>
      </w:r>
      <w:r>
        <w:t>the</w:t>
      </w:r>
      <w:r w:rsidR="00D23ECC">
        <w:t xml:space="preserve"> </w:t>
      </w:r>
      <w:r>
        <w:t>trust</w:t>
      </w:r>
      <w:r w:rsidR="00D23ECC">
        <w:t xml:space="preserve"> </w:t>
      </w:r>
      <w:r>
        <w:t>fund</w:t>
      </w:r>
      <w:r w:rsidR="00D23ECC">
        <w:t xml:space="preserve"> </w:t>
      </w:r>
      <w:r>
        <w:t>with</w:t>
      </w:r>
      <w:r w:rsidR="00D23ECC">
        <w:t xml:space="preserve"> </w:t>
      </w:r>
      <w:r>
        <w:t>the</w:t>
      </w:r>
      <w:r w:rsidR="00D23ECC">
        <w:t xml:space="preserve"> </w:t>
      </w:r>
      <w:r>
        <w:t>necessary</w:t>
      </w:r>
      <w:r w:rsidR="00D23ECC">
        <w:t xml:space="preserve"> </w:t>
      </w:r>
      <w:r>
        <w:t>funding</w:t>
      </w:r>
      <w:r w:rsidR="00D23ECC">
        <w:t xml:space="preserve"> </w:t>
      </w:r>
      <w:r>
        <w:t>from</w:t>
      </w:r>
      <w:r w:rsidR="00D23ECC">
        <w:t xml:space="preserve"> </w:t>
      </w:r>
      <w:r>
        <w:t>appropriations.</w:t>
      </w:r>
    </w:p>
    <w:p w14:paraId="763A1A6F" w14:textId="77777777" w:rsidR="00F22B33" w:rsidRDefault="00F22B33" w:rsidP="00AE374E">
      <w:pPr>
        <w:pStyle w:val="Heading2"/>
        <w:sectPr w:rsidR="00F22B33" w:rsidSect="003C5B62">
          <w:footnotePr>
            <w:pos w:val="beneathText"/>
            <w:numRestart w:val="eachPage"/>
          </w:footnotePr>
          <w:pgSz w:w="23811" w:h="16838" w:orient="landscape" w:code="8"/>
          <w:pgMar w:top="1418" w:right="1418" w:bottom="1418" w:left="1134" w:header="510" w:footer="510" w:gutter="0"/>
          <w:cols w:space="708"/>
          <w:docGrid w:linePitch="360"/>
        </w:sectPr>
      </w:pPr>
    </w:p>
    <w:p w14:paraId="618A73B4" w14:textId="387B852A" w:rsidR="00DE3B0D" w:rsidRDefault="00DE3B0D" w:rsidP="004842F6">
      <w:pPr>
        <w:pStyle w:val="Heading2"/>
        <w:spacing w:after="280"/>
      </w:pPr>
      <w:bookmarkStart w:id="37" w:name="_Toc85912307"/>
      <w:r>
        <w:lastRenderedPageBreak/>
        <w:t>Acts</w:t>
      </w:r>
      <w:r w:rsidR="00D23ECC">
        <w:t xml:space="preserve"> </w:t>
      </w:r>
      <w:r>
        <w:t>and</w:t>
      </w:r>
      <w:r w:rsidR="00D23ECC">
        <w:t xml:space="preserve"> </w:t>
      </w:r>
      <w:r>
        <w:t>regulations</w:t>
      </w:r>
      <w:r w:rsidR="00D23ECC">
        <w:t xml:space="preserve"> </w:t>
      </w:r>
      <w:r>
        <w:t>administered</w:t>
      </w:r>
      <w:r w:rsidR="00D23ECC">
        <w:t xml:space="preserve"> </w:t>
      </w:r>
      <w:r>
        <w:t>by</w:t>
      </w:r>
      <w:r w:rsidR="00D23ECC">
        <w:t xml:space="preserve"> </w:t>
      </w:r>
      <w:r>
        <w:t>CAV:</w:t>
      </w:r>
      <w:r w:rsidR="00D23ECC">
        <w:t xml:space="preserve"> </w:t>
      </w:r>
      <w:r>
        <w:t>passed,</w:t>
      </w:r>
      <w:r w:rsidR="00D23ECC">
        <w:t xml:space="preserve"> </w:t>
      </w:r>
      <w:r>
        <w:t>commenced,</w:t>
      </w:r>
      <w:r w:rsidR="00D23ECC">
        <w:t xml:space="preserve"> </w:t>
      </w:r>
      <w:r>
        <w:t>made</w:t>
      </w:r>
      <w:r w:rsidR="00D23ECC">
        <w:t xml:space="preserve"> </w:t>
      </w:r>
      <w:r>
        <w:t>and</w:t>
      </w:r>
      <w:r w:rsidR="00D23ECC">
        <w:t xml:space="preserve"> </w:t>
      </w:r>
      <w:r>
        <w:t>revoked</w:t>
      </w:r>
      <w:r w:rsidR="00D23ECC">
        <w:t xml:space="preserve"> </w:t>
      </w:r>
      <w:r>
        <w:t>in</w:t>
      </w:r>
      <w:r w:rsidR="00773D96">
        <w:t> </w:t>
      </w:r>
      <w:r>
        <w:t>2020–21</w:t>
      </w:r>
      <w:bookmarkEnd w:id="37"/>
    </w:p>
    <w:p w14:paraId="1785AC37" w14:textId="5874DC7D" w:rsidR="00DE3B0D" w:rsidRPr="00B04B74" w:rsidRDefault="00DE3B0D" w:rsidP="004842F6">
      <w:pPr>
        <w:pStyle w:val="Heading3"/>
        <w:spacing w:before="0"/>
      </w:pPr>
      <w:bookmarkStart w:id="38" w:name="_Toc85912308"/>
      <w:r w:rsidRPr="00B04B74">
        <w:t>Acts</w:t>
      </w:r>
      <w:r w:rsidR="00D23ECC" w:rsidRPr="00B04B74">
        <w:t xml:space="preserve"> </w:t>
      </w:r>
      <w:r w:rsidRPr="00B04B74">
        <w:t>passed</w:t>
      </w:r>
      <w:bookmarkEnd w:id="38"/>
    </w:p>
    <w:tbl>
      <w:tblPr>
        <w:tblStyle w:val="TableGrid"/>
        <w:tblW w:w="9072" w:type="dxa"/>
        <w:tblLayout w:type="fixed"/>
        <w:tblLook w:val="00A0" w:firstRow="1" w:lastRow="0" w:firstColumn="1" w:lastColumn="0" w:noHBand="0" w:noVBand="0"/>
      </w:tblPr>
      <w:tblGrid>
        <w:gridCol w:w="7035"/>
        <w:gridCol w:w="2037"/>
      </w:tblGrid>
      <w:tr w:rsidR="00DE3B0D" w14:paraId="3921BE4C"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0BA079F6" w14:textId="77777777" w:rsidR="00DE3B0D" w:rsidRDefault="00DE3B0D" w:rsidP="00A95E63">
            <w:pPr>
              <w:pStyle w:val="TableColHead"/>
            </w:pPr>
            <w:r>
              <w:t>Name</w:t>
            </w:r>
          </w:p>
        </w:tc>
        <w:tc>
          <w:tcPr>
            <w:tcW w:w="2155" w:type="dxa"/>
          </w:tcPr>
          <w:p w14:paraId="2673877E" w14:textId="5E1A098C" w:rsidR="00DE3B0D" w:rsidRDefault="00DE3B0D" w:rsidP="00A95E63">
            <w:pPr>
              <w:pStyle w:val="TableColHead"/>
            </w:pPr>
            <w:r>
              <w:t>Date</w:t>
            </w:r>
            <w:r w:rsidR="00D23ECC">
              <w:t xml:space="preserve"> </w:t>
            </w:r>
            <w:r>
              <w:t>of</w:t>
            </w:r>
            <w:r w:rsidR="00D23ECC">
              <w:t xml:space="preserve"> </w:t>
            </w:r>
            <w:r>
              <w:t>Royal</w:t>
            </w:r>
            <w:r w:rsidR="00D23ECC">
              <w:t xml:space="preserve"> </w:t>
            </w:r>
            <w:r>
              <w:t>Assent</w:t>
            </w:r>
          </w:p>
        </w:tc>
      </w:tr>
      <w:tr w:rsidR="00DE3B0D" w14:paraId="7850FE28" w14:textId="77777777" w:rsidTr="004842F6">
        <w:trPr>
          <w:trHeight w:val="68"/>
        </w:trPr>
        <w:tc>
          <w:tcPr>
            <w:tcW w:w="7483" w:type="dxa"/>
          </w:tcPr>
          <w:p w14:paraId="5E8E3510" w14:textId="7C18410A" w:rsidR="00DE3B0D" w:rsidRDefault="00DE3B0D" w:rsidP="00A95E63">
            <w:pPr>
              <w:pStyle w:val="TableText"/>
            </w:pPr>
            <w:r w:rsidRPr="00ED78BD">
              <w:rPr>
                <w:rStyle w:val="Emphasis"/>
              </w:rPr>
              <w:t>COVID-19</w:t>
            </w:r>
            <w:r w:rsidR="00D23ECC" w:rsidRPr="00ED78BD">
              <w:rPr>
                <w:rStyle w:val="Emphasis"/>
              </w:rPr>
              <w:t xml:space="preserve"> </w:t>
            </w:r>
            <w:r w:rsidRPr="00ED78BD">
              <w:rPr>
                <w:rStyle w:val="Emphasis"/>
              </w:rPr>
              <w:t>Commercial</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Legislation</w:t>
            </w:r>
            <w:r w:rsidR="00D23ECC" w:rsidRPr="00ED78BD">
              <w:rPr>
                <w:rStyle w:val="Emphasis"/>
              </w:rPr>
              <w:t xml:space="preserve"> </w:t>
            </w:r>
            <w:r w:rsidRPr="00ED78BD">
              <w:rPr>
                <w:rStyle w:val="Emphasis"/>
              </w:rPr>
              <w:t>Amendment</w:t>
            </w:r>
            <w:r w:rsidR="00D23ECC" w:rsidRPr="00ED78BD">
              <w:rPr>
                <w:rStyle w:val="Emphasis"/>
              </w:rPr>
              <w:t xml:space="preserve"> </w:t>
            </w:r>
            <w:r w:rsidRPr="00ED78BD">
              <w:rPr>
                <w:rStyle w:val="Emphasis"/>
              </w:rPr>
              <w:t>(Extension)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2020</w:t>
            </w:r>
          </w:p>
        </w:tc>
        <w:tc>
          <w:tcPr>
            <w:tcW w:w="2155" w:type="dxa"/>
          </w:tcPr>
          <w:p w14:paraId="10967D48" w14:textId="1230897A" w:rsidR="00DE3B0D" w:rsidRDefault="00DE3B0D" w:rsidP="00A95E63">
            <w:pPr>
              <w:pStyle w:val="TableText"/>
            </w:pPr>
            <w:r>
              <w:t>22</w:t>
            </w:r>
            <w:r w:rsidR="00D23ECC">
              <w:t xml:space="preserve"> </w:t>
            </w:r>
            <w:r>
              <w:t>September</w:t>
            </w:r>
            <w:r w:rsidR="00D23ECC">
              <w:t xml:space="preserve"> </w:t>
            </w:r>
            <w:r>
              <w:t>2020</w:t>
            </w:r>
          </w:p>
        </w:tc>
      </w:tr>
      <w:tr w:rsidR="00DE3B0D" w14:paraId="1F10AC6F" w14:textId="77777777" w:rsidTr="004842F6">
        <w:trPr>
          <w:trHeight w:val="68"/>
        </w:trPr>
        <w:tc>
          <w:tcPr>
            <w:tcW w:w="7483" w:type="dxa"/>
          </w:tcPr>
          <w:p w14:paraId="56333DEA" w14:textId="1DA278A1" w:rsidR="00DE3B0D" w:rsidRDefault="00DE3B0D" w:rsidP="00A95E63">
            <w:pPr>
              <w:pStyle w:val="TableText"/>
            </w:pPr>
            <w:r w:rsidRPr="00ED78BD">
              <w:rPr>
                <w:rStyle w:val="Emphasis"/>
              </w:rPr>
              <w:t>Consumer</w:t>
            </w:r>
            <w:r w:rsidR="00D23ECC" w:rsidRPr="00ED78BD">
              <w:rPr>
                <w:rStyle w:val="Emphasis"/>
              </w:rPr>
              <w:t xml:space="preserve"> </w:t>
            </w:r>
            <w:r w:rsidRPr="00ED78BD">
              <w:rPr>
                <w:rStyle w:val="Emphasis"/>
              </w:rPr>
              <w:t>Legislation</w:t>
            </w:r>
            <w:r w:rsidR="00D23ECC" w:rsidRPr="00ED78BD">
              <w:rPr>
                <w:rStyle w:val="Emphasis"/>
              </w:rPr>
              <w:t xml:space="preserve"> </w:t>
            </w:r>
            <w:r w:rsidRPr="00ED78BD">
              <w:rPr>
                <w:rStyle w:val="Emphasis"/>
              </w:rPr>
              <w:t>Amendment</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2020</w:t>
            </w:r>
          </w:p>
        </w:tc>
        <w:tc>
          <w:tcPr>
            <w:tcW w:w="2155" w:type="dxa"/>
          </w:tcPr>
          <w:p w14:paraId="06DB1DBE" w14:textId="0B1417D5" w:rsidR="00DE3B0D" w:rsidRDefault="00DE3B0D" w:rsidP="00A95E63">
            <w:pPr>
              <w:pStyle w:val="TableText"/>
            </w:pPr>
            <w:r>
              <w:t>4</w:t>
            </w:r>
            <w:r w:rsidR="00D23ECC">
              <w:t xml:space="preserve"> </w:t>
            </w:r>
            <w:r>
              <w:t>November</w:t>
            </w:r>
            <w:r w:rsidR="00D23ECC">
              <w:t xml:space="preserve"> </w:t>
            </w:r>
            <w:r>
              <w:t>2020</w:t>
            </w:r>
          </w:p>
        </w:tc>
      </w:tr>
      <w:tr w:rsidR="00DE3B0D" w14:paraId="08BADE92" w14:textId="77777777" w:rsidTr="004842F6">
        <w:trPr>
          <w:trHeight w:val="68"/>
        </w:trPr>
        <w:tc>
          <w:tcPr>
            <w:tcW w:w="7483" w:type="dxa"/>
          </w:tcPr>
          <w:p w14:paraId="5DB3F0D2" w14:textId="2C376DF3" w:rsidR="00DE3B0D" w:rsidRDefault="00DE3B0D" w:rsidP="00A95E63">
            <w:pPr>
              <w:pStyle w:val="TableText"/>
            </w:pPr>
            <w:r w:rsidRPr="00ED78BD">
              <w:rPr>
                <w:rStyle w:val="Emphasis"/>
              </w:rPr>
              <w:t>Consumer</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Other</w:t>
            </w:r>
            <w:r w:rsidR="00D23ECC" w:rsidRPr="00ED78BD">
              <w:rPr>
                <w:rStyle w:val="Emphasis"/>
              </w:rPr>
              <w:t xml:space="preserve"> </w:t>
            </w:r>
            <w:r w:rsidRPr="00ED78BD">
              <w:rPr>
                <w:rStyle w:val="Emphasis"/>
              </w:rPr>
              <w:t>Acts</w:t>
            </w:r>
            <w:r w:rsidR="00D23ECC" w:rsidRPr="00ED78BD">
              <w:rPr>
                <w:rStyle w:val="Emphasis"/>
              </w:rPr>
              <w:t xml:space="preserve"> </w:t>
            </w:r>
            <w:r w:rsidRPr="00ED78BD">
              <w:rPr>
                <w:rStyle w:val="Emphasis"/>
              </w:rPr>
              <w:t>Miscellaneous</w:t>
            </w:r>
            <w:r w:rsidR="00D23ECC" w:rsidRPr="00ED78BD">
              <w:rPr>
                <w:rStyle w:val="Emphasis"/>
              </w:rPr>
              <w:t xml:space="preserve"> </w:t>
            </w:r>
            <w:r w:rsidRPr="00ED78BD">
              <w:rPr>
                <w:rStyle w:val="Emphasis"/>
              </w:rPr>
              <w:t>Amendments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2021</w:t>
            </w:r>
          </w:p>
        </w:tc>
        <w:tc>
          <w:tcPr>
            <w:tcW w:w="2155" w:type="dxa"/>
          </w:tcPr>
          <w:p w14:paraId="5B2A819A" w14:textId="1C129972" w:rsidR="00DE3B0D" w:rsidRDefault="00DE3B0D" w:rsidP="00A95E63">
            <w:pPr>
              <w:pStyle w:val="TableText"/>
            </w:pPr>
            <w:r>
              <w:t>9</w:t>
            </w:r>
            <w:r w:rsidR="00D23ECC">
              <w:t xml:space="preserve"> </w:t>
            </w:r>
            <w:r>
              <w:t>February</w:t>
            </w:r>
            <w:r w:rsidR="00D23ECC">
              <w:t xml:space="preserve"> </w:t>
            </w:r>
            <w:r>
              <w:t>2021</w:t>
            </w:r>
          </w:p>
        </w:tc>
      </w:tr>
      <w:tr w:rsidR="00DE3B0D" w14:paraId="669DEF0E" w14:textId="77777777" w:rsidTr="004842F6">
        <w:trPr>
          <w:trHeight w:val="68"/>
        </w:trPr>
        <w:tc>
          <w:tcPr>
            <w:tcW w:w="7483" w:type="dxa"/>
          </w:tcPr>
          <w:p w14:paraId="03F9308E" w14:textId="24EE06AA" w:rsidR="00DE3B0D" w:rsidRDefault="00DE3B0D" w:rsidP="00A95E63">
            <w:pPr>
              <w:pStyle w:val="TableText"/>
            </w:pPr>
            <w:r w:rsidRPr="00ED78BD">
              <w:rPr>
                <w:rStyle w:val="Emphasis"/>
              </w:rPr>
              <w:t>Owners</w:t>
            </w:r>
            <w:r w:rsidR="00D23ECC" w:rsidRPr="00ED78BD">
              <w:rPr>
                <w:rStyle w:val="Emphasis"/>
              </w:rPr>
              <w:t xml:space="preserve"> </w:t>
            </w:r>
            <w:r w:rsidRPr="00ED78BD">
              <w:rPr>
                <w:rStyle w:val="Emphasis"/>
              </w:rPr>
              <w:t>Corporations</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Other</w:t>
            </w:r>
            <w:r w:rsidR="00D23ECC" w:rsidRPr="00ED78BD">
              <w:rPr>
                <w:rStyle w:val="Emphasis"/>
              </w:rPr>
              <w:t xml:space="preserve"> </w:t>
            </w:r>
            <w:r w:rsidRPr="00ED78BD">
              <w:rPr>
                <w:rStyle w:val="Emphasis"/>
              </w:rPr>
              <w:t>Acts</w:t>
            </w:r>
            <w:r w:rsidR="00D23ECC" w:rsidRPr="00ED78BD">
              <w:rPr>
                <w:rStyle w:val="Emphasis"/>
              </w:rPr>
              <w:t xml:space="preserve"> </w:t>
            </w:r>
            <w:r w:rsidRPr="00ED78BD">
              <w:rPr>
                <w:rStyle w:val="Emphasis"/>
              </w:rPr>
              <w:t>Amendment</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2021</w:t>
            </w:r>
          </w:p>
        </w:tc>
        <w:tc>
          <w:tcPr>
            <w:tcW w:w="2155" w:type="dxa"/>
          </w:tcPr>
          <w:p w14:paraId="09C85CD4" w14:textId="4787F0C0" w:rsidR="00DE3B0D" w:rsidRDefault="00DE3B0D" w:rsidP="00A95E63">
            <w:pPr>
              <w:pStyle w:val="TableText"/>
            </w:pPr>
            <w:r>
              <w:t>23</w:t>
            </w:r>
            <w:r w:rsidR="00D23ECC">
              <w:t xml:space="preserve"> </w:t>
            </w:r>
            <w:r>
              <w:t>February</w:t>
            </w:r>
            <w:r w:rsidR="00D23ECC">
              <w:t xml:space="preserve"> </w:t>
            </w:r>
            <w:r>
              <w:t>2021</w:t>
            </w:r>
          </w:p>
        </w:tc>
      </w:tr>
    </w:tbl>
    <w:p w14:paraId="26484C64" w14:textId="3B633590" w:rsidR="00DE3B0D" w:rsidRPr="00B04B74" w:rsidRDefault="00DE3B0D" w:rsidP="004842F6">
      <w:pPr>
        <w:pStyle w:val="Heading3"/>
        <w:spacing w:before="200" w:after="80"/>
      </w:pPr>
      <w:bookmarkStart w:id="39" w:name="_Toc85912309"/>
      <w:r w:rsidRPr="00B04B74">
        <w:t>Acts</w:t>
      </w:r>
      <w:r w:rsidR="00D23ECC" w:rsidRPr="00B04B74">
        <w:t xml:space="preserve"> </w:t>
      </w:r>
      <w:r w:rsidRPr="00B04B74">
        <w:t>commenced</w:t>
      </w:r>
      <w:bookmarkEnd w:id="39"/>
    </w:p>
    <w:tbl>
      <w:tblPr>
        <w:tblStyle w:val="TableGrid"/>
        <w:tblW w:w="9072" w:type="dxa"/>
        <w:tblLayout w:type="fixed"/>
        <w:tblLook w:val="00A0" w:firstRow="1" w:lastRow="0" w:firstColumn="1" w:lastColumn="0" w:noHBand="0" w:noVBand="0"/>
      </w:tblPr>
      <w:tblGrid>
        <w:gridCol w:w="7035"/>
        <w:gridCol w:w="2037"/>
      </w:tblGrid>
      <w:tr w:rsidR="00DE3B0D" w14:paraId="7D4BDF75"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3EA74EA7" w14:textId="77777777" w:rsidR="00DE3B0D" w:rsidRDefault="00DE3B0D" w:rsidP="00A95E63">
            <w:pPr>
              <w:pStyle w:val="TableColHead"/>
            </w:pPr>
            <w:r>
              <w:t>Name</w:t>
            </w:r>
          </w:p>
        </w:tc>
        <w:tc>
          <w:tcPr>
            <w:tcW w:w="2155" w:type="dxa"/>
          </w:tcPr>
          <w:p w14:paraId="33812A98" w14:textId="0298AD9D" w:rsidR="00DE3B0D" w:rsidRDefault="00DE3B0D" w:rsidP="00A95E63">
            <w:pPr>
              <w:pStyle w:val="TableColHead"/>
            </w:pPr>
            <w:r>
              <w:t>Date</w:t>
            </w:r>
            <w:r w:rsidR="00D23ECC">
              <w:t xml:space="preserve"> </w:t>
            </w:r>
            <w:r>
              <w:t>commenced</w:t>
            </w:r>
          </w:p>
        </w:tc>
      </w:tr>
      <w:tr w:rsidR="00DE3B0D" w14:paraId="4D2018E7" w14:textId="77777777" w:rsidTr="004842F6">
        <w:trPr>
          <w:trHeight w:val="68"/>
        </w:trPr>
        <w:tc>
          <w:tcPr>
            <w:tcW w:w="7483" w:type="dxa"/>
          </w:tcPr>
          <w:p w14:paraId="62C88E54" w14:textId="5D86E7DA" w:rsidR="00DE3B0D" w:rsidRDefault="00DE3B0D" w:rsidP="00A95E63">
            <w:pPr>
              <w:pStyle w:val="TableText"/>
            </w:pP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Amendment</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2018</w:t>
            </w:r>
            <w:r w:rsidR="00D23ECC" w:rsidRPr="00ED78BD">
              <w:rPr>
                <w:rStyle w:val="Emphasis"/>
              </w:rPr>
              <w:t xml:space="preserve"> </w:t>
            </w:r>
          </w:p>
        </w:tc>
        <w:tc>
          <w:tcPr>
            <w:tcW w:w="2155" w:type="dxa"/>
          </w:tcPr>
          <w:p w14:paraId="43090C0D" w14:textId="15466BD3" w:rsidR="00DE3B0D" w:rsidRDefault="00DE3B0D" w:rsidP="00A95E63">
            <w:pPr>
              <w:pStyle w:val="TableText"/>
            </w:pPr>
            <w:r>
              <w:t>29</w:t>
            </w:r>
            <w:r w:rsidR="00D23ECC">
              <w:t xml:space="preserve"> </w:t>
            </w:r>
            <w:r>
              <w:t>March</w:t>
            </w:r>
            <w:r w:rsidR="00D23ECC">
              <w:t xml:space="preserve"> </w:t>
            </w:r>
            <w:r>
              <w:t>2021</w:t>
            </w:r>
            <w:r w:rsidR="00D23ECC">
              <w:t xml:space="preserve"> </w:t>
            </w:r>
          </w:p>
        </w:tc>
      </w:tr>
    </w:tbl>
    <w:p w14:paraId="2DFA42CA" w14:textId="17C28C95" w:rsidR="00DE3B0D" w:rsidRPr="00B04B74" w:rsidRDefault="00DE3B0D" w:rsidP="004842F6">
      <w:pPr>
        <w:pStyle w:val="Heading3"/>
        <w:spacing w:before="200" w:after="80"/>
      </w:pPr>
      <w:bookmarkStart w:id="40" w:name="_Toc85912310"/>
      <w:r w:rsidRPr="00B04B74">
        <w:t>Regulations</w:t>
      </w:r>
      <w:r w:rsidR="00D23ECC" w:rsidRPr="00B04B74">
        <w:t xml:space="preserve"> </w:t>
      </w:r>
      <w:r w:rsidRPr="00B04B74">
        <w:t>made</w:t>
      </w:r>
      <w:bookmarkEnd w:id="40"/>
    </w:p>
    <w:tbl>
      <w:tblPr>
        <w:tblStyle w:val="TableGrid"/>
        <w:tblW w:w="9072" w:type="dxa"/>
        <w:tblLayout w:type="fixed"/>
        <w:tblLook w:val="00A0" w:firstRow="1" w:lastRow="0" w:firstColumn="1" w:lastColumn="0" w:noHBand="0" w:noVBand="0"/>
      </w:tblPr>
      <w:tblGrid>
        <w:gridCol w:w="7035"/>
        <w:gridCol w:w="2037"/>
      </w:tblGrid>
      <w:tr w:rsidR="00DE3B0D" w14:paraId="684EA305"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74E10C08" w14:textId="77777777" w:rsidR="00DE3B0D" w:rsidRDefault="00DE3B0D" w:rsidP="00A95E63">
            <w:pPr>
              <w:pStyle w:val="TableColHead"/>
            </w:pPr>
            <w:r>
              <w:t>Name</w:t>
            </w:r>
          </w:p>
        </w:tc>
        <w:tc>
          <w:tcPr>
            <w:tcW w:w="2155" w:type="dxa"/>
          </w:tcPr>
          <w:p w14:paraId="78978823" w14:textId="5287A722" w:rsidR="00DE3B0D" w:rsidRDefault="00DE3B0D" w:rsidP="00A95E63">
            <w:pPr>
              <w:pStyle w:val="TableColHead"/>
            </w:pPr>
            <w:r>
              <w:t>Date</w:t>
            </w:r>
            <w:r w:rsidR="00D23ECC">
              <w:t xml:space="preserve"> </w:t>
            </w:r>
            <w:r>
              <w:t>made</w:t>
            </w:r>
          </w:p>
        </w:tc>
      </w:tr>
      <w:tr w:rsidR="00DE3B0D" w14:paraId="2C95358A" w14:textId="77777777" w:rsidTr="004842F6">
        <w:trPr>
          <w:trHeight w:val="68"/>
        </w:trPr>
        <w:tc>
          <w:tcPr>
            <w:tcW w:w="7483" w:type="dxa"/>
          </w:tcPr>
          <w:p w14:paraId="2BD0DDD8" w14:textId="1D59883A" w:rsidR="00DE3B0D" w:rsidRDefault="00DE3B0D" w:rsidP="00A95E63">
            <w:pPr>
              <w:pStyle w:val="TableText"/>
            </w:pPr>
            <w:r>
              <w:t>Residential</w:t>
            </w:r>
            <w:r w:rsidR="00D23ECC">
              <w:t xml:space="preserve"> </w:t>
            </w:r>
            <w:r>
              <w:t>Tenancies</w:t>
            </w:r>
            <w:r w:rsidR="00D23ECC">
              <w:t xml:space="preserve"> </w:t>
            </w:r>
            <w:r>
              <w:t>Regulations</w:t>
            </w:r>
            <w:r w:rsidR="00D23ECC">
              <w:t xml:space="preserve"> </w:t>
            </w:r>
            <w:r>
              <w:t>2021</w:t>
            </w:r>
          </w:p>
        </w:tc>
        <w:tc>
          <w:tcPr>
            <w:tcW w:w="2155" w:type="dxa"/>
          </w:tcPr>
          <w:p w14:paraId="06DB77F2" w14:textId="70BCB10B" w:rsidR="00DE3B0D" w:rsidRDefault="00DE3B0D" w:rsidP="00A95E63">
            <w:pPr>
              <w:pStyle w:val="TableText"/>
            </w:pPr>
            <w:r>
              <w:t>27</w:t>
            </w:r>
            <w:r w:rsidR="00D23ECC">
              <w:t xml:space="preserve"> </w:t>
            </w:r>
            <w:r>
              <w:t>January</w:t>
            </w:r>
            <w:r w:rsidR="00D23ECC">
              <w:t xml:space="preserve"> </w:t>
            </w:r>
            <w:r>
              <w:t>2021</w:t>
            </w:r>
          </w:p>
        </w:tc>
      </w:tr>
      <w:tr w:rsidR="00DE3B0D" w14:paraId="07668026" w14:textId="77777777" w:rsidTr="004842F6">
        <w:trPr>
          <w:trHeight w:val="68"/>
        </w:trPr>
        <w:tc>
          <w:tcPr>
            <w:tcW w:w="7483" w:type="dxa"/>
          </w:tcPr>
          <w:p w14:paraId="7333B291" w14:textId="761A84C8" w:rsidR="00DE3B0D" w:rsidRDefault="00DE3B0D" w:rsidP="00A95E63">
            <w:pPr>
              <w:pStyle w:val="TableText"/>
            </w:pPr>
            <w:r>
              <w:t>Professional</w:t>
            </w:r>
            <w:r w:rsidR="00D23ECC">
              <w:t xml:space="preserve"> </w:t>
            </w:r>
            <w:r>
              <w:t>Engineers</w:t>
            </w:r>
            <w:r w:rsidR="00D23ECC">
              <w:t xml:space="preserve"> </w:t>
            </w:r>
            <w:r>
              <w:t>Registration</w:t>
            </w:r>
            <w:r w:rsidR="00D23ECC">
              <w:t xml:space="preserve"> </w:t>
            </w:r>
            <w:r>
              <w:t>(General,</w:t>
            </w:r>
            <w:r w:rsidR="00D23ECC">
              <w:t xml:space="preserve"> </w:t>
            </w:r>
            <w:r>
              <w:t>Exemption</w:t>
            </w:r>
            <w:r w:rsidR="00D23ECC">
              <w:t xml:space="preserve"> </w:t>
            </w:r>
            <w:r>
              <w:t>and</w:t>
            </w:r>
            <w:r w:rsidR="00D23ECC">
              <w:t xml:space="preserve"> </w:t>
            </w:r>
            <w:r>
              <w:t>Assessment</w:t>
            </w:r>
            <w:r w:rsidR="00D23ECC">
              <w:t xml:space="preserve"> </w:t>
            </w:r>
            <w:r>
              <w:t>Scheme</w:t>
            </w:r>
            <w:r w:rsidR="00D23ECC">
              <w:t xml:space="preserve"> </w:t>
            </w:r>
            <w:r>
              <w:t>Fees)</w:t>
            </w:r>
            <w:r w:rsidR="00D23ECC">
              <w:t xml:space="preserve"> </w:t>
            </w:r>
            <w:r>
              <w:t>Regulations</w:t>
            </w:r>
            <w:r w:rsidR="00D23ECC">
              <w:t xml:space="preserve"> </w:t>
            </w:r>
            <w:r>
              <w:t>2021</w:t>
            </w:r>
          </w:p>
        </w:tc>
        <w:tc>
          <w:tcPr>
            <w:tcW w:w="2155" w:type="dxa"/>
          </w:tcPr>
          <w:p w14:paraId="215650CD" w14:textId="10FB6880" w:rsidR="00DE3B0D" w:rsidRDefault="00DE3B0D" w:rsidP="00A95E63">
            <w:pPr>
              <w:pStyle w:val="TableText"/>
            </w:pPr>
            <w:r>
              <w:t>9</w:t>
            </w:r>
            <w:r w:rsidR="00D23ECC">
              <w:t xml:space="preserve"> </w:t>
            </w:r>
            <w:r>
              <w:t>February</w:t>
            </w:r>
            <w:r w:rsidR="00D23ECC">
              <w:t xml:space="preserve"> </w:t>
            </w:r>
            <w:r>
              <w:t>2021</w:t>
            </w:r>
          </w:p>
        </w:tc>
      </w:tr>
      <w:tr w:rsidR="00DE3B0D" w14:paraId="51FE0AB4" w14:textId="77777777" w:rsidTr="004842F6">
        <w:trPr>
          <w:trHeight w:val="68"/>
        </w:trPr>
        <w:tc>
          <w:tcPr>
            <w:tcW w:w="7483" w:type="dxa"/>
          </w:tcPr>
          <w:p w14:paraId="024EE3B6" w14:textId="6EFCBB11" w:rsidR="00DE3B0D" w:rsidRDefault="00DE3B0D" w:rsidP="00A95E63">
            <w:pPr>
              <w:pStyle w:val="TableText"/>
            </w:pPr>
            <w:r>
              <w:t>Residential</w:t>
            </w:r>
            <w:r w:rsidR="00D23ECC">
              <w:t xml:space="preserve"> </w:t>
            </w:r>
            <w:r>
              <w:t>Tenancies</w:t>
            </w:r>
            <w:r w:rsidR="00D23ECC">
              <w:t xml:space="preserve"> </w:t>
            </w:r>
            <w:r>
              <w:t>Amendment</w:t>
            </w:r>
            <w:r w:rsidR="00D23ECC">
              <w:t xml:space="preserve"> </w:t>
            </w:r>
            <w:r>
              <w:t>Regulations</w:t>
            </w:r>
            <w:r w:rsidR="00D23ECC">
              <w:t xml:space="preserve"> </w:t>
            </w:r>
            <w:r>
              <w:t>2021</w:t>
            </w:r>
          </w:p>
        </w:tc>
        <w:tc>
          <w:tcPr>
            <w:tcW w:w="2155" w:type="dxa"/>
          </w:tcPr>
          <w:p w14:paraId="27826F8C" w14:textId="4A6B44EE" w:rsidR="00DE3B0D" w:rsidRDefault="00DE3B0D" w:rsidP="00A95E63">
            <w:pPr>
              <w:pStyle w:val="TableText"/>
            </w:pPr>
            <w:r>
              <w:t>23</w:t>
            </w:r>
            <w:r w:rsidR="00D23ECC">
              <w:t xml:space="preserve"> </w:t>
            </w:r>
            <w:r>
              <w:t>March</w:t>
            </w:r>
            <w:r w:rsidR="00D23ECC">
              <w:t xml:space="preserve"> </w:t>
            </w:r>
            <w:r>
              <w:t>2021</w:t>
            </w:r>
          </w:p>
        </w:tc>
      </w:tr>
      <w:tr w:rsidR="00DE3B0D" w14:paraId="5DC4980F" w14:textId="77777777" w:rsidTr="004842F6">
        <w:trPr>
          <w:trHeight w:val="68"/>
        </w:trPr>
        <w:tc>
          <w:tcPr>
            <w:tcW w:w="7483" w:type="dxa"/>
          </w:tcPr>
          <w:p w14:paraId="19ED78C1" w14:textId="69DACFD6" w:rsidR="00DE3B0D" w:rsidRDefault="00DE3B0D" w:rsidP="00A95E63">
            <w:pPr>
              <w:pStyle w:val="TableText"/>
            </w:pPr>
            <w:r>
              <w:t>Residential</w:t>
            </w:r>
            <w:r w:rsidR="00D23ECC">
              <w:t xml:space="preserve"> </w:t>
            </w:r>
            <w:r>
              <w:t>Tenancies</w:t>
            </w:r>
            <w:r w:rsidR="00D23ECC">
              <w:t xml:space="preserve"> </w:t>
            </w:r>
            <w:r>
              <w:t>(Residential</w:t>
            </w:r>
            <w:r w:rsidR="00D23ECC">
              <w:t xml:space="preserve"> </w:t>
            </w:r>
            <w:r>
              <w:t>Tenancies</w:t>
            </w:r>
            <w:r w:rsidR="00D23ECC">
              <w:t xml:space="preserve"> </w:t>
            </w:r>
            <w:r>
              <w:t>Amendment</w:t>
            </w:r>
            <w:r w:rsidR="00D23ECC">
              <w:t xml:space="preserve"> </w:t>
            </w:r>
            <w:r>
              <w:t>Act</w:t>
            </w:r>
            <w:r w:rsidR="00D23ECC">
              <w:t xml:space="preserve"> </w:t>
            </w:r>
            <w:r>
              <w:t>2018)</w:t>
            </w:r>
            <w:r w:rsidR="00D23ECC">
              <w:t xml:space="preserve"> </w:t>
            </w:r>
            <w:r>
              <w:t>Transitional</w:t>
            </w:r>
            <w:r w:rsidR="00D23ECC">
              <w:t xml:space="preserve"> </w:t>
            </w:r>
            <w:r>
              <w:t>Regulations</w:t>
            </w:r>
            <w:r w:rsidR="00D23ECC">
              <w:t xml:space="preserve"> </w:t>
            </w:r>
            <w:r>
              <w:t>2021</w:t>
            </w:r>
          </w:p>
        </w:tc>
        <w:tc>
          <w:tcPr>
            <w:tcW w:w="2155" w:type="dxa"/>
          </w:tcPr>
          <w:p w14:paraId="463E4407" w14:textId="45BE10D3" w:rsidR="00DE3B0D" w:rsidRDefault="00DE3B0D" w:rsidP="00A95E63">
            <w:pPr>
              <w:pStyle w:val="TableText"/>
            </w:pPr>
            <w:r>
              <w:t>23</w:t>
            </w:r>
            <w:r w:rsidR="00D23ECC">
              <w:t xml:space="preserve"> </w:t>
            </w:r>
            <w:r>
              <w:t>March</w:t>
            </w:r>
            <w:r w:rsidR="00D23ECC">
              <w:t xml:space="preserve"> </w:t>
            </w:r>
            <w:r>
              <w:t>2021</w:t>
            </w:r>
          </w:p>
        </w:tc>
      </w:tr>
      <w:tr w:rsidR="00DE3B0D" w14:paraId="3429193B" w14:textId="77777777" w:rsidTr="004842F6">
        <w:trPr>
          <w:trHeight w:val="68"/>
        </w:trPr>
        <w:tc>
          <w:tcPr>
            <w:tcW w:w="7483" w:type="dxa"/>
          </w:tcPr>
          <w:p w14:paraId="5A0A5748" w14:textId="541BC5D6" w:rsidR="00DE3B0D" w:rsidRDefault="00DE3B0D" w:rsidP="00A95E63">
            <w:pPr>
              <w:pStyle w:val="TableText"/>
            </w:pPr>
            <w:r>
              <w:t>Professional</w:t>
            </w:r>
            <w:r w:rsidR="00D23ECC">
              <w:t xml:space="preserve"> </w:t>
            </w:r>
            <w:r>
              <w:t>Engineers</w:t>
            </w:r>
            <w:r w:rsidR="00D23ECC">
              <w:t xml:space="preserve"> </w:t>
            </w:r>
            <w:r>
              <w:t>Registration</w:t>
            </w:r>
            <w:r w:rsidR="00D23ECC">
              <w:t xml:space="preserve"> </w:t>
            </w:r>
            <w:r>
              <w:t>(Fees)</w:t>
            </w:r>
            <w:r w:rsidR="00D23ECC">
              <w:t xml:space="preserve"> </w:t>
            </w:r>
            <w:r>
              <w:t>Regulations</w:t>
            </w:r>
            <w:r w:rsidR="00D23ECC">
              <w:t xml:space="preserve"> </w:t>
            </w:r>
            <w:r>
              <w:t>2021</w:t>
            </w:r>
          </w:p>
        </w:tc>
        <w:tc>
          <w:tcPr>
            <w:tcW w:w="2155" w:type="dxa"/>
          </w:tcPr>
          <w:p w14:paraId="59C34B35" w14:textId="0363D844" w:rsidR="00DE3B0D" w:rsidRDefault="00DE3B0D" w:rsidP="00A95E63">
            <w:pPr>
              <w:pStyle w:val="TableText"/>
            </w:pPr>
            <w:r>
              <w:t>16</w:t>
            </w:r>
            <w:r w:rsidR="00D23ECC">
              <w:t xml:space="preserve"> </w:t>
            </w:r>
            <w:r>
              <w:t>June</w:t>
            </w:r>
            <w:r w:rsidR="00D23ECC">
              <w:t xml:space="preserve"> </w:t>
            </w:r>
            <w:r>
              <w:t>2021</w:t>
            </w:r>
          </w:p>
        </w:tc>
      </w:tr>
      <w:tr w:rsidR="00DE3B0D" w14:paraId="76DC7706" w14:textId="77777777" w:rsidTr="004842F6">
        <w:trPr>
          <w:trHeight w:val="68"/>
        </w:trPr>
        <w:tc>
          <w:tcPr>
            <w:tcW w:w="7483" w:type="dxa"/>
          </w:tcPr>
          <w:p w14:paraId="27B9B245" w14:textId="04470474" w:rsidR="00DE3B0D" w:rsidRDefault="00DE3B0D" w:rsidP="00A95E63">
            <w:pPr>
              <w:pStyle w:val="TableText"/>
            </w:pPr>
            <w:r>
              <w:t>Professional</w:t>
            </w:r>
            <w:r w:rsidR="00D23ECC">
              <w:t xml:space="preserve"> </w:t>
            </w:r>
            <w:r>
              <w:t>Engineers</w:t>
            </w:r>
            <w:r w:rsidR="00D23ECC">
              <w:t xml:space="preserve"> </w:t>
            </w:r>
            <w:r>
              <w:t>Registration</w:t>
            </w:r>
            <w:r w:rsidR="00D23ECC">
              <w:t xml:space="preserve"> </w:t>
            </w:r>
            <w:r>
              <w:t>Transitional</w:t>
            </w:r>
            <w:r w:rsidR="00D23ECC">
              <w:t xml:space="preserve"> </w:t>
            </w:r>
            <w:r>
              <w:t>Regulations</w:t>
            </w:r>
            <w:r w:rsidR="00D23ECC">
              <w:t xml:space="preserve"> </w:t>
            </w:r>
            <w:r>
              <w:t>2021</w:t>
            </w:r>
          </w:p>
        </w:tc>
        <w:tc>
          <w:tcPr>
            <w:tcW w:w="2155" w:type="dxa"/>
          </w:tcPr>
          <w:p w14:paraId="19F8BFA2" w14:textId="7BB6A153" w:rsidR="00DE3B0D" w:rsidRDefault="00DE3B0D" w:rsidP="00A95E63">
            <w:pPr>
              <w:pStyle w:val="TableText"/>
            </w:pPr>
            <w:r>
              <w:t>22</w:t>
            </w:r>
            <w:r w:rsidR="00D23ECC">
              <w:t xml:space="preserve"> </w:t>
            </w:r>
            <w:r>
              <w:t>June</w:t>
            </w:r>
            <w:r w:rsidR="00D23ECC">
              <w:t xml:space="preserve"> </w:t>
            </w:r>
            <w:r>
              <w:t>2021</w:t>
            </w:r>
          </w:p>
        </w:tc>
      </w:tr>
    </w:tbl>
    <w:p w14:paraId="5FC4B866" w14:textId="4DBB6A84" w:rsidR="00DE3B0D" w:rsidRPr="00B04B74" w:rsidRDefault="00DE3B0D" w:rsidP="004842F6">
      <w:pPr>
        <w:pStyle w:val="Heading3"/>
        <w:spacing w:before="200" w:after="80"/>
      </w:pPr>
      <w:bookmarkStart w:id="41" w:name="_Toc85912311"/>
      <w:r w:rsidRPr="00B04B74">
        <w:t>Regulations</w:t>
      </w:r>
      <w:r w:rsidR="00D23ECC" w:rsidRPr="00B04B74">
        <w:t xml:space="preserve"> </w:t>
      </w:r>
      <w:r w:rsidRPr="00B04B74">
        <w:t>commenced</w:t>
      </w:r>
      <w:bookmarkEnd w:id="41"/>
    </w:p>
    <w:tbl>
      <w:tblPr>
        <w:tblStyle w:val="TableGrid"/>
        <w:tblW w:w="9072" w:type="dxa"/>
        <w:tblLayout w:type="fixed"/>
        <w:tblLook w:val="00A0" w:firstRow="1" w:lastRow="0" w:firstColumn="1" w:lastColumn="0" w:noHBand="0" w:noVBand="0"/>
      </w:tblPr>
      <w:tblGrid>
        <w:gridCol w:w="7035"/>
        <w:gridCol w:w="2037"/>
      </w:tblGrid>
      <w:tr w:rsidR="00DE3B0D" w14:paraId="06C2792F"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18E303AA" w14:textId="77777777" w:rsidR="00DE3B0D" w:rsidRDefault="00DE3B0D" w:rsidP="00A95E63">
            <w:pPr>
              <w:pStyle w:val="TableColHead"/>
            </w:pPr>
            <w:r>
              <w:t>Name</w:t>
            </w:r>
          </w:p>
        </w:tc>
        <w:tc>
          <w:tcPr>
            <w:tcW w:w="2155" w:type="dxa"/>
          </w:tcPr>
          <w:p w14:paraId="58105CBC" w14:textId="3FA6E865" w:rsidR="00DE3B0D" w:rsidRDefault="00DE3B0D" w:rsidP="00A95E63">
            <w:pPr>
              <w:pStyle w:val="TableColHead"/>
            </w:pPr>
            <w:r>
              <w:t>Date</w:t>
            </w:r>
            <w:r w:rsidR="00D23ECC">
              <w:t xml:space="preserve"> </w:t>
            </w:r>
            <w:r>
              <w:t>commenced</w:t>
            </w:r>
          </w:p>
        </w:tc>
      </w:tr>
      <w:tr w:rsidR="00DE3B0D" w14:paraId="4E03416B" w14:textId="77777777" w:rsidTr="004842F6">
        <w:trPr>
          <w:trHeight w:val="68"/>
        </w:trPr>
        <w:tc>
          <w:tcPr>
            <w:tcW w:w="7483" w:type="dxa"/>
          </w:tcPr>
          <w:p w14:paraId="6DAFAE3A" w14:textId="32F6430C" w:rsidR="00DE3B0D" w:rsidRDefault="00DE3B0D" w:rsidP="00A95E63">
            <w:pPr>
              <w:pStyle w:val="TableText"/>
            </w:pPr>
            <w:r>
              <w:t>Residential</w:t>
            </w:r>
            <w:r w:rsidR="00D23ECC">
              <w:t xml:space="preserve"> </w:t>
            </w:r>
            <w:r>
              <w:t>Tenancies</w:t>
            </w:r>
            <w:r w:rsidR="00D23ECC">
              <w:t xml:space="preserve"> </w:t>
            </w:r>
            <w:r>
              <w:t>(Caravan</w:t>
            </w:r>
            <w:r w:rsidR="00D23ECC">
              <w:t xml:space="preserve"> </w:t>
            </w:r>
            <w:r>
              <w:t>Parks</w:t>
            </w:r>
            <w:r w:rsidR="00D23ECC">
              <w:t xml:space="preserve"> </w:t>
            </w:r>
            <w:r>
              <w:t>and</w:t>
            </w:r>
            <w:r w:rsidR="00D23ECC">
              <w:t xml:space="preserve"> </w:t>
            </w:r>
            <w:r>
              <w:t>Movable</w:t>
            </w:r>
            <w:r w:rsidR="00D23ECC">
              <w:t xml:space="preserve"> </w:t>
            </w:r>
            <w:r>
              <w:t>Dwellings</w:t>
            </w:r>
            <w:r w:rsidR="00D23ECC">
              <w:t xml:space="preserve"> </w:t>
            </w:r>
            <w:r>
              <w:t>Registration</w:t>
            </w:r>
            <w:r w:rsidR="00D23ECC">
              <w:t xml:space="preserve"> </w:t>
            </w:r>
            <w:r>
              <w:t>and</w:t>
            </w:r>
            <w:r w:rsidR="00D23ECC">
              <w:t xml:space="preserve"> </w:t>
            </w:r>
            <w:r>
              <w:t>Standards)</w:t>
            </w:r>
            <w:r w:rsidR="00D23ECC">
              <w:t xml:space="preserve"> </w:t>
            </w:r>
            <w:r>
              <w:t>Regulations</w:t>
            </w:r>
            <w:r w:rsidR="00D23ECC">
              <w:t xml:space="preserve"> </w:t>
            </w:r>
            <w:r>
              <w:t>2020</w:t>
            </w:r>
          </w:p>
        </w:tc>
        <w:tc>
          <w:tcPr>
            <w:tcW w:w="2155" w:type="dxa"/>
          </w:tcPr>
          <w:p w14:paraId="07BBE315" w14:textId="439BFF09" w:rsidR="00DE3B0D" w:rsidRDefault="00DE3B0D" w:rsidP="00A95E63">
            <w:pPr>
              <w:pStyle w:val="TableText"/>
            </w:pPr>
            <w:r>
              <w:t>22</w:t>
            </w:r>
            <w:r w:rsidR="00D23ECC">
              <w:t xml:space="preserve"> </w:t>
            </w:r>
            <w:r>
              <w:t>June</w:t>
            </w:r>
            <w:r w:rsidR="00D23ECC">
              <w:t xml:space="preserve"> </w:t>
            </w:r>
            <w:r>
              <w:t>2020</w:t>
            </w:r>
          </w:p>
        </w:tc>
      </w:tr>
      <w:tr w:rsidR="00DE3B0D" w14:paraId="36A67C76" w14:textId="77777777" w:rsidTr="004842F6">
        <w:trPr>
          <w:trHeight w:val="68"/>
        </w:trPr>
        <w:tc>
          <w:tcPr>
            <w:tcW w:w="7483" w:type="dxa"/>
          </w:tcPr>
          <w:p w14:paraId="6DF186D3" w14:textId="58408E55" w:rsidR="00DE3B0D" w:rsidRDefault="00DE3B0D" w:rsidP="00A95E63">
            <w:pPr>
              <w:pStyle w:val="TableText"/>
            </w:pPr>
            <w:r>
              <w:t>Residential</w:t>
            </w:r>
            <w:r w:rsidR="00D23ECC">
              <w:t xml:space="preserve"> </w:t>
            </w:r>
            <w:r>
              <w:t>Tenancies</w:t>
            </w:r>
            <w:r w:rsidR="00D23ECC">
              <w:t xml:space="preserve"> </w:t>
            </w:r>
            <w:r>
              <w:t>(COVID-19</w:t>
            </w:r>
            <w:r w:rsidR="00D23ECC">
              <w:t xml:space="preserve"> </w:t>
            </w:r>
            <w:r>
              <w:t>Emergency</w:t>
            </w:r>
            <w:r w:rsidR="00D23ECC">
              <w:t xml:space="preserve"> </w:t>
            </w:r>
            <w:r>
              <w:t>Measures)</w:t>
            </w:r>
            <w:r w:rsidR="00D23ECC">
              <w:t xml:space="preserve"> </w:t>
            </w:r>
            <w:r>
              <w:t>Amendment</w:t>
            </w:r>
            <w:r w:rsidR="00D23ECC">
              <w:t xml:space="preserve"> </w:t>
            </w:r>
            <w:r>
              <w:t>Regulations</w:t>
            </w:r>
            <w:r w:rsidR="00D23ECC">
              <w:t xml:space="preserve"> </w:t>
            </w:r>
            <w:r>
              <w:t>2020</w:t>
            </w:r>
          </w:p>
        </w:tc>
        <w:tc>
          <w:tcPr>
            <w:tcW w:w="2155" w:type="dxa"/>
          </w:tcPr>
          <w:p w14:paraId="65CE4E80" w14:textId="13B67BAD" w:rsidR="00DE3B0D" w:rsidRDefault="00DE3B0D" w:rsidP="00A95E63">
            <w:pPr>
              <w:pStyle w:val="TableText"/>
            </w:pPr>
            <w:r>
              <w:t>22</w:t>
            </w:r>
            <w:r w:rsidR="00D23ECC">
              <w:t xml:space="preserve"> </w:t>
            </w:r>
            <w:r>
              <w:t>September</w:t>
            </w:r>
            <w:r w:rsidR="00D23ECC">
              <w:t xml:space="preserve"> </w:t>
            </w:r>
            <w:r>
              <w:t>2020</w:t>
            </w:r>
          </w:p>
        </w:tc>
      </w:tr>
      <w:tr w:rsidR="00DE3B0D" w14:paraId="64ABFCCF" w14:textId="77777777" w:rsidTr="004842F6">
        <w:trPr>
          <w:trHeight w:val="68"/>
        </w:trPr>
        <w:tc>
          <w:tcPr>
            <w:tcW w:w="7483" w:type="dxa"/>
          </w:tcPr>
          <w:p w14:paraId="2C018D4A" w14:textId="5876F4E9" w:rsidR="00DE3B0D" w:rsidRDefault="00DE3B0D" w:rsidP="00A95E63">
            <w:pPr>
              <w:pStyle w:val="TableText"/>
            </w:pPr>
            <w:r>
              <w:t>Estate</w:t>
            </w:r>
            <w:r w:rsidR="00D23ECC">
              <w:t xml:space="preserve"> </w:t>
            </w:r>
            <w:r>
              <w:t>Agents</w:t>
            </w:r>
            <w:r w:rsidR="00D23ECC">
              <w:t xml:space="preserve"> </w:t>
            </w:r>
            <w:r>
              <w:t>(Education)</w:t>
            </w:r>
            <w:r w:rsidR="00D23ECC">
              <w:t xml:space="preserve"> </w:t>
            </w:r>
            <w:r>
              <w:t>Regulations</w:t>
            </w:r>
            <w:r w:rsidR="00D23ECC">
              <w:t xml:space="preserve"> </w:t>
            </w:r>
            <w:r>
              <w:t>2020</w:t>
            </w:r>
          </w:p>
        </w:tc>
        <w:tc>
          <w:tcPr>
            <w:tcW w:w="2155" w:type="dxa"/>
          </w:tcPr>
          <w:p w14:paraId="5296223A" w14:textId="7144646A" w:rsidR="00DE3B0D" w:rsidRDefault="00DE3B0D" w:rsidP="00A95E63">
            <w:pPr>
              <w:pStyle w:val="TableText"/>
            </w:pPr>
            <w:r>
              <w:t>22</w:t>
            </w:r>
            <w:r w:rsidR="00D23ECC">
              <w:t xml:space="preserve"> </w:t>
            </w:r>
            <w:r>
              <w:t>October</w:t>
            </w:r>
            <w:r w:rsidR="00D23ECC">
              <w:t xml:space="preserve"> </w:t>
            </w:r>
            <w:r>
              <w:t>2020</w:t>
            </w:r>
          </w:p>
        </w:tc>
      </w:tr>
      <w:tr w:rsidR="00DE3B0D" w14:paraId="4C81ACD5" w14:textId="77777777" w:rsidTr="004842F6">
        <w:trPr>
          <w:trHeight w:val="68"/>
        </w:trPr>
        <w:tc>
          <w:tcPr>
            <w:tcW w:w="7483" w:type="dxa"/>
          </w:tcPr>
          <w:p w14:paraId="350E8710" w14:textId="55058E29" w:rsidR="00DE3B0D" w:rsidRDefault="00DE3B0D" w:rsidP="00A95E63">
            <w:pPr>
              <w:pStyle w:val="TableText"/>
            </w:pPr>
            <w:r>
              <w:t>Professional</w:t>
            </w:r>
            <w:r w:rsidR="00D23ECC">
              <w:t xml:space="preserve"> </w:t>
            </w:r>
            <w:r>
              <w:t>Engineers</w:t>
            </w:r>
            <w:r w:rsidR="00D23ECC">
              <w:t xml:space="preserve"> </w:t>
            </w:r>
            <w:r>
              <w:t>Registration</w:t>
            </w:r>
            <w:r w:rsidR="00D23ECC">
              <w:t xml:space="preserve"> </w:t>
            </w:r>
            <w:r>
              <w:t>(General,</w:t>
            </w:r>
            <w:r w:rsidR="00D23ECC">
              <w:t xml:space="preserve"> </w:t>
            </w:r>
            <w:r>
              <w:t>Exemption</w:t>
            </w:r>
            <w:r w:rsidR="00D23ECC">
              <w:t xml:space="preserve"> </w:t>
            </w:r>
            <w:r>
              <w:t>and</w:t>
            </w:r>
            <w:r w:rsidR="00D23ECC">
              <w:t xml:space="preserve"> </w:t>
            </w:r>
            <w:r>
              <w:t>Assessment</w:t>
            </w:r>
            <w:r w:rsidR="00D23ECC">
              <w:t xml:space="preserve"> </w:t>
            </w:r>
            <w:r>
              <w:t>Scheme</w:t>
            </w:r>
            <w:r w:rsidR="00D23ECC">
              <w:t xml:space="preserve"> </w:t>
            </w:r>
            <w:r>
              <w:t>Fees)</w:t>
            </w:r>
            <w:r w:rsidR="00D23ECC">
              <w:t xml:space="preserve"> </w:t>
            </w:r>
            <w:r>
              <w:t>Regulations</w:t>
            </w:r>
            <w:r w:rsidR="00D23ECC">
              <w:t xml:space="preserve"> </w:t>
            </w:r>
            <w:r>
              <w:t>2021</w:t>
            </w:r>
          </w:p>
        </w:tc>
        <w:tc>
          <w:tcPr>
            <w:tcW w:w="2155" w:type="dxa"/>
          </w:tcPr>
          <w:p w14:paraId="09603FF1" w14:textId="0A4514C1" w:rsidR="00DE3B0D" w:rsidRDefault="00DE3B0D" w:rsidP="00A95E63">
            <w:pPr>
              <w:pStyle w:val="TableText"/>
            </w:pPr>
            <w:r>
              <w:t>9</w:t>
            </w:r>
            <w:r w:rsidR="00D23ECC">
              <w:t xml:space="preserve"> </w:t>
            </w:r>
            <w:r>
              <w:t>February</w:t>
            </w:r>
            <w:r w:rsidR="00D23ECC">
              <w:t xml:space="preserve"> </w:t>
            </w:r>
            <w:r>
              <w:t>2021,</w:t>
            </w:r>
            <w:r w:rsidR="00D23ECC">
              <w:t xml:space="preserve"> </w:t>
            </w:r>
            <w:r>
              <w:t>except</w:t>
            </w:r>
            <w:r w:rsidR="00D23ECC">
              <w:t xml:space="preserve"> </w:t>
            </w:r>
            <w:r>
              <w:t>Part</w:t>
            </w:r>
            <w:r w:rsidR="00D23ECC">
              <w:t xml:space="preserve"> </w:t>
            </w:r>
            <w:r>
              <w:t>2</w:t>
            </w:r>
            <w:r w:rsidR="00D23ECC">
              <w:t xml:space="preserve"> </w:t>
            </w:r>
            <w:r>
              <w:t>which</w:t>
            </w:r>
            <w:r w:rsidR="00D23ECC">
              <w:t xml:space="preserve"> </w:t>
            </w:r>
            <w:r>
              <w:t>commenced</w:t>
            </w:r>
            <w:r w:rsidR="00D23ECC">
              <w:t xml:space="preserve"> </w:t>
            </w:r>
            <w:r>
              <w:t>on</w:t>
            </w:r>
            <w:r w:rsidR="00D23ECC">
              <w:t xml:space="preserve"> </w:t>
            </w:r>
            <w:r>
              <w:t>1</w:t>
            </w:r>
            <w:r w:rsidR="00876740">
              <w:t xml:space="preserve"> </w:t>
            </w:r>
            <w:r>
              <w:t>July</w:t>
            </w:r>
            <w:r w:rsidR="00D23ECC">
              <w:t xml:space="preserve"> </w:t>
            </w:r>
            <w:r>
              <w:t>2021</w:t>
            </w:r>
          </w:p>
        </w:tc>
      </w:tr>
      <w:tr w:rsidR="00DE3B0D" w14:paraId="22822446" w14:textId="77777777" w:rsidTr="004842F6">
        <w:trPr>
          <w:trHeight w:val="68"/>
        </w:trPr>
        <w:tc>
          <w:tcPr>
            <w:tcW w:w="7483" w:type="dxa"/>
          </w:tcPr>
          <w:p w14:paraId="25D04EA2" w14:textId="11246817" w:rsidR="00DE3B0D" w:rsidRDefault="00DE3B0D" w:rsidP="00A95E63">
            <w:pPr>
              <w:pStyle w:val="TableText"/>
            </w:pPr>
            <w:r>
              <w:t>Residential</w:t>
            </w:r>
            <w:r w:rsidR="00D23ECC">
              <w:t xml:space="preserve"> </w:t>
            </w:r>
            <w:r>
              <w:t>Tenancies</w:t>
            </w:r>
            <w:r w:rsidR="00D23ECC">
              <w:t xml:space="preserve"> </w:t>
            </w:r>
            <w:r>
              <w:t>Regulations</w:t>
            </w:r>
            <w:r w:rsidR="00D23ECC">
              <w:t xml:space="preserve"> </w:t>
            </w:r>
            <w:r>
              <w:t>2021</w:t>
            </w:r>
          </w:p>
        </w:tc>
        <w:tc>
          <w:tcPr>
            <w:tcW w:w="2155" w:type="dxa"/>
          </w:tcPr>
          <w:p w14:paraId="43655BDE" w14:textId="39AEB7BF" w:rsidR="00DE3B0D" w:rsidRDefault="00DE3B0D" w:rsidP="00A95E63">
            <w:pPr>
              <w:pStyle w:val="TableText"/>
            </w:pPr>
            <w:r>
              <w:t>29</w:t>
            </w:r>
            <w:r w:rsidR="00D23ECC">
              <w:t xml:space="preserve"> </w:t>
            </w:r>
            <w:r>
              <w:t>March</w:t>
            </w:r>
            <w:r w:rsidR="00D23ECC">
              <w:t xml:space="preserve"> </w:t>
            </w:r>
            <w:r>
              <w:t>2021</w:t>
            </w:r>
          </w:p>
        </w:tc>
      </w:tr>
      <w:tr w:rsidR="00DE3B0D" w14:paraId="7A9E3E3F" w14:textId="77777777" w:rsidTr="004842F6">
        <w:trPr>
          <w:trHeight w:val="68"/>
        </w:trPr>
        <w:tc>
          <w:tcPr>
            <w:tcW w:w="7483" w:type="dxa"/>
          </w:tcPr>
          <w:p w14:paraId="75B655FC" w14:textId="2EF3D5C6" w:rsidR="00DE3B0D" w:rsidRDefault="00DE3B0D" w:rsidP="00A95E63">
            <w:pPr>
              <w:pStyle w:val="TableText"/>
            </w:pPr>
            <w:r>
              <w:t>Residential</w:t>
            </w:r>
            <w:r w:rsidR="00D23ECC">
              <w:t xml:space="preserve"> </w:t>
            </w:r>
            <w:r>
              <w:t>Tenancies</w:t>
            </w:r>
            <w:r w:rsidR="00D23ECC">
              <w:t xml:space="preserve"> </w:t>
            </w:r>
            <w:r>
              <w:t>Amendment</w:t>
            </w:r>
            <w:r w:rsidR="00D23ECC">
              <w:t xml:space="preserve"> </w:t>
            </w:r>
            <w:r>
              <w:t>Regulations</w:t>
            </w:r>
            <w:r w:rsidR="00D23ECC">
              <w:t xml:space="preserve"> </w:t>
            </w:r>
            <w:r>
              <w:t>2021</w:t>
            </w:r>
          </w:p>
        </w:tc>
        <w:tc>
          <w:tcPr>
            <w:tcW w:w="2155" w:type="dxa"/>
          </w:tcPr>
          <w:p w14:paraId="6F0DAC77" w14:textId="5A4D3658" w:rsidR="00DE3B0D" w:rsidRDefault="00DE3B0D" w:rsidP="00A95E63">
            <w:pPr>
              <w:pStyle w:val="TableText"/>
            </w:pPr>
            <w:r>
              <w:t>29</w:t>
            </w:r>
            <w:r w:rsidR="00D23ECC">
              <w:t xml:space="preserve"> </w:t>
            </w:r>
            <w:r>
              <w:t>March</w:t>
            </w:r>
            <w:r w:rsidR="00D23ECC">
              <w:t xml:space="preserve"> </w:t>
            </w:r>
            <w:r>
              <w:t>2021</w:t>
            </w:r>
          </w:p>
        </w:tc>
      </w:tr>
      <w:tr w:rsidR="00DE3B0D" w14:paraId="5F59A09F" w14:textId="77777777" w:rsidTr="004842F6">
        <w:trPr>
          <w:trHeight w:val="68"/>
        </w:trPr>
        <w:tc>
          <w:tcPr>
            <w:tcW w:w="7483" w:type="dxa"/>
          </w:tcPr>
          <w:p w14:paraId="23C7022E" w14:textId="0805B649" w:rsidR="00DE3B0D" w:rsidRDefault="00DE3B0D" w:rsidP="00A95E63">
            <w:pPr>
              <w:pStyle w:val="TableText"/>
            </w:pPr>
            <w:r>
              <w:t>Residential</w:t>
            </w:r>
            <w:r w:rsidR="00D23ECC">
              <w:t xml:space="preserve"> </w:t>
            </w:r>
            <w:r>
              <w:t>Tenancies</w:t>
            </w:r>
            <w:r w:rsidR="00D23ECC">
              <w:t xml:space="preserve"> </w:t>
            </w:r>
            <w:r>
              <w:t>(Residential</w:t>
            </w:r>
            <w:r w:rsidR="00D23ECC">
              <w:t xml:space="preserve"> </w:t>
            </w:r>
            <w:r>
              <w:t>Tenancies</w:t>
            </w:r>
            <w:r w:rsidR="00D23ECC">
              <w:t xml:space="preserve"> </w:t>
            </w:r>
            <w:r>
              <w:t>Amendment</w:t>
            </w:r>
            <w:r w:rsidR="00D23ECC">
              <w:t xml:space="preserve"> </w:t>
            </w:r>
            <w:r>
              <w:t>Act</w:t>
            </w:r>
            <w:r w:rsidR="00D23ECC">
              <w:t xml:space="preserve"> </w:t>
            </w:r>
            <w:r>
              <w:t>2018)</w:t>
            </w:r>
            <w:r w:rsidR="00D23ECC">
              <w:t xml:space="preserve"> </w:t>
            </w:r>
            <w:r>
              <w:t>Transitional</w:t>
            </w:r>
            <w:r w:rsidR="00D23ECC">
              <w:t xml:space="preserve"> </w:t>
            </w:r>
            <w:r>
              <w:t>Regulations</w:t>
            </w:r>
            <w:r w:rsidR="00D23ECC">
              <w:t xml:space="preserve"> </w:t>
            </w:r>
            <w:r>
              <w:t>2021</w:t>
            </w:r>
          </w:p>
        </w:tc>
        <w:tc>
          <w:tcPr>
            <w:tcW w:w="2155" w:type="dxa"/>
          </w:tcPr>
          <w:p w14:paraId="24AB6BF7" w14:textId="03EE4CFA" w:rsidR="00DE3B0D" w:rsidRDefault="00DE3B0D" w:rsidP="00A95E63">
            <w:pPr>
              <w:pStyle w:val="TableText"/>
            </w:pPr>
            <w:r>
              <w:t>29</w:t>
            </w:r>
            <w:r w:rsidR="00D23ECC">
              <w:t xml:space="preserve"> </w:t>
            </w:r>
            <w:r>
              <w:t>March</w:t>
            </w:r>
            <w:r w:rsidR="00D23ECC">
              <w:t xml:space="preserve"> </w:t>
            </w:r>
            <w:r>
              <w:t>2021</w:t>
            </w:r>
          </w:p>
        </w:tc>
      </w:tr>
    </w:tbl>
    <w:p w14:paraId="51D71C4A" w14:textId="263C095D" w:rsidR="00DE3B0D" w:rsidRPr="00B04B74" w:rsidRDefault="00DE3B0D" w:rsidP="00B04B74">
      <w:pPr>
        <w:pStyle w:val="Heading3"/>
      </w:pPr>
      <w:bookmarkStart w:id="42" w:name="_Toc85912312"/>
      <w:r w:rsidRPr="00B04B74">
        <w:lastRenderedPageBreak/>
        <w:t>Regulations</w:t>
      </w:r>
      <w:r w:rsidR="00D23ECC" w:rsidRPr="00B04B74">
        <w:t xml:space="preserve"> </w:t>
      </w:r>
      <w:r w:rsidRPr="00B04B74">
        <w:t>revoked</w:t>
      </w:r>
      <w:bookmarkEnd w:id="42"/>
    </w:p>
    <w:tbl>
      <w:tblPr>
        <w:tblStyle w:val="TableGrid"/>
        <w:tblW w:w="9072" w:type="dxa"/>
        <w:tblLayout w:type="fixed"/>
        <w:tblLook w:val="00A0" w:firstRow="1" w:lastRow="0" w:firstColumn="1" w:lastColumn="0" w:noHBand="0" w:noVBand="0"/>
      </w:tblPr>
      <w:tblGrid>
        <w:gridCol w:w="7035"/>
        <w:gridCol w:w="2037"/>
      </w:tblGrid>
      <w:tr w:rsidR="00DE3B0D" w14:paraId="4A274411"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44651ED2" w14:textId="77777777" w:rsidR="00DE3B0D" w:rsidRDefault="00DE3B0D" w:rsidP="00A95E63">
            <w:pPr>
              <w:pStyle w:val="TableColHead"/>
            </w:pPr>
            <w:r>
              <w:t>Name</w:t>
            </w:r>
          </w:p>
        </w:tc>
        <w:tc>
          <w:tcPr>
            <w:tcW w:w="2155" w:type="dxa"/>
          </w:tcPr>
          <w:p w14:paraId="765C3341" w14:textId="531B520D" w:rsidR="00DE3B0D" w:rsidRDefault="00DE3B0D" w:rsidP="00A95E63">
            <w:pPr>
              <w:pStyle w:val="TableColHead"/>
            </w:pPr>
            <w:r>
              <w:t>Date</w:t>
            </w:r>
            <w:r w:rsidR="00D23ECC">
              <w:t xml:space="preserve"> </w:t>
            </w:r>
            <w:r>
              <w:t>revoked</w:t>
            </w:r>
          </w:p>
        </w:tc>
      </w:tr>
      <w:tr w:rsidR="00DE3B0D" w14:paraId="4843238C" w14:textId="77777777" w:rsidTr="004842F6">
        <w:trPr>
          <w:trHeight w:val="68"/>
        </w:trPr>
        <w:tc>
          <w:tcPr>
            <w:tcW w:w="7483" w:type="dxa"/>
          </w:tcPr>
          <w:p w14:paraId="5F6B18F7" w14:textId="17AE812F" w:rsidR="00DE3B0D" w:rsidRDefault="00DE3B0D" w:rsidP="00A95E63">
            <w:pPr>
              <w:pStyle w:val="TableText"/>
            </w:pPr>
            <w:r>
              <w:t>Residential</w:t>
            </w:r>
            <w:r w:rsidR="00D23ECC">
              <w:t xml:space="preserve"> </w:t>
            </w:r>
            <w:r>
              <w:t>Tenancies</w:t>
            </w:r>
            <w:r w:rsidR="00D23ECC">
              <w:t xml:space="preserve"> </w:t>
            </w:r>
            <w:r>
              <w:t>Regulations</w:t>
            </w:r>
            <w:r w:rsidR="00D23ECC">
              <w:t xml:space="preserve"> </w:t>
            </w:r>
            <w:r>
              <w:t>2019</w:t>
            </w:r>
          </w:p>
        </w:tc>
        <w:tc>
          <w:tcPr>
            <w:tcW w:w="2155" w:type="dxa"/>
          </w:tcPr>
          <w:p w14:paraId="2AA99EF0" w14:textId="6062D044" w:rsidR="00DE3B0D" w:rsidRDefault="00DE3B0D" w:rsidP="00A95E63">
            <w:pPr>
              <w:pStyle w:val="TableText"/>
            </w:pPr>
            <w:r>
              <w:t>29</w:t>
            </w:r>
            <w:r w:rsidR="00D23ECC">
              <w:t xml:space="preserve"> </w:t>
            </w:r>
            <w:r>
              <w:t>March</w:t>
            </w:r>
            <w:r w:rsidR="00D23ECC">
              <w:t xml:space="preserve"> </w:t>
            </w:r>
            <w:r>
              <w:t>2021</w:t>
            </w:r>
          </w:p>
        </w:tc>
      </w:tr>
    </w:tbl>
    <w:p w14:paraId="63F060CC" w14:textId="42A85B99" w:rsidR="00DE3B0D" w:rsidRPr="00B04B74" w:rsidRDefault="00DE3B0D" w:rsidP="00B04B74">
      <w:pPr>
        <w:pStyle w:val="Heading3"/>
      </w:pPr>
      <w:bookmarkStart w:id="43" w:name="_Toc85912313"/>
      <w:r w:rsidRPr="00B04B74">
        <w:t>Legislative</w:t>
      </w:r>
      <w:r w:rsidR="00D23ECC" w:rsidRPr="00B04B74">
        <w:t xml:space="preserve"> </w:t>
      </w:r>
      <w:r w:rsidRPr="00B04B74">
        <w:t>instruments</w:t>
      </w:r>
      <w:r w:rsidR="00D23ECC" w:rsidRPr="00B04B74">
        <w:t xml:space="preserve"> </w:t>
      </w:r>
      <w:r w:rsidRPr="00B04B74">
        <w:t>commenced</w:t>
      </w:r>
      <w:bookmarkEnd w:id="43"/>
    </w:p>
    <w:tbl>
      <w:tblPr>
        <w:tblStyle w:val="TableGrid"/>
        <w:tblW w:w="9072" w:type="dxa"/>
        <w:tblLayout w:type="fixed"/>
        <w:tblLook w:val="00A0" w:firstRow="1" w:lastRow="0" w:firstColumn="1" w:lastColumn="0" w:noHBand="0" w:noVBand="0"/>
      </w:tblPr>
      <w:tblGrid>
        <w:gridCol w:w="7035"/>
        <w:gridCol w:w="2037"/>
      </w:tblGrid>
      <w:tr w:rsidR="00DE3B0D" w14:paraId="45E516CF" w14:textId="77777777" w:rsidTr="004842F6">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17BE5205" w14:textId="77777777" w:rsidR="00DE3B0D" w:rsidRDefault="00DE3B0D" w:rsidP="00A95E63">
            <w:pPr>
              <w:pStyle w:val="TableColHead"/>
            </w:pPr>
            <w:r>
              <w:t>Name</w:t>
            </w:r>
          </w:p>
        </w:tc>
        <w:tc>
          <w:tcPr>
            <w:tcW w:w="2155" w:type="dxa"/>
          </w:tcPr>
          <w:p w14:paraId="7B5D5078" w14:textId="1A16E065" w:rsidR="00DE3B0D" w:rsidRDefault="00DE3B0D" w:rsidP="00A95E63">
            <w:pPr>
              <w:pStyle w:val="TableColHead"/>
            </w:pPr>
            <w:r>
              <w:t>Date</w:t>
            </w:r>
            <w:r w:rsidR="00D23ECC">
              <w:t xml:space="preserve"> </w:t>
            </w:r>
            <w:r>
              <w:t>commenced</w:t>
            </w:r>
          </w:p>
        </w:tc>
      </w:tr>
      <w:tr w:rsidR="00DE3B0D" w14:paraId="2F60B82D" w14:textId="77777777" w:rsidTr="004842F6">
        <w:trPr>
          <w:trHeight w:val="68"/>
        </w:trPr>
        <w:tc>
          <w:tcPr>
            <w:tcW w:w="7483" w:type="dxa"/>
          </w:tcPr>
          <w:p w14:paraId="00A8EFED" w14:textId="204B7107" w:rsidR="00DE3B0D" w:rsidRDefault="00DE3B0D" w:rsidP="00A95E63">
            <w:pPr>
              <w:pStyle w:val="TableText"/>
            </w:pPr>
            <w:r>
              <w:t>Code</w:t>
            </w:r>
            <w:r w:rsidR="00D23ECC">
              <w:t xml:space="preserve"> </w:t>
            </w:r>
            <w:r>
              <w:t>of</w:t>
            </w:r>
            <w:r w:rsidR="00D23ECC">
              <w:t xml:space="preserve"> </w:t>
            </w:r>
            <w:r>
              <w:t>Conduct</w:t>
            </w:r>
            <w:r w:rsidR="00D23ECC">
              <w:t xml:space="preserve"> </w:t>
            </w:r>
            <w:r>
              <w:t>for</w:t>
            </w:r>
            <w:r w:rsidR="00D23ECC">
              <w:t xml:space="preserve"> </w:t>
            </w:r>
            <w:r>
              <w:t>Professional</w:t>
            </w:r>
            <w:r w:rsidR="00D23ECC">
              <w:t xml:space="preserve"> </w:t>
            </w:r>
            <w:r>
              <w:t>Engineers</w:t>
            </w:r>
          </w:p>
        </w:tc>
        <w:tc>
          <w:tcPr>
            <w:tcW w:w="2155" w:type="dxa"/>
          </w:tcPr>
          <w:p w14:paraId="6C08F9B6" w14:textId="2BFE3EBA" w:rsidR="00DE3B0D" w:rsidRDefault="00DE3B0D" w:rsidP="00A95E63">
            <w:pPr>
              <w:pStyle w:val="TableText"/>
            </w:pPr>
            <w:r>
              <w:t>27</w:t>
            </w:r>
            <w:r w:rsidR="00D23ECC">
              <w:t xml:space="preserve"> </w:t>
            </w:r>
            <w:r>
              <w:t>May</w:t>
            </w:r>
            <w:r w:rsidR="00D23ECC">
              <w:t xml:space="preserve"> </w:t>
            </w:r>
            <w:r>
              <w:t>2021</w:t>
            </w:r>
          </w:p>
        </w:tc>
      </w:tr>
    </w:tbl>
    <w:p w14:paraId="397156CE" w14:textId="77777777" w:rsidR="00DE3B0D" w:rsidRDefault="00DE3B0D" w:rsidP="00AE374E">
      <w:pPr>
        <w:pStyle w:val="Heading2"/>
      </w:pPr>
      <w:bookmarkStart w:id="44" w:name="_Toc85912314"/>
      <w:r>
        <w:lastRenderedPageBreak/>
        <w:t>Appendix</w:t>
      </w:r>
      <w:bookmarkEnd w:id="44"/>
    </w:p>
    <w:p w14:paraId="4C1BE8BD" w14:textId="501FFA41" w:rsidR="00DE3B0D" w:rsidRDefault="00DE3B0D" w:rsidP="00D23ECC">
      <w:pPr>
        <w:pStyle w:val="BodyText"/>
      </w:pPr>
      <w:r>
        <w:t>The</w:t>
      </w:r>
      <w:r w:rsidR="00D23ECC">
        <w:t xml:space="preserve"> </w:t>
      </w:r>
      <w:r>
        <w:t>list</w:t>
      </w:r>
      <w:r w:rsidR="00D23ECC">
        <w:t xml:space="preserve"> </w:t>
      </w:r>
      <w:r>
        <w:t>below</w:t>
      </w:r>
      <w:r w:rsidR="00D23ECC">
        <w:t xml:space="preserve"> </w:t>
      </w:r>
      <w:r>
        <w:t>details</w:t>
      </w:r>
      <w:r w:rsidR="00D23ECC">
        <w:t xml:space="preserve"> </w:t>
      </w:r>
      <w:r>
        <w:t>the</w:t>
      </w:r>
      <w:r w:rsidR="00D23ECC">
        <w:t xml:space="preserve"> </w:t>
      </w:r>
      <w:r>
        <w:t>legislation</w:t>
      </w:r>
      <w:r w:rsidR="00D23ECC">
        <w:t xml:space="preserve"> </w:t>
      </w:r>
      <w:r>
        <w:t>administered</w:t>
      </w:r>
      <w:r w:rsidR="00D23ECC">
        <w:t xml:space="preserve"> </w:t>
      </w:r>
      <w:r>
        <w:t>by</w:t>
      </w:r>
      <w:r w:rsidR="00D23ECC">
        <w:t xml:space="preserve"> </w:t>
      </w:r>
      <w:r>
        <w:t>Consumer</w:t>
      </w:r>
      <w:r w:rsidR="00D23ECC">
        <w:t xml:space="preserve"> </w:t>
      </w:r>
      <w:r>
        <w:t>Affairs</w:t>
      </w:r>
      <w:r w:rsidR="00D23ECC">
        <w:t xml:space="preserve"> </w:t>
      </w:r>
      <w:r>
        <w:t>Victoria</w:t>
      </w:r>
      <w:r w:rsidR="00D23ECC">
        <w:t xml:space="preserve"> </w:t>
      </w:r>
      <w:r>
        <w:t>as</w:t>
      </w:r>
      <w:r w:rsidR="00D23ECC">
        <w:t xml:space="preserve"> </w:t>
      </w:r>
      <w:r>
        <w:t>of</w:t>
      </w:r>
      <w:r w:rsidR="00D23ECC">
        <w:t xml:space="preserve"> </w:t>
      </w:r>
      <w:r>
        <w:t>30</w:t>
      </w:r>
      <w:r w:rsidR="00D23ECC">
        <w:t xml:space="preserve"> </w:t>
      </w:r>
      <w:r>
        <w:t>June</w:t>
      </w:r>
      <w:r w:rsidR="00D23ECC">
        <w:t xml:space="preserve"> </w:t>
      </w:r>
      <w:r>
        <w:t>2021:</w:t>
      </w:r>
    </w:p>
    <w:p w14:paraId="65BC7492" w14:textId="673ADEDA" w:rsidR="00DE3B0D" w:rsidRPr="00B04B74" w:rsidRDefault="00DE3B0D" w:rsidP="00B04B74">
      <w:pPr>
        <w:pStyle w:val="Heading3"/>
      </w:pPr>
      <w:bookmarkStart w:id="45" w:name="_Toc85912315"/>
      <w:r w:rsidRPr="00B04B74">
        <w:t>Legislation</w:t>
      </w:r>
      <w:r w:rsidR="00D23ECC" w:rsidRPr="00B04B74">
        <w:t xml:space="preserve"> </w:t>
      </w:r>
      <w:r w:rsidRPr="00B04B74">
        <w:t>administered</w:t>
      </w:r>
      <w:r w:rsidR="00D23ECC" w:rsidRPr="00B04B74">
        <w:t xml:space="preserve"> </w:t>
      </w:r>
      <w:r w:rsidRPr="00B04B74">
        <w:t>by</w:t>
      </w:r>
      <w:r w:rsidR="00D23ECC" w:rsidRPr="00B04B74">
        <w:t xml:space="preserve"> </w:t>
      </w:r>
      <w:r w:rsidRPr="00B04B74">
        <w:t>CAV</w:t>
      </w:r>
      <w:bookmarkEnd w:id="45"/>
    </w:p>
    <w:p w14:paraId="09D1040C" w14:textId="20976B17" w:rsidR="00DE3B0D" w:rsidRPr="00ED78BD" w:rsidRDefault="00DE3B0D" w:rsidP="00D23ECC">
      <w:pPr>
        <w:pStyle w:val="BodyText"/>
        <w:rPr>
          <w:rStyle w:val="Emphasis"/>
        </w:rPr>
      </w:pPr>
      <w:r w:rsidRPr="00ED78BD">
        <w:rPr>
          <w:rStyle w:val="Emphasis"/>
        </w:rPr>
        <w:t>Associations</w:t>
      </w:r>
      <w:r w:rsidR="00D23ECC" w:rsidRPr="00ED78BD">
        <w:rPr>
          <w:rStyle w:val="Emphasis"/>
        </w:rPr>
        <w:t xml:space="preserve"> </w:t>
      </w:r>
      <w:r w:rsidRPr="00ED78BD">
        <w:rPr>
          <w:rStyle w:val="Emphasis"/>
        </w:rPr>
        <w:t>Incorporation</w:t>
      </w:r>
      <w:r w:rsidR="00D23ECC" w:rsidRPr="00ED78BD">
        <w:rPr>
          <w:rStyle w:val="Emphasis"/>
        </w:rPr>
        <w:t xml:space="preserve"> </w:t>
      </w:r>
      <w:r w:rsidRPr="00ED78BD">
        <w:rPr>
          <w:rStyle w:val="Emphasis"/>
        </w:rPr>
        <w:t>Reform</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p>
    <w:p w14:paraId="3294EF44" w14:textId="1981137E" w:rsidR="00DE3B0D" w:rsidRPr="00ED78BD" w:rsidRDefault="00DE3B0D" w:rsidP="00D23ECC">
      <w:pPr>
        <w:pStyle w:val="BodyText"/>
        <w:rPr>
          <w:rStyle w:val="Emphasis"/>
        </w:rPr>
      </w:pPr>
      <w:r w:rsidRPr="00ED78BD">
        <w:rPr>
          <w:rStyle w:val="Emphasis"/>
        </w:rPr>
        <w:t>Australian</w:t>
      </w:r>
      <w:r w:rsidR="00D23ECC" w:rsidRPr="00ED78BD">
        <w:rPr>
          <w:rStyle w:val="Emphasis"/>
        </w:rPr>
        <w:t xml:space="preserve"> </w:t>
      </w:r>
      <w:r w:rsidRPr="00ED78BD">
        <w:rPr>
          <w:rStyle w:val="Emphasis"/>
        </w:rPr>
        <w:t>Consumer</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Fair</w:t>
      </w:r>
      <w:r w:rsidR="00D23ECC" w:rsidRPr="00ED78BD">
        <w:rPr>
          <w:rStyle w:val="Emphasis"/>
        </w:rPr>
        <w:t xml:space="preserve"> </w:t>
      </w:r>
      <w:r w:rsidRPr="00ED78BD">
        <w:rPr>
          <w:rStyle w:val="Emphasis"/>
        </w:rPr>
        <w:t>Trading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2012</w:t>
      </w:r>
    </w:p>
    <w:p w14:paraId="16ABD24E" w14:textId="084F0FA4" w:rsidR="00DE3B0D" w:rsidRPr="00ED78BD" w:rsidRDefault="00DE3B0D" w:rsidP="00D23ECC">
      <w:pPr>
        <w:pStyle w:val="BodyText"/>
        <w:rPr>
          <w:rStyle w:val="Emphasis"/>
        </w:rPr>
      </w:pPr>
      <w:r w:rsidRPr="00ED78BD">
        <w:rPr>
          <w:rStyle w:val="Emphasis"/>
        </w:rPr>
        <w:t>Business</w:t>
      </w:r>
      <w:r w:rsidR="00D23ECC" w:rsidRPr="00ED78BD">
        <w:rPr>
          <w:rStyle w:val="Emphasis"/>
        </w:rPr>
        <w:t xml:space="preserve"> </w:t>
      </w:r>
      <w:r w:rsidRPr="00ED78BD">
        <w:rPr>
          <w:rStyle w:val="Emphasis"/>
        </w:rPr>
        <w:t>Licensing</w:t>
      </w:r>
      <w:r w:rsidR="00D23ECC" w:rsidRPr="00ED78BD">
        <w:rPr>
          <w:rStyle w:val="Emphasis"/>
        </w:rPr>
        <w:t xml:space="preserve"> </w:t>
      </w:r>
      <w:r w:rsidRPr="00ED78BD">
        <w:rPr>
          <w:rStyle w:val="Emphasis"/>
        </w:rPr>
        <w:t>Authority</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1998</w:t>
      </w:r>
    </w:p>
    <w:p w14:paraId="58AFC291" w14:textId="68A06130" w:rsidR="00DE3B0D" w:rsidRPr="00ED78BD" w:rsidRDefault="00DE3B0D" w:rsidP="00D23ECC">
      <w:pPr>
        <w:pStyle w:val="BodyText"/>
        <w:rPr>
          <w:rStyle w:val="Emphasis"/>
        </w:rPr>
      </w:pPr>
      <w:r w:rsidRPr="00ED78BD">
        <w:rPr>
          <w:rStyle w:val="Emphasis"/>
        </w:rPr>
        <w:t>Business</w:t>
      </w:r>
      <w:r w:rsidR="00D23ECC" w:rsidRPr="00ED78BD">
        <w:rPr>
          <w:rStyle w:val="Emphasis"/>
        </w:rPr>
        <w:t xml:space="preserve"> </w:t>
      </w:r>
      <w:r w:rsidRPr="00ED78BD">
        <w:rPr>
          <w:rStyle w:val="Emphasis"/>
        </w:rPr>
        <w:t>Names</w:t>
      </w:r>
      <w:r w:rsidR="00D23ECC" w:rsidRPr="00ED78BD">
        <w:rPr>
          <w:rStyle w:val="Emphasis"/>
        </w:rPr>
        <w:t xml:space="preserve"> </w:t>
      </w:r>
      <w:r w:rsidRPr="00ED78BD">
        <w:rPr>
          <w:rStyle w:val="Emphasis"/>
        </w:rPr>
        <w:t>(Commonwealth</w:t>
      </w:r>
      <w:r w:rsidR="00D23ECC" w:rsidRPr="00ED78BD">
        <w:rPr>
          <w:rStyle w:val="Emphasis"/>
        </w:rPr>
        <w:t xml:space="preserve"> </w:t>
      </w:r>
      <w:r w:rsidRPr="00ED78BD">
        <w:rPr>
          <w:rStyle w:val="Emphasis"/>
        </w:rPr>
        <w:t>Powers)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2011</w:t>
      </w:r>
    </w:p>
    <w:p w14:paraId="69C81269" w14:textId="29C0D481" w:rsidR="00DE3B0D" w:rsidRPr="00ED78BD" w:rsidRDefault="00DE3B0D" w:rsidP="00D23ECC">
      <w:pPr>
        <w:pStyle w:val="BodyText"/>
        <w:rPr>
          <w:rStyle w:val="Emphasis"/>
        </w:rPr>
      </w:pPr>
      <w:r w:rsidRPr="00ED78BD">
        <w:rPr>
          <w:rStyle w:val="Emphasis"/>
        </w:rPr>
        <w:t>Chattel</w:t>
      </w:r>
      <w:r w:rsidR="00D23ECC" w:rsidRPr="00ED78BD">
        <w:rPr>
          <w:rStyle w:val="Emphasis"/>
        </w:rPr>
        <w:t xml:space="preserve"> </w:t>
      </w:r>
      <w:r w:rsidRPr="00ED78BD">
        <w:rPr>
          <w:rStyle w:val="Emphasis"/>
        </w:rPr>
        <w:t>Securities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1987</w:t>
      </w:r>
    </w:p>
    <w:p w14:paraId="3B7728E7" w14:textId="1B1F694D" w:rsidR="00DE3B0D" w:rsidRPr="00ED78BD" w:rsidRDefault="00DE3B0D" w:rsidP="00D23ECC">
      <w:pPr>
        <w:pStyle w:val="BodyText"/>
        <w:rPr>
          <w:rStyle w:val="Emphasis"/>
        </w:rPr>
      </w:pPr>
      <w:r w:rsidRPr="00ED78BD">
        <w:rPr>
          <w:rStyle w:val="Emphasis"/>
        </w:rPr>
        <w:t>Conveyancers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2006</w:t>
      </w:r>
    </w:p>
    <w:p w14:paraId="6568E8D4" w14:textId="5065CF37" w:rsidR="00DE3B0D" w:rsidRPr="00ED78BD" w:rsidRDefault="00DE3B0D" w:rsidP="00D23ECC">
      <w:pPr>
        <w:pStyle w:val="BodyText"/>
        <w:rPr>
          <w:rStyle w:val="Emphasis"/>
        </w:rPr>
      </w:pPr>
      <w:r w:rsidRPr="00ED78BD">
        <w:rPr>
          <w:rStyle w:val="Emphasis"/>
        </w:rPr>
        <w:t>Co-operatives</w:t>
      </w:r>
      <w:r w:rsidR="00D23ECC" w:rsidRPr="00ED78BD">
        <w:rPr>
          <w:rStyle w:val="Emphasis"/>
        </w:rPr>
        <w:t xml:space="preserve"> </w:t>
      </w:r>
      <w:r w:rsidRPr="00ED78BD">
        <w:rPr>
          <w:rStyle w:val="Emphasis"/>
        </w:rPr>
        <w:t>National</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Application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2013</w:t>
      </w:r>
    </w:p>
    <w:p w14:paraId="04B8EEBA" w14:textId="41046DA1" w:rsidR="00DE3B0D" w:rsidRPr="00ED78BD" w:rsidRDefault="00DE3B0D" w:rsidP="00D23ECC">
      <w:pPr>
        <w:pStyle w:val="BodyText"/>
        <w:rPr>
          <w:rStyle w:val="Emphasis"/>
        </w:rPr>
      </w:pPr>
      <w:r w:rsidRPr="00ED78BD">
        <w:rPr>
          <w:rStyle w:val="Emphasis"/>
        </w:rPr>
        <w:t>Co-operatives</w:t>
      </w:r>
      <w:r w:rsidR="00D23ECC" w:rsidRPr="00ED78BD">
        <w:rPr>
          <w:rStyle w:val="Emphasis"/>
        </w:rPr>
        <w:t xml:space="preserve"> </w:t>
      </w:r>
      <w:r w:rsidRPr="00ED78BD">
        <w:rPr>
          <w:rStyle w:val="Emphasis"/>
        </w:rPr>
        <w:t>National</w:t>
      </w:r>
      <w:r w:rsidR="00D23ECC" w:rsidRPr="00ED78BD">
        <w:rPr>
          <w:rStyle w:val="Emphasis"/>
        </w:rPr>
        <w:t xml:space="preserve"> </w:t>
      </w:r>
      <w:r w:rsidRPr="00ED78BD">
        <w:rPr>
          <w:rStyle w:val="Emphasis"/>
        </w:rPr>
        <w:t>Law</w:t>
      </w:r>
      <w:r w:rsidR="00D23ECC" w:rsidRPr="00ED78BD">
        <w:rPr>
          <w:rStyle w:val="Emphasis"/>
        </w:rPr>
        <w:t xml:space="preserve"> </w:t>
      </w:r>
      <w:r w:rsidRPr="00ED78BD">
        <w:rPr>
          <w:rStyle w:val="Emphasis"/>
        </w:rPr>
        <w:t>(Victoria)</w:t>
      </w:r>
    </w:p>
    <w:p w14:paraId="45AB03A7" w14:textId="2EB43174" w:rsidR="00DE3B0D" w:rsidRPr="00ED78BD" w:rsidRDefault="00DE3B0D" w:rsidP="00D23ECC">
      <w:pPr>
        <w:pStyle w:val="BodyText"/>
        <w:rPr>
          <w:rStyle w:val="Emphasis"/>
        </w:rPr>
      </w:pPr>
      <w:r w:rsidRPr="00ED78BD">
        <w:rPr>
          <w:rStyle w:val="Emphasis"/>
        </w:rPr>
        <w:t>COVID-19</w:t>
      </w:r>
      <w:r w:rsidR="00D23ECC" w:rsidRPr="00ED78BD">
        <w:rPr>
          <w:rStyle w:val="Emphasis"/>
        </w:rPr>
        <w:t xml:space="preserve"> </w:t>
      </w:r>
      <w:r w:rsidRPr="00ED78BD">
        <w:rPr>
          <w:rStyle w:val="Emphasis"/>
        </w:rPr>
        <w:t>Omnibus</w:t>
      </w:r>
      <w:r w:rsidR="00D23ECC" w:rsidRPr="00ED78BD">
        <w:rPr>
          <w:rStyle w:val="Emphasis"/>
        </w:rPr>
        <w:t xml:space="preserve"> </w:t>
      </w:r>
      <w:r w:rsidRPr="00ED78BD">
        <w:rPr>
          <w:rStyle w:val="Emphasis"/>
        </w:rPr>
        <w:t>(Emergency</w:t>
      </w:r>
      <w:r w:rsidR="00D23ECC" w:rsidRPr="00ED78BD">
        <w:rPr>
          <w:rStyle w:val="Emphasis"/>
        </w:rPr>
        <w:t xml:space="preserve"> </w:t>
      </w:r>
      <w:r w:rsidRPr="00ED78BD">
        <w:rPr>
          <w:rStyle w:val="Emphasis"/>
        </w:rPr>
        <w:t>Measures)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2020:</w:t>
      </w:r>
    </w:p>
    <w:p w14:paraId="4CB7EC58" w14:textId="09DFDB40" w:rsidR="00DE3B0D" w:rsidRDefault="00DE3B0D" w:rsidP="004842F6">
      <w:pPr>
        <w:pStyle w:val="ListBullet"/>
        <w:ind w:left="714"/>
      </w:pPr>
      <w:r>
        <w:t>Part</w:t>
      </w:r>
      <w:r w:rsidR="00D23ECC">
        <w:t xml:space="preserve"> </w:t>
      </w:r>
      <w:r>
        <w:t>6.1</w:t>
      </w:r>
      <w:r w:rsidR="00D23ECC">
        <w:t xml:space="preserve"> </w:t>
      </w:r>
      <w:r>
        <w:t>in</w:t>
      </w:r>
      <w:r w:rsidR="00D23ECC">
        <w:t xml:space="preserve"> </w:t>
      </w:r>
      <w:r>
        <w:t>so</w:t>
      </w:r>
      <w:r w:rsidR="00D23ECC">
        <w:t xml:space="preserve"> </w:t>
      </w:r>
      <w:r>
        <w:t>far</w:t>
      </w:r>
      <w:r w:rsidR="00D23ECC">
        <w:t xml:space="preserve"> </w:t>
      </w:r>
      <w:r>
        <w:t>as</w:t>
      </w:r>
      <w:r w:rsidR="00D23ECC">
        <w:t xml:space="preserve"> </w:t>
      </w:r>
      <w:r>
        <w:t>it</w:t>
      </w:r>
      <w:r w:rsidR="00D23ECC">
        <w:t xml:space="preserve"> </w:t>
      </w:r>
      <w:r>
        <w:t>relates</w:t>
      </w:r>
      <w:r w:rsidR="00D23ECC">
        <w:t xml:space="preserve"> </w:t>
      </w:r>
      <w:r>
        <w:t>to</w:t>
      </w:r>
      <w:r w:rsidR="00D23ECC">
        <w:t xml:space="preserve"> </w:t>
      </w:r>
      <w:r>
        <w:t>the</w:t>
      </w:r>
      <w:r w:rsidR="00D23ECC">
        <w:t xml:space="preserve"> </w:t>
      </w:r>
      <w:r>
        <w:t>making</w:t>
      </w:r>
      <w:r w:rsidR="00D23ECC">
        <w:t xml:space="preserve"> </w:t>
      </w:r>
      <w:r>
        <w:t>of</w:t>
      </w:r>
      <w:r w:rsidR="00D23ECC">
        <w:t xml:space="preserve"> </w:t>
      </w:r>
      <w:r>
        <w:t>regulations</w:t>
      </w:r>
      <w:r w:rsidR="00D23ECC">
        <w:t xml:space="preserve"> </w:t>
      </w:r>
      <w:r>
        <w:t>relating</w:t>
      </w:r>
      <w:r w:rsidR="00D23ECC">
        <w:t xml:space="preserve"> </w:t>
      </w:r>
      <w:r>
        <w:t>to</w:t>
      </w:r>
      <w:r w:rsidR="00D23ECC">
        <w:t xml:space="preserve"> </w:t>
      </w:r>
      <w:r>
        <w:t>the</w:t>
      </w:r>
      <w:r w:rsidR="00D23ECC">
        <w:t xml:space="preserve"> </w:t>
      </w:r>
      <w:r>
        <w:t>repeal</w:t>
      </w:r>
      <w:r w:rsidR="00D23ECC">
        <w:t xml:space="preserve"> </w:t>
      </w:r>
      <w:r>
        <w:t>of</w:t>
      </w:r>
      <w:r w:rsidR="00D23ECC">
        <w:t xml:space="preserve"> </w:t>
      </w:r>
      <w:r>
        <w:t>provisions</w:t>
      </w:r>
      <w:r w:rsidR="00D23ECC">
        <w:t xml:space="preserve"> </w:t>
      </w:r>
      <w:r>
        <w:t>inserted</w:t>
      </w:r>
      <w:r w:rsidR="00D23ECC">
        <w:t xml:space="preserve"> </w:t>
      </w:r>
      <w:r>
        <w:t>into</w:t>
      </w:r>
      <w:r w:rsidR="00D23ECC">
        <w:t xml:space="preserve"> </w:t>
      </w:r>
      <w:r>
        <w:t>an</w:t>
      </w:r>
      <w:r w:rsidR="00D23ECC">
        <w:t xml:space="preserve"> </w:t>
      </w:r>
      <w:r>
        <w:t>Act</w:t>
      </w:r>
      <w:r w:rsidR="00D23ECC">
        <w:t xml:space="preserve"> </w:t>
      </w:r>
      <w:r>
        <w:t>by</w:t>
      </w:r>
      <w:r w:rsidR="00D23ECC">
        <w:t xml:space="preserve"> </w:t>
      </w:r>
      <w:r>
        <w:t>Chapter</w:t>
      </w:r>
      <w:r w:rsidR="00D23ECC">
        <w:t xml:space="preserve"> </w:t>
      </w:r>
      <w:r>
        <w:t>4</w:t>
      </w:r>
      <w:r w:rsidR="00D23ECC">
        <w:t xml:space="preserve"> </w:t>
      </w:r>
      <w:r>
        <w:t>before</w:t>
      </w:r>
      <w:r w:rsidR="00D23ECC">
        <w:t xml:space="preserve"> </w:t>
      </w:r>
      <w:r>
        <w:t>the</w:t>
      </w:r>
      <w:r w:rsidR="00D23ECC">
        <w:t xml:space="preserve"> </w:t>
      </w:r>
      <w:r>
        <w:t>repeal</w:t>
      </w:r>
      <w:r w:rsidR="00D23ECC">
        <w:t xml:space="preserve"> </w:t>
      </w:r>
      <w:r>
        <w:t>of</w:t>
      </w:r>
      <w:r w:rsidR="00D23ECC">
        <w:t xml:space="preserve"> </w:t>
      </w:r>
      <w:r>
        <w:t>Chapter</w:t>
      </w:r>
      <w:r w:rsidR="00D23ECC">
        <w:t xml:space="preserve"> </w:t>
      </w:r>
      <w:r>
        <w:t>4</w:t>
      </w:r>
      <w:r w:rsidR="00D23ECC">
        <w:t xml:space="preserve"> </w:t>
      </w:r>
      <w:r>
        <w:t>(in</w:t>
      </w:r>
      <w:r w:rsidR="00D23ECC">
        <w:t xml:space="preserve"> </w:t>
      </w:r>
      <w:r>
        <w:t>so</w:t>
      </w:r>
      <w:r w:rsidR="00D23ECC">
        <w:t xml:space="preserve"> </w:t>
      </w:r>
      <w:r>
        <w:t>far</w:t>
      </w:r>
      <w:r w:rsidR="00D23ECC">
        <w:t xml:space="preserve"> </w:t>
      </w:r>
      <w:r>
        <w:t>as</w:t>
      </w:r>
      <w:r w:rsidR="00D23ECC">
        <w:t xml:space="preserve"> </w:t>
      </w:r>
      <w:r>
        <w:t>it</w:t>
      </w:r>
      <w:r w:rsidR="00D23ECC">
        <w:t xml:space="preserve"> </w:t>
      </w:r>
      <w:r>
        <w:t>does</w:t>
      </w:r>
      <w:r w:rsidR="00D23ECC">
        <w:t xml:space="preserve"> </w:t>
      </w:r>
      <w:r>
        <w:t>relate</w:t>
      </w:r>
      <w:r w:rsidR="00D23ECC">
        <w:t xml:space="preserve"> </w:t>
      </w:r>
      <w:r>
        <w:t>to</w:t>
      </w:r>
      <w:r w:rsidR="00D23ECC">
        <w:t xml:space="preserve"> </w:t>
      </w:r>
      <w:r>
        <w:t>those</w:t>
      </w:r>
      <w:r w:rsidR="00D23ECC">
        <w:t xml:space="preserve"> </w:t>
      </w:r>
      <w:r>
        <w:t>matters,</w:t>
      </w:r>
      <w:r w:rsidR="00D23ECC">
        <w:t xml:space="preserve"> </w:t>
      </w:r>
      <w:r>
        <w:t>this</w:t>
      </w:r>
      <w:r w:rsidR="00D23ECC">
        <w:t xml:space="preserve"> </w:t>
      </w:r>
      <w:r>
        <w:t>Part</w:t>
      </w:r>
      <w:r w:rsidR="00D23ECC">
        <w:t xml:space="preserve"> </w:t>
      </w:r>
      <w:r>
        <w:t>is</w:t>
      </w:r>
      <w:r w:rsidR="00D23ECC">
        <w:t xml:space="preserve"> </w:t>
      </w:r>
      <w:r>
        <w:t>jointly</w:t>
      </w:r>
      <w:r w:rsidR="00D23ECC">
        <w:t xml:space="preserve"> </w:t>
      </w:r>
      <w:r>
        <w:t>and</w:t>
      </w:r>
      <w:r w:rsidR="00D23ECC">
        <w:t xml:space="preserve"> </w:t>
      </w:r>
      <w:r>
        <w:t>severally</w:t>
      </w:r>
      <w:r w:rsidR="00D23ECC">
        <w:t xml:space="preserve"> </w:t>
      </w:r>
      <w:r>
        <w:t>administered</w:t>
      </w:r>
      <w:r w:rsidR="00D23ECC">
        <w:t xml:space="preserve"> </w:t>
      </w:r>
      <w:r>
        <w:t>with</w:t>
      </w:r>
      <w:r w:rsidR="00D23ECC">
        <w:t xml:space="preserve"> </w:t>
      </w:r>
      <w:r>
        <w:t>the</w:t>
      </w:r>
      <w:r w:rsidR="00D23ECC">
        <w:t xml:space="preserve"> </w:t>
      </w:r>
      <w:r>
        <w:t>Minister</w:t>
      </w:r>
      <w:r w:rsidR="00D23ECC">
        <w:t xml:space="preserve"> </w:t>
      </w:r>
      <w:r>
        <w:t>for</w:t>
      </w:r>
      <w:r w:rsidR="00D23ECC">
        <w:t xml:space="preserve"> </w:t>
      </w:r>
      <w:r>
        <w:t>Disability,</w:t>
      </w:r>
      <w:r w:rsidR="00D23ECC">
        <w:t xml:space="preserve"> </w:t>
      </w:r>
      <w:r>
        <w:t>Ageing</w:t>
      </w:r>
      <w:r w:rsidR="00D23ECC">
        <w:t xml:space="preserve"> </w:t>
      </w:r>
      <w:r>
        <w:t>and</w:t>
      </w:r>
      <w:r w:rsidR="00D23ECC">
        <w:t xml:space="preserve"> </w:t>
      </w:r>
      <w:r>
        <w:t>Carers</w:t>
      </w:r>
      <w:r w:rsidR="00D23ECC">
        <w:t xml:space="preserve"> </w:t>
      </w:r>
      <w:r>
        <w:t>and</w:t>
      </w:r>
      <w:r w:rsidR="00D23ECC">
        <w:t xml:space="preserve"> </w:t>
      </w:r>
      <w:r>
        <w:t>the</w:t>
      </w:r>
      <w:r w:rsidR="00D23ECC">
        <w:t xml:space="preserve"> </w:t>
      </w:r>
      <w:r>
        <w:t>Minister</w:t>
      </w:r>
      <w:r w:rsidR="00D23ECC">
        <w:t xml:space="preserve"> </w:t>
      </w:r>
      <w:r>
        <w:t>for</w:t>
      </w:r>
      <w:r w:rsidR="00D23ECC">
        <w:t xml:space="preserve"> </w:t>
      </w:r>
      <w:r>
        <w:t>Housing)</w:t>
      </w:r>
    </w:p>
    <w:p w14:paraId="46F2BB2B" w14:textId="47E849AD" w:rsidR="00DE3B0D" w:rsidRDefault="00DE3B0D" w:rsidP="004842F6">
      <w:pPr>
        <w:pStyle w:val="ListBullet"/>
        <w:ind w:left="714"/>
      </w:pPr>
      <w:r>
        <w:t>The</w:t>
      </w:r>
      <w:r w:rsidR="00D23ECC">
        <w:t xml:space="preserve"> </w:t>
      </w:r>
      <w:r>
        <w:t>Act</w:t>
      </w:r>
      <w:r w:rsidR="00D23ECC">
        <w:t xml:space="preserve"> </w:t>
      </w:r>
      <w:r>
        <w:t>is</w:t>
      </w:r>
      <w:r w:rsidR="00D23ECC">
        <w:t xml:space="preserve"> </w:t>
      </w:r>
      <w:r>
        <w:t>otherwise</w:t>
      </w:r>
      <w:r w:rsidR="00D23ECC">
        <w:t xml:space="preserve"> </w:t>
      </w:r>
      <w:r>
        <w:t>administered</w:t>
      </w:r>
      <w:r w:rsidR="00D23ECC">
        <w:t xml:space="preserve"> </w:t>
      </w:r>
      <w:r>
        <w:t>by</w:t>
      </w:r>
      <w:r w:rsidR="00D23ECC">
        <w:t xml:space="preserve"> </w:t>
      </w:r>
      <w:r>
        <w:t>the</w:t>
      </w:r>
      <w:r w:rsidR="00D23ECC">
        <w:t xml:space="preserve"> </w:t>
      </w:r>
      <w:r>
        <w:t>Attorney-General,</w:t>
      </w:r>
      <w:r w:rsidR="00D23ECC">
        <w:t xml:space="preserve"> </w:t>
      </w:r>
      <w:r>
        <w:t>the</w:t>
      </w:r>
      <w:r w:rsidR="00D23ECC">
        <w:t xml:space="preserve"> </w:t>
      </w:r>
      <w:r>
        <w:t>Minister</w:t>
      </w:r>
      <w:r w:rsidR="00D23ECC">
        <w:t xml:space="preserve"> </w:t>
      </w:r>
      <w:r>
        <w:t>for</w:t>
      </w:r>
      <w:r w:rsidR="00D23ECC">
        <w:t xml:space="preserve"> </w:t>
      </w:r>
      <w:r>
        <w:t>Corrections,</w:t>
      </w:r>
      <w:r w:rsidR="00D23ECC">
        <w:t xml:space="preserve"> </w:t>
      </w:r>
      <w:r>
        <w:t>the</w:t>
      </w:r>
      <w:r w:rsidR="00D23ECC">
        <w:t xml:space="preserve"> </w:t>
      </w:r>
      <w:r>
        <w:t>Minister</w:t>
      </w:r>
      <w:r w:rsidR="00D23ECC">
        <w:t xml:space="preserve"> </w:t>
      </w:r>
      <w:r>
        <w:t>for</w:t>
      </w:r>
      <w:r w:rsidR="00D23ECC">
        <w:t xml:space="preserve"> </w:t>
      </w:r>
      <w:r>
        <w:t>Disability,</w:t>
      </w:r>
      <w:r w:rsidR="00D23ECC">
        <w:t xml:space="preserve"> </w:t>
      </w:r>
      <w:r>
        <w:t>Ageing</w:t>
      </w:r>
      <w:r w:rsidR="00D23ECC">
        <w:t xml:space="preserve"> </w:t>
      </w:r>
      <w:r>
        <w:t>and</w:t>
      </w:r>
      <w:r w:rsidR="00D23ECC">
        <w:t xml:space="preserve"> </w:t>
      </w:r>
      <w:r>
        <w:t>Carers,</w:t>
      </w:r>
      <w:r w:rsidR="00D23ECC">
        <w:t xml:space="preserve"> </w:t>
      </w:r>
      <w:r>
        <w:t>the</w:t>
      </w:r>
      <w:r w:rsidR="00D23ECC">
        <w:t xml:space="preserve"> </w:t>
      </w:r>
      <w:r>
        <w:t>Minister</w:t>
      </w:r>
      <w:r w:rsidR="00D23ECC">
        <w:t xml:space="preserve"> </w:t>
      </w:r>
      <w:r>
        <w:t>for</w:t>
      </w:r>
      <w:r w:rsidR="00D23ECC">
        <w:t xml:space="preserve"> </w:t>
      </w:r>
      <w:r>
        <w:t>Early</w:t>
      </w:r>
      <w:r w:rsidR="00D23ECC">
        <w:t xml:space="preserve"> </w:t>
      </w:r>
      <w:r>
        <w:t>Childhood,</w:t>
      </w:r>
      <w:r w:rsidR="00D23ECC">
        <w:t xml:space="preserve"> </w:t>
      </w:r>
      <w:r>
        <w:t>the</w:t>
      </w:r>
      <w:r w:rsidR="00D23ECC">
        <w:t xml:space="preserve"> </w:t>
      </w:r>
      <w:r>
        <w:t>Minister</w:t>
      </w:r>
      <w:r w:rsidR="00D23ECC">
        <w:t xml:space="preserve"> </w:t>
      </w:r>
      <w:r>
        <w:t>for</w:t>
      </w:r>
      <w:r w:rsidR="00D23ECC">
        <w:t xml:space="preserve"> </w:t>
      </w:r>
      <w:r>
        <w:t>Education,</w:t>
      </w:r>
      <w:r w:rsidR="00D23ECC">
        <w:t xml:space="preserve"> </w:t>
      </w:r>
      <w:r>
        <w:t>the</w:t>
      </w:r>
      <w:r w:rsidR="00D23ECC">
        <w:t xml:space="preserve"> </w:t>
      </w:r>
      <w:r>
        <w:t>Minister</w:t>
      </w:r>
      <w:r w:rsidR="00D23ECC">
        <w:t xml:space="preserve"> </w:t>
      </w:r>
      <w:r>
        <w:t>for</w:t>
      </w:r>
      <w:r w:rsidR="00D23ECC">
        <w:t xml:space="preserve"> </w:t>
      </w:r>
      <w:r>
        <w:t>Energy,</w:t>
      </w:r>
      <w:r w:rsidR="00D23ECC">
        <w:t xml:space="preserve"> </w:t>
      </w:r>
      <w:r>
        <w:t>Environment</w:t>
      </w:r>
      <w:r w:rsidR="00D23ECC">
        <w:t xml:space="preserve"> </w:t>
      </w:r>
      <w:r>
        <w:t>and</w:t>
      </w:r>
      <w:r w:rsidR="00D23ECC">
        <w:t xml:space="preserve"> </w:t>
      </w:r>
      <w:r>
        <w:t>Climate</w:t>
      </w:r>
      <w:r w:rsidR="00D23ECC">
        <w:t xml:space="preserve"> </w:t>
      </w:r>
      <w:r>
        <w:t>Change,</w:t>
      </w:r>
      <w:r w:rsidR="00D23ECC">
        <w:t xml:space="preserve"> </w:t>
      </w:r>
      <w:r>
        <w:t>the</w:t>
      </w:r>
      <w:r w:rsidR="00D23ECC">
        <w:t xml:space="preserve"> </w:t>
      </w:r>
      <w:r>
        <w:t>Minister</w:t>
      </w:r>
      <w:r w:rsidR="00D23ECC">
        <w:t xml:space="preserve"> </w:t>
      </w:r>
      <w:r>
        <w:t>for</w:t>
      </w:r>
      <w:r w:rsidR="00D23ECC">
        <w:t xml:space="preserve"> </w:t>
      </w:r>
      <w:r>
        <w:t>Health,</w:t>
      </w:r>
      <w:r w:rsidR="00D23ECC">
        <w:t xml:space="preserve"> </w:t>
      </w:r>
      <w:r>
        <w:t>the</w:t>
      </w:r>
      <w:r w:rsidR="00D23ECC">
        <w:t xml:space="preserve"> </w:t>
      </w:r>
      <w:r>
        <w:t>Minister</w:t>
      </w:r>
      <w:r w:rsidR="00D23ECC">
        <w:t xml:space="preserve"> </w:t>
      </w:r>
      <w:r>
        <w:t>for</w:t>
      </w:r>
      <w:r w:rsidR="00D23ECC">
        <w:t xml:space="preserve"> </w:t>
      </w:r>
      <w:r>
        <w:t>Housing,</w:t>
      </w:r>
      <w:r w:rsidR="00D23ECC">
        <w:t xml:space="preserve"> </w:t>
      </w:r>
      <w:r>
        <w:t>the</w:t>
      </w:r>
      <w:r w:rsidR="00D23ECC">
        <w:t xml:space="preserve"> </w:t>
      </w:r>
      <w:r>
        <w:t>Minister</w:t>
      </w:r>
      <w:r w:rsidR="00D23ECC">
        <w:t xml:space="preserve"> </w:t>
      </w:r>
      <w:r>
        <w:t>for</w:t>
      </w:r>
      <w:r w:rsidR="00D23ECC">
        <w:t xml:space="preserve"> </w:t>
      </w:r>
      <w:r>
        <w:t>Industry</w:t>
      </w:r>
      <w:r w:rsidR="00D23ECC">
        <w:t xml:space="preserve"> </w:t>
      </w:r>
      <w:r>
        <w:t>Support</w:t>
      </w:r>
      <w:r w:rsidR="00D23ECC">
        <w:t xml:space="preserve"> </w:t>
      </w:r>
      <w:r>
        <w:t>and</w:t>
      </w:r>
      <w:r w:rsidR="00D23ECC">
        <w:t xml:space="preserve"> </w:t>
      </w:r>
      <w:r>
        <w:t>Recovery,</w:t>
      </w:r>
      <w:r w:rsidR="00D23ECC">
        <w:t xml:space="preserve"> </w:t>
      </w:r>
      <w:r>
        <w:t>the</w:t>
      </w:r>
      <w:r w:rsidR="00D23ECC">
        <w:t xml:space="preserve"> </w:t>
      </w:r>
      <w:r>
        <w:t>Minister</w:t>
      </w:r>
      <w:r w:rsidR="00D23ECC">
        <w:t xml:space="preserve"> </w:t>
      </w:r>
      <w:r>
        <w:t>for</w:t>
      </w:r>
      <w:r w:rsidR="00D23ECC">
        <w:t xml:space="preserve"> </w:t>
      </w:r>
      <w:r>
        <w:t>Local</w:t>
      </w:r>
      <w:r w:rsidR="00D23ECC">
        <w:t xml:space="preserve"> </w:t>
      </w:r>
      <w:r>
        <w:t>Government,</w:t>
      </w:r>
      <w:r w:rsidR="00D23ECC">
        <w:t xml:space="preserve"> </w:t>
      </w:r>
      <w:r>
        <w:t>the</w:t>
      </w:r>
      <w:r w:rsidR="00D23ECC">
        <w:t xml:space="preserve"> </w:t>
      </w:r>
      <w:r>
        <w:t>Minister</w:t>
      </w:r>
      <w:r w:rsidR="00D23ECC">
        <w:t xml:space="preserve"> </w:t>
      </w:r>
      <w:r>
        <w:t>for</w:t>
      </w:r>
      <w:r w:rsidR="00D23ECC">
        <w:t xml:space="preserve"> </w:t>
      </w:r>
      <w:r>
        <w:t>Planning,</w:t>
      </w:r>
      <w:r w:rsidR="00D23ECC">
        <w:t xml:space="preserve"> </w:t>
      </w:r>
      <w:r>
        <w:t>the</w:t>
      </w:r>
      <w:r w:rsidR="00D23ECC">
        <w:t xml:space="preserve"> </w:t>
      </w:r>
      <w:r>
        <w:t>Minister</w:t>
      </w:r>
      <w:r w:rsidR="00D23ECC">
        <w:t xml:space="preserve"> </w:t>
      </w:r>
      <w:r>
        <w:t>for</w:t>
      </w:r>
      <w:r w:rsidR="00D23ECC">
        <w:t xml:space="preserve"> </w:t>
      </w:r>
      <w:r>
        <w:t>Police</w:t>
      </w:r>
      <w:r w:rsidR="00D23ECC">
        <w:t xml:space="preserve"> </w:t>
      </w:r>
      <w:r>
        <w:t>and</w:t>
      </w:r>
      <w:r w:rsidR="00D23ECC">
        <w:t xml:space="preserve"> </w:t>
      </w:r>
      <w:r>
        <w:t>Emergency</w:t>
      </w:r>
      <w:r w:rsidR="00D23ECC">
        <w:t xml:space="preserve"> </w:t>
      </w:r>
      <w:r>
        <w:t>Services,</w:t>
      </w:r>
      <w:r w:rsidR="00D23ECC">
        <w:t xml:space="preserve"> </w:t>
      </w:r>
      <w:r>
        <w:t>the</w:t>
      </w:r>
      <w:r w:rsidR="00D23ECC">
        <w:t xml:space="preserve"> </w:t>
      </w:r>
      <w:r>
        <w:t>Minister</w:t>
      </w:r>
      <w:r w:rsidR="00D23ECC">
        <w:t xml:space="preserve"> </w:t>
      </w:r>
      <w:r>
        <w:t>for</w:t>
      </w:r>
      <w:r w:rsidR="00D23ECC">
        <w:t xml:space="preserve"> </w:t>
      </w:r>
      <w:r>
        <w:t>Small</w:t>
      </w:r>
      <w:r w:rsidR="00D23ECC">
        <w:t xml:space="preserve"> </w:t>
      </w:r>
      <w:r>
        <w:t>Business,</w:t>
      </w:r>
      <w:r w:rsidR="00D23ECC">
        <w:t xml:space="preserve"> </w:t>
      </w:r>
      <w:r>
        <w:t>the</w:t>
      </w:r>
      <w:r w:rsidR="00D23ECC">
        <w:t xml:space="preserve"> </w:t>
      </w:r>
      <w:r>
        <w:t>Minister</w:t>
      </w:r>
      <w:r w:rsidR="00D23ECC">
        <w:t xml:space="preserve"> </w:t>
      </w:r>
      <w:r>
        <w:t>for</w:t>
      </w:r>
      <w:r w:rsidR="00D23ECC">
        <w:t xml:space="preserve"> </w:t>
      </w:r>
      <w:r>
        <w:t>Training</w:t>
      </w:r>
      <w:r w:rsidR="00D23ECC">
        <w:t xml:space="preserve"> </w:t>
      </w:r>
      <w:r>
        <w:t>and</w:t>
      </w:r>
      <w:r w:rsidR="00D23ECC">
        <w:t xml:space="preserve"> </w:t>
      </w:r>
      <w:r>
        <w:t>Skills,</w:t>
      </w:r>
      <w:r w:rsidR="00D23ECC">
        <w:t xml:space="preserve"> </w:t>
      </w:r>
      <w:r>
        <w:t>the</w:t>
      </w:r>
      <w:r w:rsidR="00D23ECC">
        <w:t xml:space="preserve"> </w:t>
      </w:r>
      <w:r>
        <w:t>Minister</w:t>
      </w:r>
      <w:r w:rsidR="00D23ECC">
        <w:t xml:space="preserve"> </w:t>
      </w:r>
      <w:r>
        <w:t>for</w:t>
      </w:r>
      <w:r w:rsidR="00D23ECC">
        <w:t xml:space="preserve"> </w:t>
      </w:r>
      <w:r>
        <w:t>Victim</w:t>
      </w:r>
      <w:r w:rsidR="00D23ECC">
        <w:t xml:space="preserve"> </w:t>
      </w:r>
      <w:r>
        <w:t>Support,</w:t>
      </w:r>
      <w:r w:rsidR="00D23ECC">
        <w:t xml:space="preserve"> </w:t>
      </w:r>
      <w:r>
        <w:t>the</w:t>
      </w:r>
      <w:r w:rsidR="00D23ECC">
        <w:t xml:space="preserve"> </w:t>
      </w:r>
      <w:r>
        <w:t>Minister</w:t>
      </w:r>
      <w:r w:rsidR="00D23ECC">
        <w:t xml:space="preserve"> </w:t>
      </w:r>
      <w:r>
        <w:t>for</w:t>
      </w:r>
      <w:r w:rsidR="00D23ECC">
        <w:t xml:space="preserve"> </w:t>
      </w:r>
      <w:r>
        <w:t>Workplace</w:t>
      </w:r>
      <w:r w:rsidR="00D23ECC">
        <w:t xml:space="preserve"> </w:t>
      </w:r>
      <w:r>
        <w:t>Safety,</w:t>
      </w:r>
      <w:r w:rsidR="00D23ECC">
        <w:t xml:space="preserve"> </w:t>
      </w:r>
      <w:r>
        <w:t>the</w:t>
      </w:r>
      <w:r w:rsidR="00D23ECC">
        <w:t xml:space="preserve"> </w:t>
      </w:r>
      <w:r>
        <w:t>Minister</w:t>
      </w:r>
      <w:r w:rsidR="00D23ECC">
        <w:t xml:space="preserve"> </w:t>
      </w:r>
      <w:r>
        <w:t>for</w:t>
      </w:r>
      <w:r w:rsidR="00D23ECC">
        <w:t xml:space="preserve"> </w:t>
      </w:r>
      <w:r>
        <w:t>Youth</w:t>
      </w:r>
      <w:r w:rsidR="00D23ECC">
        <w:t xml:space="preserve"> </w:t>
      </w:r>
      <w:r>
        <w:t>Justice</w:t>
      </w:r>
      <w:r w:rsidR="00D23ECC">
        <w:t xml:space="preserve"> </w:t>
      </w:r>
      <w:r>
        <w:t>and</w:t>
      </w:r>
      <w:r w:rsidR="00D23ECC">
        <w:t xml:space="preserve"> </w:t>
      </w:r>
      <w:r>
        <w:t>the</w:t>
      </w:r>
      <w:r w:rsidR="00D23ECC">
        <w:t xml:space="preserve"> </w:t>
      </w:r>
      <w:r>
        <w:t>Premier.</w:t>
      </w:r>
    </w:p>
    <w:p w14:paraId="69033A3C" w14:textId="3C493ADE" w:rsidR="00DE3B0D" w:rsidRPr="00ED78BD" w:rsidRDefault="00DE3B0D" w:rsidP="00D23ECC">
      <w:pPr>
        <w:pStyle w:val="BodyText"/>
        <w:rPr>
          <w:rStyle w:val="Emphasis"/>
        </w:rPr>
      </w:pPr>
      <w:r w:rsidRPr="00ED78BD">
        <w:rPr>
          <w:rStyle w:val="Emphasis"/>
        </w:rPr>
        <w:t>Credit</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1984</w:t>
      </w:r>
    </w:p>
    <w:p w14:paraId="3BDDF2ED" w14:textId="30630BAC" w:rsidR="00DE3B0D" w:rsidRPr="00ED78BD" w:rsidRDefault="00DE3B0D" w:rsidP="00D23ECC">
      <w:pPr>
        <w:pStyle w:val="BodyText"/>
        <w:rPr>
          <w:rStyle w:val="Emphasis"/>
        </w:rPr>
      </w:pPr>
      <w:r w:rsidRPr="00ED78BD">
        <w:rPr>
          <w:rStyle w:val="Emphasis"/>
        </w:rPr>
        <w:t>Credit</w:t>
      </w:r>
      <w:r w:rsidR="00D23ECC" w:rsidRPr="00ED78BD">
        <w:rPr>
          <w:rStyle w:val="Emphasis"/>
        </w:rPr>
        <w:t xml:space="preserve"> </w:t>
      </w:r>
      <w:r w:rsidRPr="00ED78BD">
        <w:rPr>
          <w:rStyle w:val="Emphasis"/>
        </w:rPr>
        <w:t>(Administration)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1984</w:t>
      </w:r>
    </w:p>
    <w:p w14:paraId="4CBD53DA" w14:textId="072A7313" w:rsidR="00DE3B0D" w:rsidRPr="00ED78BD" w:rsidRDefault="00DE3B0D" w:rsidP="00D23ECC">
      <w:pPr>
        <w:pStyle w:val="BodyText"/>
        <w:rPr>
          <w:rStyle w:val="Emphasis"/>
        </w:rPr>
      </w:pPr>
      <w:r w:rsidRPr="00ED78BD">
        <w:rPr>
          <w:rStyle w:val="Emphasis"/>
        </w:rPr>
        <w:t>Credit</w:t>
      </w:r>
      <w:r w:rsidR="00D23ECC" w:rsidRPr="00ED78BD">
        <w:rPr>
          <w:rStyle w:val="Emphasis"/>
        </w:rPr>
        <w:t xml:space="preserve"> </w:t>
      </w:r>
      <w:r w:rsidRPr="00ED78BD">
        <w:rPr>
          <w:rStyle w:val="Emphasis"/>
        </w:rPr>
        <w:t>(Commonwealth</w:t>
      </w:r>
      <w:r w:rsidR="00D23ECC" w:rsidRPr="00ED78BD">
        <w:rPr>
          <w:rStyle w:val="Emphasis"/>
        </w:rPr>
        <w:t xml:space="preserve"> </w:t>
      </w:r>
      <w:r w:rsidRPr="00ED78BD">
        <w:rPr>
          <w:rStyle w:val="Emphasis"/>
        </w:rPr>
        <w:t>Powers)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2010</w:t>
      </w:r>
    </w:p>
    <w:p w14:paraId="16469F4D" w14:textId="1C47371A" w:rsidR="00DE3B0D" w:rsidRDefault="00DE3B0D" w:rsidP="00D23ECC">
      <w:pPr>
        <w:pStyle w:val="BodyText"/>
      </w:pPr>
      <w:r w:rsidRPr="00ED78BD">
        <w:rPr>
          <w:rStyle w:val="Emphasis"/>
        </w:rPr>
        <w:t>Domestic</w:t>
      </w:r>
      <w:r w:rsidR="00D23ECC" w:rsidRPr="00ED78BD">
        <w:rPr>
          <w:rStyle w:val="Emphasis"/>
        </w:rPr>
        <w:t xml:space="preserve"> </w:t>
      </w:r>
      <w:r w:rsidRPr="00ED78BD">
        <w:rPr>
          <w:rStyle w:val="Emphasis"/>
        </w:rPr>
        <w:t>Building</w:t>
      </w:r>
      <w:r w:rsidR="00D23ECC" w:rsidRPr="00ED78BD">
        <w:rPr>
          <w:rStyle w:val="Emphasis"/>
        </w:rPr>
        <w:t xml:space="preserve"> </w:t>
      </w:r>
      <w:r w:rsidRPr="00ED78BD">
        <w:rPr>
          <w:rStyle w:val="Emphasis"/>
        </w:rPr>
        <w:t>Contracts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1995</w:t>
      </w:r>
      <w:r w:rsidR="00D23ECC">
        <w:t xml:space="preserve"> </w:t>
      </w:r>
      <w:r>
        <w:t>–</w:t>
      </w:r>
      <w:r w:rsidR="00D23ECC">
        <w:t xml:space="preserve"> </w:t>
      </w:r>
      <w:r>
        <w:t>except</w:t>
      </w:r>
      <w:r w:rsidR="00D23ECC">
        <w:t xml:space="preserve"> </w:t>
      </w:r>
      <w:r>
        <w:t>Part</w:t>
      </w:r>
      <w:r w:rsidR="00D23ECC">
        <w:t xml:space="preserve"> </w:t>
      </w:r>
      <w:r>
        <w:t>5</w:t>
      </w:r>
      <w:r w:rsidR="00D23ECC">
        <w:t xml:space="preserve"> </w:t>
      </w:r>
      <w:r>
        <w:t>(administered</w:t>
      </w:r>
      <w:r w:rsidR="00D23ECC">
        <w:t xml:space="preserve"> </w:t>
      </w:r>
      <w:r>
        <w:t>by</w:t>
      </w:r>
      <w:r w:rsidR="00D23ECC">
        <w:t xml:space="preserve"> </w:t>
      </w:r>
      <w:r>
        <w:t>the</w:t>
      </w:r>
      <w:r w:rsidR="00D23ECC">
        <w:t xml:space="preserve"> </w:t>
      </w:r>
      <w:r>
        <w:t>Attorney</w:t>
      </w:r>
      <w:r>
        <w:rPr>
          <w:rFonts w:ascii="Cambria Math" w:hAnsi="Cambria Math" w:cs="Cambria Math"/>
        </w:rPr>
        <w:t>‑</w:t>
      </w:r>
      <w:r>
        <w:t>General)</w:t>
      </w:r>
    </w:p>
    <w:p w14:paraId="2E59FCEE" w14:textId="730D6D18" w:rsidR="00DE3B0D" w:rsidRPr="00ED78BD" w:rsidRDefault="00DE3B0D" w:rsidP="00D23ECC">
      <w:pPr>
        <w:pStyle w:val="BodyText"/>
        <w:rPr>
          <w:rStyle w:val="Emphasis"/>
        </w:rPr>
      </w:pPr>
      <w:r w:rsidRPr="00ED78BD">
        <w:rPr>
          <w:rStyle w:val="Emphasis"/>
        </w:rPr>
        <w:t>Estate</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1980</w:t>
      </w:r>
    </w:p>
    <w:p w14:paraId="4D48F387" w14:textId="04D822DE" w:rsidR="00DE3B0D" w:rsidRPr="00ED78BD" w:rsidRDefault="00DE3B0D" w:rsidP="00D23ECC">
      <w:pPr>
        <w:pStyle w:val="BodyText"/>
        <w:rPr>
          <w:rStyle w:val="Emphasis"/>
        </w:rPr>
      </w:pPr>
      <w:r w:rsidRPr="00ED78BD">
        <w:rPr>
          <w:rStyle w:val="Emphasis"/>
        </w:rPr>
        <w:t>Fundraising</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1998</w:t>
      </w:r>
    </w:p>
    <w:p w14:paraId="02B35D4F" w14:textId="03ADD74C" w:rsidR="00DE3B0D" w:rsidRPr="00ED78BD" w:rsidRDefault="00DE3B0D" w:rsidP="00D23ECC">
      <w:pPr>
        <w:pStyle w:val="BodyText"/>
        <w:rPr>
          <w:rStyle w:val="Emphasis"/>
        </w:rPr>
      </w:pPr>
      <w:r w:rsidRPr="00ED78BD">
        <w:rPr>
          <w:rStyle w:val="Emphasis"/>
        </w:rPr>
        <w:t>Funerals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2006</w:t>
      </w:r>
    </w:p>
    <w:p w14:paraId="360F5C51" w14:textId="0FD2BD8E" w:rsidR="00DE3B0D" w:rsidRPr="00ED78BD" w:rsidRDefault="00DE3B0D" w:rsidP="00D23ECC">
      <w:pPr>
        <w:pStyle w:val="BodyText"/>
        <w:rPr>
          <w:rStyle w:val="Emphasis"/>
        </w:rPr>
      </w:pPr>
      <w:r w:rsidRPr="00ED78BD">
        <w:rPr>
          <w:rStyle w:val="Emphasis"/>
        </w:rPr>
        <w:t>Goods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1958</w:t>
      </w:r>
    </w:p>
    <w:p w14:paraId="0655673F" w14:textId="47B72B55" w:rsidR="00DE3B0D" w:rsidRPr="00ED78BD" w:rsidRDefault="00DE3B0D" w:rsidP="00D23ECC">
      <w:pPr>
        <w:pStyle w:val="BodyText"/>
        <w:rPr>
          <w:rStyle w:val="Emphasis"/>
        </w:rPr>
      </w:pPr>
      <w:r w:rsidRPr="00ED78BD">
        <w:rPr>
          <w:rStyle w:val="Emphasis"/>
        </w:rPr>
        <w:t>Motor</w:t>
      </w:r>
      <w:r w:rsidR="00D23ECC" w:rsidRPr="00ED78BD">
        <w:rPr>
          <w:rStyle w:val="Emphasis"/>
        </w:rPr>
        <w:t xml:space="preserve"> </w:t>
      </w:r>
      <w:r w:rsidRPr="00ED78BD">
        <w:rPr>
          <w:rStyle w:val="Emphasis"/>
        </w:rPr>
        <w:t>Car</w:t>
      </w:r>
      <w:r w:rsidR="00D23ECC" w:rsidRPr="00ED78BD">
        <w:rPr>
          <w:rStyle w:val="Emphasis"/>
        </w:rPr>
        <w:t xml:space="preserve"> </w:t>
      </w:r>
      <w:r w:rsidRPr="00ED78BD">
        <w:rPr>
          <w:rStyle w:val="Emphasis"/>
        </w:rPr>
        <w:t>Traders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p w14:paraId="1566A1DF" w14:textId="5F50FE62" w:rsidR="00DE3B0D" w:rsidRPr="00ED78BD" w:rsidRDefault="00DE3B0D" w:rsidP="00D23ECC">
      <w:pPr>
        <w:pStyle w:val="BodyText"/>
        <w:rPr>
          <w:rStyle w:val="Emphasis"/>
        </w:rPr>
      </w:pPr>
      <w:r w:rsidRPr="00ED78BD">
        <w:rPr>
          <w:rStyle w:val="Emphasis"/>
        </w:rPr>
        <w:t>Owners</w:t>
      </w:r>
      <w:r w:rsidR="00D23ECC" w:rsidRPr="00ED78BD">
        <w:rPr>
          <w:rStyle w:val="Emphasis"/>
        </w:rPr>
        <w:t xml:space="preserve"> </w:t>
      </w:r>
      <w:r w:rsidRPr="00ED78BD">
        <w:rPr>
          <w:rStyle w:val="Emphasis"/>
        </w:rPr>
        <w:t>Corporations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2006</w:t>
      </w:r>
    </w:p>
    <w:p w14:paraId="1D5CB484" w14:textId="4BCD2ACC" w:rsidR="00DE3B0D" w:rsidRPr="00ED78BD" w:rsidRDefault="00DE3B0D" w:rsidP="00D23ECC">
      <w:pPr>
        <w:pStyle w:val="BodyText"/>
        <w:rPr>
          <w:rStyle w:val="Emphasis"/>
        </w:rPr>
      </w:pPr>
      <w:r w:rsidRPr="00ED78BD">
        <w:rPr>
          <w:rStyle w:val="Emphasis"/>
        </w:rPr>
        <w:lastRenderedPageBreak/>
        <w:t>Partnership</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1958</w:t>
      </w:r>
    </w:p>
    <w:p w14:paraId="0885F0E4" w14:textId="2946DA92" w:rsidR="00DE3B0D" w:rsidRPr="00ED78BD" w:rsidRDefault="00DE3B0D" w:rsidP="00D23ECC">
      <w:pPr>
        <w:pStyle w:val="BodyText"/>
        <w:rPr>
          <w:rStyle w:val="Emphasis"/>
        </w:rPr>
      </w:pPr>
      <w:r w:rsidRPr="00ED78BD">
        <w:rPr>
          <w:rStyle w:val="Emphasis"/>
        </w:rPr>
        <w:t>Professional</w:t>
      </w:r>
      <w:r w:rsidR="00D23ECC" w:rsidRPr="00ED78BD">
        <w:rPr>
          <w:rStyle w:val="Emphasis"/>
        </w:rPr>
        <w:t xml:space="preserve"> </w:t>
      </w:r>
      <w:r w:rsidRPr="00ED78BD">
        <w:rPr>
          <w:rStyle w:val="Emphasis"/>
        </w:rPr>
        <w:t>Engineers</w:t>
      </w:r>
      <w:r w:rsidR="00D23ECC" w:rsidRPr="00ED78BD">
        <w:rPr>
          <w:rStyle w:val="Emphasis"/>
        </w:rPr>
        <w:t xml:space="preserve"> </w:t>
      </w:r>
      <w:r w:rsidRPr="00ED78BD">
        <w:rPr>
          <w:rStyle w:val="Emphasis"/>
        </w:rPr>
        <w:t>Registration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2019</w:t>
      </w:r>
    </w:p>
    <w:p w14:paraId="15771281" w14:textId="06BCFF27" w:rsidR="00DE3B0D" w:rsidRPr="00ED78BD" w:rsidRDefault="00DE3B0D" w:rsidP="00D23ECC">
      <w:pPr>
        <w:pStyle w:val="BodyText"/>
        <w:rPr>
          <w:rStyle w:val="Emphasis"/>
        </w:rPr>
      </w:pPr>
      <w:r w:rsidRPr="00ED78BD">
        <w:rPr>
          <w:rStyle w:val="Emphasis"/>
        </w:rPr>
        <w:t>Residential</w:t>
      </w:r>
      <w:r w:rsidR="00D23ECC" w:rsidRPr="00ED78BD">
        <w:rPr>
          <w:rStyle w:val="Emphasis"/>
        </w:rPr>
        <w:t xml:space="preserve"> </w:t>
      </w:r>
      <w:r w:rsidRPr="00ED78BD">
        <w:rPr>
          <w:rStyle w:val="Emphasis"/>
        </w:rPr>
        <w:t>Tenancies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1997:</w:t>
      </w:r>
    </w:p>
    <w:p w14:paraId="140D90C5" w14:textId="446EC0EE" w:rsidR="00DE3B0D" w:rsidRDefault="00DE3B0D" w:rsidP="004842F6">
      <w:pPr>
        <w:pStyle w:val="ListBullet"/>
        <w:ind w:left="714"/>
      </w:pPr>
      <w:r>
        <w:t>Sections</w:t>
      </w:r>
      <w:r w:rsidR="00D23ECC">
        <w:t xml:space="preserve"> </w:t>
      </w:r>
      <w:r>
        <w:t>23A-25,</w:t>
      </w:r>
      <w:r w:rsidR="00D23ECC">
        <w:t xml:space="preserve"> </w:t>
      </w:r>
      <w:r>
        <w:t>27,</w:t>
      </w:r>
      <w:r w:rsidR="00D23ECC">
        <w:t xml:space="preserve"> </w:t>
      </w:r>
      <w:r>
        <w:t>32,</w:t>
      </w:r>
      <w:r w:rsidR="00D23ECC">
        <w:t xml:space="preserve"> </w:t>
      </w:r>
      <w:r>
        <w:t>33,</w:t>
      </w:r>
      <w:r w:rsidR="00D23ECC">
        <w:t xml:space="preserve"> </w:t>
      </w:r>
      <w:r>
        <w:t>45–48,</w:t>
      </w:r>
      <w:r w:rsidR="00D23ECC">
        <w:t xml:space="preserve"> </w:t>
      </w:r>
      <w:r>
        <w:t>74–77,</w:t>
      </w:r>
      <w:r w:rsidR="00D23ECC">
        <w:t xml:space="preserve"> </w:t>
      </w:r>
      <w:r>
        <w:t>82,</w:t>
      </w:r>
      <w:r w:rsidR="00D23ECC">
        <w:t xml:space="preserve"> </w:t>
      </w:r>
      <w:r>
        <w:t>90,</w:t>
      </w:r>
      <w:r w:rsidR="00D23ECC">
        <w:t xml:space="preserve"> </w:t>
      </w:r>
      <w:r>
        <w:t>91,</w:t>
      </w:r>
      <w:r w:rsidR="00D23ECC">
        <w:t xml:space="preserve"> </w:t>
      </w:r>
      <w:r>
        <w:t>91A,</w:t>
      </w:r>
      <w:r w:rsidR="00D23ECC">
        <w:t xml:space="preserve"> </w:t>
      </w:r>
      <w:r>
        <w:t>102,</w:t>
      </w:r>
      <w:r w:rsidR="00D23ECC">
        <w:t xml:space="preserve"> </w:t>
      </w:r>
      <w:r>
        <w:t>102A,</w:t>
      </w:r>
      <w:r w:rsidR="00D23ECC">
        <w:t xml:space="preserve"> </w:t>
      </w:r>
      <w:r>
        <w:t>103,</w:t>
      </w:r>
      <w:r w:rsidR="00D23ECC">
        <w:t xml:space="preserve"> </w:t>
      </w:r>
      <w:r>
        <w:t>104(1),</w:t>
      </w:r>
      <w:r w:rsidR="00D23ECC">
        <w:t xml:space="preserve"> </w:t>
      </w:r>
      <w:r>
        <w:t>104(4),</w:t>
      </w:r>
      <w:r w:rsidR="00D23ECC">
        <w:t xml:space="preserve"> </w:t>
      </w:r>
      <w:r>
        <w:t>104(5),</w:t>
      </w:r>
      <w:r w:rsidR="00D23ECC">
        <w:t xml:space="preserve"> </w:t>
      </w:r>
      <w:r>
        <w:t>104(6),</w:t>
      </w:r>
      <w:r w:rsidR="00D23ECC">
        <w:t xml:space="preserve"> </w:t>
      </w:r>
      <w:r>
        <w:t>105(2),</w:t>
      </w:r>
      <w:r w:rsidR="00D23ECC">
        <w:t xml:space="preserve"> </w:t>
      </w:r>
      <w:r>
        <w:t>105(2A),</w:t>
      </w:r>
      <w:r w:rsidR="00D23ECC">
        <w:t xml:space="preserve"> </w:t>
      </w:r>
      <w:r>
        <w:t>105(3),</w:t>
      </w:r>
      <w:r w:rsidR="00D23ECC">
        <w:t xml:space="preserve"> </w:t>
      </w:r>
      <w:r>
        <w:t>124,</w:t>
      </w:r>
      <w:r w:rsidR="00D23ECC">
        <w:t xml:space="preserve"> </w:t>
      </w:r>
      <w:r>
        <w:t>128,</w:t>
      </w:r>
      <w:r w:rsidR="00D23ECC">
        <w:t xml:space="preserve"> </w:t>
      </w:r>
      <w:r>
        <w:t>130–134,</w:t>
      </w:r>
      <w:r w:rsidR="00D23ECC">
        <w:t xml:space="preserve"> </w:t>
      </w:r>
      <w:r>
        <w:t>141–142B,</w:t>
      </w:r>
      <w:r w:rsidR="00D23ECC">
        <w:t xml:space="preserve"> </w:t>
      </w:r>
      <w:r>
        <w:t>142D-212,</w:t>
      </w:r>
      <w:r w:rsidR="00D23ECC">
        <w:t xml:space="preserve"> </w:t>
      </w:r>
      <w:r>
        <w:t>213AA-215,</w:t>
      </w:r>
      <w:r w:rsidR="00D23ECC">
        <w:t xml:space="preserve"> </w:t>
      </w:r>
      <w:r>
        <w:t>230,</w:t>
      </w:r>
      <w:r w:rsidR="00D23ECC">
        <w:t xml:space="preserve"> </w:t>
      </w:r>
      <w:r>
        <w:t>232–234,</w:t>
      </w:r>
      <w:r w:rsidR="00D23ECC">
        <w:t xml:space="preserve"> </w:t>
      </w:r>
      <w:r>
        <w:t>241,</w:t>
      </w:r>
      <w:r w:rsidR="00D23ECC">
        <w:t xml:space="preserve"> </w:t>
      </w:r>
      <w:r>
        <w:t>277,</w:t>
      </w:r>
      <w:r w:rsidR="00D23ECC">
        <w:t xml:space="preserve"> </w:t>
      </w:r>
      <w:r>
        <w:t>289A,</w:t>
      </w:r>
      <w:r w:rsidR="00D23ECC">
        <w:t xml:space="preserve"> </w:t>
      </w:r>
      <w:r>
        <w:t>291–327,</w:t>
      </w:r>
      <w:r w:rsidR="00D23ECC">
        <w:t xml:space="preserve"> </w:t>
      </w:r>
      <w:r>
        <w:t>329–333,</w:t>
      </w:r>
      <w:r w:rsidR="00D23ECC">
        <w:t xml:space="preserve"> </w:t>
      </w:r>
      <w:r>
        <w:t>335–339,</w:t>
      </w:r>
      <w:r w:rsidR="00D23ECC">
        <w:t xml:space="preserve"> </w:t>
      </w:r>
      <w:r>
        <w:t>341,</w:t>
      </w:r>
      <w:r w:rsidR="00D23ECC">
        <w:t xml:space="preserve"> </w:t>
      </w:r>
      <w:r>
        <w:t>343–366,</w:t>
      </w:r>
      <w:r w:rsidR="00D23ECC">
        <w:t xml:space="preserve"> </w:t>
      </w:r>
      <w:r>
        <w:t>373–376,</w:t>
      </w:r>
      <w:r w:rsidR="00D23ECC">
        <w:t xml:space="preserve"> </w:t>
      </w:r>
      <w:r>
        <w:t>385,</w:t>
      </w:r>
      <w:r w:rsidR="00D23ECC">
        <w:t xml:space="preserve"> </w:t>
      </w:r>
      <w:r>
        <w:t>388,</w:t>
      </w:r>
      <w:r w:rsidR="00D23ECC">
        <w:t xml:space="preserve"> </w:t>
      </w:r>
      <w:r>
        <w:t>388A,</w:t>
      </w:r>
      <w:r w:rsidR="00D23ECC">
        <w:t xml:space="preserve"> </w:t>
      </w:r>
      <w:r>
        <w:t>390,</w:t>
      </w:r>
      <w:r w:rsidR="00D23ECC">
        <w:t xml:space="preserve"> </w:t>
      </w:r>
      <w:r>
        <w:t>390A,</w:t>
      </w:r>
      <w:r w:rsidR="00D23ECC">
        <w:t xml:space="preserve"> </w:t>
      </w:r>
      <w:r>
        <w:t>395–398,</w:t>
      </w:r>
      <w:r w:rsidR="00D23ECC">
        <w:t xml:space="preserve"> </w:t>
      </w:r>
      <w:r>
        <w:t>399A-439M,</w:t>
      </w:r>
      <w:r w:rsidR="00D23ECC">
        <w:t xml:space="preserve"> </w:t>
      </w:r>
      <w:r>
        <w:t>480,</w:t>
      </w:r>
      <w:r w:rsidR="00D23ECC">
        <w:t xml:space="preserve"> </w:t>
      </w:r>
      <w:r>
        <w:t>486–499,</w:t>
      </w:r>
      <w:r w:rsidR="00D23ECC">
        <w:t xml:space="preserve"> </w:t>
      </w:r>
      <w:r>
        <w:t>501–504</w:t>
      </w:r>
      <w:r w:rsidR="00D23ECC">
        <w:t xml:space="preserve"> </w:t>
      </w:r>
      <w:r>
        <w:t>and</w:t>
      </w:r>
      <w:r w:rsidR="00D23ECC">
        <w:t xml:space="preserve"> </w:t>
      </w:r>
      <w:r>
        <w:t>505A-510C</w:t>
      </w:r>
    </w:p>
    <w:p w14:paraId="677787FE" w14:textId="272A478E" w:rsidR="00DE3B0D" w:rsidRDefault="00DE3B0D" w:rsidP="004842F6">
      <w:pPr>
        <w:pStyle w:val="ListBullet"/>
        <w:ind w:left="714"/>
      </w:pPr>
      <w:r>
        <w:t>Section</w:t>
      </w:r>
      <w:r w:rsidR="00D23ECC">
        <w:t xml:space="preserve"> </w:t>
      </w:r>
      <w:r>
        <w:t>66(1)</w:t>
      </w:r>
      <w:r w:rsidR="00D23ECC">
        <w:t xml:space="preserve"> </w:t>
      </w:r>
      <w:r>
        <w:t>(this</w:t>
      </w:r>
      <w:r w:rsidR="00D23ECC">
        <w:t xml:space="preserve"> </w:t>
      </w:r>
      <w:r>
        <w:t>section</w:t>
      </w:r>
      <w:r w:rsidR="00D23ECC">
        <w:t xml:space="preserve"> </w:t>
      </w:r>
      <w:r>
        <w:t>is</w:t>
      </w:r>
      <w:r w:rsidR="00D23ECC">
        <w:t xml:space="preserve"> </w:t>
      </w:r>
      <w:r>
        <w:t>jointly</w:t>
      </w:r>
      <w:r w:rsidR="00D23ECC">
        <w:t xml:space="preserve"> </w:t>
      </w:r>
      <w:r>
        <w:t>administered</w:t>
      </w:r>
      <w:r w:rsidR="00D23ECC">
        <w:t xml:space="preserve"> </w:t>
      </w:r>
      <w:r>
        <w:t>with</w:t>
      </w:r>
      <w:r w:rsidR="00D23ECC">
        <w:t xml:space="preserve"> </w:t>
      </w:r>
      <w:r>
        <w:t>the</w:t>
      </w:r>
      <w:r w:rsidR="00D23ECC">
        <w:t xml:space="preserve"> </w:t>
      </w:r>
      <w:r>
        <w:t>Minister</w:t>
      </w:r>
      <w:r w:rsidR="00D23ECC">
        <w:t xml:space="preserve"> </w:t>
      </w:r>
      <w:r>
        <w:t>for</w:t>
      </w:r>
      <w:r w:rsidR="00D23ECC">
        <w:t xml:space="preserve"> </w:t>
      </w:r>
      <w:r>
        <w:t>Housing)</w:t>
      </w:r>
    </w:p>
    <w:p w14:paraId="6FA8FE7A" w14:textId="222D042F" w:rsidR="00DE3B0D" w:rsidRDefault="00DE3B0D" w:rsidP="004842F6">
      <w:pPr>
        <w:pStyle w:val="ListBullet"/>
        <w:ind w:left="714"/>
      </w:pPr>
      <w:r>
        <w:t>Section</w:t>
      </w:r>
      <w:r w:rsidR="00D23ECC">
        <w:t xml:space="preserve"> </w:t>
      </w:r>
      <w:r>
        <w:t>142C</w:t>
      </w:r>
      <w:r w:rsidR="00D23ECC">
        <w:t xml:space="preserve"> </w:t>
      </w:r>
      <w:r>
        <w:t>(this</w:t>
      </w:r>
      <w:r w:rsidR="00D23ECC">
        <w:t xml:space="preserve"> </w:t>
      </w:r>
      <w:r>
        <w:t>section</w:t>
      </w:r>
      <w:r w:rsidR="00D23ECC">
        <w:t xml:space="preserve"> </w:t>
      </w:r>
      <w:r>
        <w:t>is</w:t>
      </w:r>
      <w:r w:rsidR="00D23ECC">
        <w:t xml:space="preserve"> </w:t>
      </w:r>
      <w:r>
        <w:t>jointly</w:t>
      </w:r>
      <w:r w:rsidR="00D23ECC">
        <w:t xml:space="preserve"> </w:t>
      </w:r>
      <w:r>
        <w:t>and</w:t>
      </w:r>
      <w:r w:rsidR="00D23ECC">
        <w:t xml:space="preserve"> </w:t>
      </w:r>
      <w:r>
        <w:t>severally</w:t>
      </w:r>
      <w:r w:rsidR="00D23ECC">
        <w:t xml:space="preserve"> </w:t>
      </w:r>
      <w:r>
        <w:t>administered</w:t>
      </w:r>
      <w:r w:rsidR="00D23ECC">
        <w:t xml:space="preserve"> </w:t>
      </w:r>
      <w:r>
        <w:t>with</w:t>
      </w:r>
      <w:r w:rsidR="00D23ECC">
        <w:t xml:space="preserve"> </w:t>
      </w:r>
      <w:r>
        <w:t>the</w:t>
      </w:r>
      <w:r w:rsidR="00D23ECC">
        <w:t xml:space="preserve"> </w:t>
      </w:r>
      <w:r>
        <w:t>Minister</w:t>
      </w:r>
      <w:r w:rsidR="00D23ECC">
        <w:t xml:space="preserve"> </w:t>
      </w:r>
      <w:r>
        <w:t>for</w:t>
      </w:r>
      <w:r w:rsidR="00D23ECC">
        <w:t xml:space="preserve"> </w:t>
      </w:r>
      <w:r>
        <w:t>Housing)</w:t>
      </w:r>
    </w:p>
    <w:p w14:paraId="41377B0B" w14:textId="3C2A32CD" w:rsidR="00DE3B0D" w:rsidRDefault="00DE3B0D" w:rsidP="004842F6">
      <w:pPr>
        <w:pStyle w:val="ListBullet"/>
        <w:ind w:left="714"/>
      </w:pPr>
      <w:r>
        <w:t>Part</w:t>
      </w:r>
      <w:r w:rsidR="00D23ECC">
        <w:t xml:space="preserve"> </w:t>
      </w:r>
      <w:r>
        <w:t>12A</w:t>
      </w:r>
      <w:r w:rsidR="00D23ECC">
        <w:t xml:space="preserve"> </w:t>
      </w:r>
      <w:r>
        <w:t>and</w:t>
      </w:r>
      <w:r w:rsidR="00D23ECC">
        <w:t xml:space="preserve"> </w:t>
      </w:r>
      <w:r>
        <w:t>section</w:t>
      </w:r>
      <w:r w:rsidR="00D23ECC">
        <w:t xml:space="preserve"> </w:t>
      </w:r>
      <w:r>
        <w:t>511</w:t>
      </w:r>
      <w:r w:rsidR="00D23ECC">
        <w:t xml:space="preserve"> </w:t>
      </w:r>
      <w:r>
        <w:t>(these</w:t>
      </w:r>
      <w:r w:rsidR="00D23ECC">
        <w:t xml:space="preserve"> </w:t>
      </w:r>
      <w:r>
        <w:t>provisions</w:t>
      </w:r>
      <w:r w:rsidR="00D23ECC">
        <w:t xml:space="preserve"> </w:t>
      </w:r>
      <w:r>
        <w:t>are</w:t>
      </w:r>
      <w:r w:rsidR="00D23ECC">
        <w:t xml:space="preserve"> </w:t>
      </w:r>
      <w:r>
        <w:t>jointly</w:t>
      </w:r>
      <w:r w:rsidR="00D23ECC">
        <w:t xml:space="preserve"> </w:t>
      </w:r>
      <w:r>
        <w:t>and</w:t>
      </w:r>
      <w:r w:rsidR="00D23ECC">
        <w:t xml:space="preserve"> </w:t>
      </w:r>
      <w:r>
        <w:t>severally</w:t>
      </w:r>
      <w:r w:rsidR="00D23ECC">
        <w:t xml:space="preserve"> </w:t>
      </w:r>
      <w:r>
        <w:t>administered</w:t>
      </w:r>
      <w:r w:rsidR="00D23ECC">
        <w:t xml:space="preserve"> </w:t>
      </w:r>
      <w:r>
        <w:t>with</w:t>
      </w:r>
      <w:r w:rsidR="00D23ECC">
        <w:t xml:space="preserve"> </w:t>
      </w:r>
      <w:r>
        <w:t>the</w:t>
      </w:r>
      <w:r w:rsidR="00D23ECC">
        <w:t xml:space="preserve"> </w:t>
      </w:r>
      <w:r>
        <w:t>Minister</w:t>
      </w:r>
      <w:r w:rsidR="00D23ECC">
        <w:t xml:space="preserve"> </w:t>
      </w:r>
      <w:r>
        <w:t>for</w:t>
      </w:r>
      <w:r w:rsidR="00D23ECC">
        <w:t xml:space="preserve"> </w:t>
      </w:r>
      <w:r>
        <w:t>Disability,</w:t>
      </w:r>
      <w:r w:rsidR="00D23ECC">
        <w:t xml:space="preserve"> </w:t>
      </w:r>
      <w:r>
        <w:t>Ageing</w:t>
      </w:r>
      <w:r w:rsidR="00D23ECC">
        <w:t xml:space="preserve"> </w:t>
      </w:r>
      <w:r>
        <w:t>and</w:t>
      </w:r>
      <w:r w:rsidR="00D23ECC">
        <w:t xml:space="preserve"> </w:t>
      </w:r>
      <w:r>
        <w:t>Carers</w:t>
      </w:r>
      <w:r w:rsidR="00D23ECC">
        <w:t xml:space="preserve"> </w:t>
      </w:r>
      <w:r>
        <w:t>and</w:t>
      </w:r>
      <w:r w:rsidR="00D23ECC">
        <w:t xml:space="preserve"> </w:t>
      </w:r>
      <w:r>
        <w:t>the</w:t>
      </w:r>
      <w:r w:rsidR="00D23ECC">
        <w:t xml:space="preserve"> </w:t>
      </w:r>
      <w:r>
        <w:t>Minister</w:t>
      </w:r>
      <w:r w:rsidR="00D23ECC">
        <w:t xml:space="preserve"> </w:t>
      </w:r>
      <w:r>
        <w:t>for</w:t>
      </w:r>
      <w:r w:rsidR="00D23ECC">
        <w:t xml:space="preserve"> </w:t>
      </w:r>
      <w:r>
        <w:t>Housing)</w:t>
      </w:r>
    </w:p>
    <w:p w14:paraId="08781E0E" w14:textId="3C8E6CBD" w:rsidR="00DE3B0D" w:rsidRDefault="00DE3B0D" w:rsidP="004842F6">
      <w:pPr>
        <w:pStyle w:val="ListBullet"/>
        <w:ind w:left="714"/>
      </w:pPr>
      <w:r>
        <w:t>Part</w:t>
      </w:r>
      <w:r w:rsidR="00D23ECC">
        <w:t xml:space="preserve"> </w:t>
      </w:r>
      <w:r>
        <w:t>16</w:t>
      </w:r>
      <w:r w:rsidR="00D23ECC">
        <w:t xml:space="preserve"> </w:t>
      </w:r>
      <w:r>
        <w:t>(this</w:t>
      </w:r>
      <w:r w:rsidR="00D23ECC">
        <w:t xml:space="preserve"> </w:t>
      </w:r>
      <w:r>
        <w:t>Part</w:t>
      </w:r>
      <w:r w:rsidR="00D23ECC">
        <w:t xml:space="preserve"> </w:t>
      </w:r>
      <w:r>
        <w:t>is</w:t>
      </w:r>
      <w:r w:rsidR="00D23ECC">
        <w:t xml:space="preserve"> </w:t>
      </w:r>
      <w:r>
        <w:t>jointly</w:t>
      </w:r>
      <w:r w:rsidR="00D23ECC">
        <w:t xml:space="preserve"> </w:t>
      </w:r>
      <w:r>
        <w:t>and</w:t>
      </w:r>
      <w:r w:rsidR="00D23ECC">
        <w:t xml:space="preserve"> </w:t>
      </w:r>
      <w:r>
        <w:t>severally</w:t>
      </w:r>
      <w:r w:rsidR="00D23ECC">
        <w:t xml:space="preserve"> </w:t>
      </w:r>
      <w:r>
        <w:t>administered</w:t>
      </w:r>
      <w:r w:rsidR="00D23ECC">
        <w:t xml:space="preserve"> </w:t>
      </w:r>
      <w:r>
        <w:t>with</w:t>
      </w:r>
      <w:r w:rsidR="00D23ECC">
        <w:t xml:space="preserve"> </w:t>
      </w:r>
      <w:r>
        <w:t>the</w:t>
      </w:r>
      <w:r w:rsidR="00D23ECC">
        <w:t xml:space="preserve"> </w:t>
      </w:r>
      <w:r>
        <w:t>Minister</w:t>
      </w:r>
      <w:r w:rsidR="00D23ECC">
        <w:t xml:space="preserve"> </w:t>
      </w:r>
      <w:r>
        <w:t>for</w:t>
      </w:r>
      <w:r w:rsidR="00D23ECC">
        <w:t xml:space="preserve"> </w:t>
      </w:r>
      <w:r>
        <w:t>Disability,</w:t>
      </w:r>
      <w:r w:rsidR="00D23ECC">
        <w:t xml:space="preserve"> </w:t>
      </w:r>
      <w:r>
        <w:t>Ageing</w:t>
      </w:r>
      <w:r w:rsidR="00D23ECC">
        <w:t xml:space="preserve"> </w:t>
      </w:r>
      <w:r>
        <w:t>and</w:t>
      </w:r>
      <w:r w:rsidR="00D23ECC">
        <w:t xml:space="preserve"> </w:t>
      </w:r>
      <w:r>
        <w:t>Carers</w:t>
      </w:r>
      <w:r w:rsidR="00D23ECC">
        <w:t xml:space="preserve"> </w:t>
      </w:r>
      <w:r>
        <w:t>and</w:t>
      </w:r>
      <w:r w:rsidR="00D23ECC">
        <w:t xml:space="preserve"> </w:t>
      </w:r>
      <w:r>
        <w:t>the</w:t>
      </w:r>
      <w:r w:rsidR="00D23ECC">
        <w:t xml:space="preserve"> </w:t>
      </w:r>
      <w:r>
        <w:t>Minister</w:t>
      </w:r>
      <w:r w:rsidR="00D23ECC">
        <w:t xml:space="preserve"> </w:t>
      </w:r>
      <w:r>
        <w:t>for</w:t>
      </w:r>
      <w:r w:rsidR="00D23ECC">
        <w:t xml:space="preserve"> </w:t>
      </w:r>
      <w:r>
        <w:t>Housing)</w:t>
      </w:r>
    </w:p>
    <w:p w14:paraId="0325B663" w14:textId="3FED07F7" w:rsidR="00DE3B0D" w:rsidRDefault="00DE3B0D" w:rsidP="004842F6">
      <w:pPr>
        <w:pStyle w:val="ListBullet"/>
        <w:ind w:left="714"/>
      </w:pPr>
      <w:r>
        <w:t>The</w:t>
      </w:r>
      <w:r w:rsidR="00D23ECC">
        <w:t xml:space="preserve"> </w:t>
      </w:r>
      <w:r>
        <w:t>Act</w:t>
      </w:r>
      <w:r w:rsidR="00D23ECC">
        <w:t xml:space="preserve"> </w:t>
      </w:r>
      <w:r>
        <w:t>is</w:t>
      </w:r>
      <w:r w:rsidR="00D23ECC">
        <w:t xml:space="preserve"> </w:t>
      </w:r>
      <w:r>
        <w:t>otherwise</w:t>
      </w:r>
      <w:r w:rsidR="00D23ECC">
        <w:t xml:space="preserve"> </w:t>
      </w:r>
      <w:r>
        <w:t>administered</w:t>
      </w:r>
      <w:r w:rsidR="00D23ECC">
        <w:t xml:space="preserve"> </w:t>
      </w:r>
      <w:r>
        <w:t>by</w:t>
      </w:r>
      <w:r w:rsidR="00D23ECC">
        <w:t xml:space="preserve"> </w:t>
      </w:r>
      <w:r>
        <w:t>the</w:t>
      </w:r>
      <w:r w:rsidR="00D23ECC">
        <w:t xml:space="preserve"> </w:t>
      </w:r>
      <w:r>
        <w:t>Attorney-General,</w:t>
      </w:r>
      <w:r w:rsidR="00D23ECC">
        <w:t xml:space="preserve"> </w:t>
      </w:r>
      <w:r>
        <w:t>the</w:t>
      </w:r>
      <w:r w:rsidR="00D23ECC">
        <w:t xml:space="preserve"> </w:t>
      </w:r>
      <w:r>
        <w:t>Minister</w:t>
      </w:r>
      <w:r w:rsidR="00D23ECC">
        <w:t xml:space="preserve"> </w:t>
      </w:r>
      <w:r>
        <w:t>for</w:t>
      </w:r>
      <w:r w:rsidR="00D23ECC">
        <w:t xml:space="preserve"> </w:t>
      </w:r>
      <w:r>
        <w:t>Housing</w:t>
      </w:r>
      <w:r w:rsidR="00D23ECC">
        <w:t xml:space="preserve"> </w:t>
      </w:r>
      <w:r>
        <w:t>and</w:t>
      </w:r>
      <w:r w:rsidR="00D23ECC">
        <w:t xml:space="preserve"> </w:t>
      </w:r>
      <w:r>
        <w:t>the</w:t>
      </w:r>
      <w:r w:rsidR="00D23ECC">
        <w:t xml:space="preserve"> </w:t>
      </w:r>
      <w:r>
        <w:t>Minister</w:t>
      </w:r>
      <w:r w:rsidR="00D23ECC">
        <w:t xml:space="preserve"> </w:t>
      </w:r>
      <w:r>
        <w:t>for</w:t>
      </w:r>
      <w:r w:rsidR="00D23ECC">
        <w:t xml:space="preserve"> </w:t>
      </w:r>
      <w:r>
        <w:t>Planning.</w:t>
      </w:r>
    </w:p>
    <w:p w14:paraId="58D2A963" w14:textId="32EE4501" w:rsidR="00DE3B0D" w:rsidRPr="00ED78BD" w:rsidRDefault="00DE3B0D" w:rsidP="00D23ECC">
      <w:pPr>
        <w:pStyle w:val="BodyText"/>
        <w:rPr>
          <w:rStyle w:val="Emphasis"/>
        </w:rPr>
      </w:pPr>
      <w:r w:rsidRPr="00ED78BD">
        <w:rPr>
          <w:rStyle w:val="Emphasis"/>
        </w:rPr>
        <w:t>Retirement</w:t>
      </w:r>
      <w:r w:rsidR="00D23ECC" w:rsidRPr="00ED78BD">
        <w:rPr>
          <w:rStyle w:val="Emphasis"/>
        </w:rPr>
        <w:t xml:space="preserve"> </w:t>
      </w:r>
      <w:r w:rsidRPr="00ED78BD">
        <w:rPr>
          <w:rStyle w:val="Emphasis"/>
        </w:rPr>
        <w:t>Villages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1986</w:t>
      </w:r>
    </w:p>
    <w:p w14:paraId="24B9285D" w14:textId="16F7B0FF" w:rsidR="00DE3B0D" w:rsidRPr="00ED78BD" w:rsidRDefault="00DE3B0D" w:rsidP="00D23ECC">
      <w:pPr>
        <w:pStyle w:val="BodyText"/>
        <w:rPr>
          <w:rStyle w:val="Emphasis"/>
        </w:rPr>
      </w:pPr>
      <w:r w:rsidRPr="00ED78BD">
        <w:rPr>
          <w:rStyle w:val="Emphasis"/>
        </w:rPr>
        <w:t>Rooming</w:t>
      </w:r>
      <w:r w:rsidR="00D23ECC" w:rsidRPr="00ED78BD">
        <w:rPr>
          <w:rStyle w:val="Emphasis"/>
        </w:rPr>
        <w:t xml:space="preserve"> </w:t>
      </w:r>
      <w:r w:rsidRPr="00ED78BD">
        <w:rPr>
          <w:rStyle w:val="Emphasis"/>
        </w:rPr>
        <w:t>House</w:t>
      </w:r>
      <w:r w:rsidR="00D23ECC" w:rsidRPr="00ED78BD">
        <w:rPr>
          <w:rStyle w:val="Emphasis"/>
        </w:rPr>
        <w:t xml:space="preserve"> </w:t>
      </w:r>
      <w:r w:rsidRPr="00ED78BD">
        <w:rPr>
          <w:rStyle w:val="Emphasis"/>
        </w:rPr>
        <w:t>Operators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2016</w:t>
      </w:r>
    </w:p>
    <w:p w14:paraId="6E4E49C1" w14:textId="3B034268" w:rsidR="00DE3B0D" w:rsidRPr="00ED78BD" w:rsidRDefault="00DE3B0D" w:rsidP="00D23ECC">
      <w:pPr>
        <w:pStyle w:val="BodyText"/>
        <w:rPr>
          <w:rStyle w:val="Emphasis"/>
        </w:rPr>
      </w:pPr>
      <w:r w:rsidRPr="00ED78BD">
        <w:rPr>
          <w:rStyle w:val="Emphasis"/>
        </w:rPr>
        <w:t>Sale</w:t>
      </w:r>
      <w:r w:rsidR="00D23ECC" w:rsidRPr="00ED78BD">
        <w:rPr>
          <w:rStyle w:val="Emphasis"/>
        </w:rPr>
        <w:t xml:space="preserve"> </w:t>
      </w:r>
      <w:r w:rsidRPr="00ED78BD">
        <w:rPr>
          <w:rStyle w:val="Emphasis"/>
        </w:rPr>
        <w:t>of</w:t>
      </w:r>
      <w:r w:rsidR="00D23ECC" w:rsidRPr="00ED78BD">
        <w:rPr>
          <w:rStyle w:val="Emphasis"/>
        </w:rPr>
        <w:t xml:space="preserve"> </w:t>
      </w:r>
      <w:r w:rsidRPr="00ED78BD">
        <w:rPr>
          <w:rStyle w:val="Emphasis"/>
        </w:rPr>
        <w:t>Land</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1962</w:t>
      </w:r>
    </w:p>
    <w:p w14:paraId="4C706660" w14:textId="7F1F6129" w:rsidR="00DE3B0D" w:rsidRPr="00ED78BD" w:rsidRDefault="00DE3B0D" w:rsidP="00D23ECC">
      <w:pPr>
        <w:pStyle w:val="BodyText"/>
        <w:rPr>
          <w:rStyle w:val="Emphasis"/>
        </w:rPr>
      </w:pPr>
      <w:r w:rsidRPr="00ED78BD">
        <w:rPr>
          <w:rStyle w:val="Emphasis"/>
        </w:rPr>
        <w:t>Second-Hand</w:t>
      </w:r>
      <w:r w:rsidR="00D23ECC" w:rsidRPr="00ED78BD">
        <w:rPr>
          <w:rStyle w:val="Emphasis"/>
        </w:rPr>
        <w:t xml:space="preserve"> </w:t>
      </w:r>
      <w:r w:rsidRPr="00ED78BD">
        <w:rPr>
          <w:rStyle w:val="Emphasis"/>
        </w:rPr>
        <w:t>Dealers</w:t>
      </w:r>
      <w:r w:rsidR="00D23ECC" w:rsidRPr="00ED78BD">
        <w:rPr>
          <w:rStyle w:val="Emphasis"/>
        </w:rPr>
        <w:t xml:space="preserve"> </w:t>
      </w:r>
      <w:r w:rsidRPr="00ED78BD">
        <w:rPr>
          <w:rStyle w:val="Emphasis"/>
        </w:rPr>
        <w:t>and</w:t>
      </w:r>
      <w:r w:rsidR="00D23ECC" w:rsidRPr="00ED78BD">
        <w:rPr>
          <w:rStyle w:val="Emphasis"/>
        </w:rPr>
        <w:t xml:space="preserve"> </w:t>
      </w:r>
      <w:r w:rsidRPr="00ED78BD">
        <w:rPr>
          <w:rStyle w:val="Emphasis"/>
        </w:rPr>
        <w:t>Pawnbrokers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1989</w:t>
      </w:r>
    </w:p>
    <w:p w14:paraId="0F14550F" w14:textId="71B02F67" w:rsidR="00DE3B0D" w:rsidRPr="00ED78BD" w:rsidRDefault="00DE3B0D" w:rsidP="00D23ECC">
      <w:pPr>
        <w:pStyle w:val="BodyText"/>
        <w:rPr>
          <w:rStyle w:val="Emphasis"/>
        </w:rPr>
      </w:pPr>
      <w:r w:rsidRPr="00ED78BD">
        <w:rPr>
          <w:rStyle w:val="Emphasis"/>
        </w:rPr>
        <w:t>Sex</w:t>
      </w:r>
      <w:r w:rsidR="00D23ECC" w:rsidRPr="00ED78BD">
        <w:rPr>
          <w:rStyle w:val="Emphasis"/>
        </w:rPr>
        <w:t xml:space="preserve"> </w:t>
      </w:r>
      <w:r w:rsidRPr="00ED78BD">
        <w:rPr>
          <w:rStyle w:val="Emphasis"/>
        </w:rPr>
        <w:t>Work</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1994</w:t>
      </w:r>
    </w:p>
    <w:p w14:paraId="1A0FCE4F" w14:textId="636A3D71" w:rsidR="00DE3B0D" w:rsidRPr="00ED78BD" w:rsidRDefault="00DE3B0D" w:rsidP="00D23ECC">
      <w:pPr>
        <w:pStyle w:val="BodyText"/>
        <w:rPr>
          <w:rStyle w:val="Emphasis"/>
        </w:rPr>
      </w:pPr>
      <w:r w:rsidRPr="00ED78BD">
        <w:rPr>
          <w:rStyle w:val="Emphasis"/>
        </w:rPr>
        <w:t>Subdivision</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1988:</w:t>
      </w:r>
    </w:p>
    <w:p w14:paraId="6B6A6677" w14:textId="632BD217" w:rsidR="00DE3B0D" w:rsidRDefault="00DE3B0D" w:rsidP="004842F6">
      <w:pPr>
        <w:pStyle w:val="ListBullet"/>
        <w:ind w:left="714"/>
      </w:pPr>
      <w:r>
        <w:t>Part</w:t>
      </w:r>
      <w:r w:rsidR="00D23ECC">
        <w:t xml:space="preserve"> </w:t>
      </w:r>
      <w:r>
        <w:t>5</w:t>
      </w:r>
    </w:p>
    <w:p w14:paraId="6BE9E527" w14:textId="1BE4C4AB" w:rsidR="00DE3B0D" w:rsidRDefault="00DE3B0D" w:rsidP="004842F6">
      <w:pPr>
        <w:pStyle w:val="ListBullet"/>
        <w:ind w:left="714"/>
      </w:pPr>
      <w:r>
        <w:t>Section</w:t>
      </w:r>
      <w:r w:rsidR="00D23ECC">
        <w:t xml:space="preserve"> </w:t>
      </w:r>
      <w:r>
        <w:t>43</w:t>
      </w:r>
      <w:r w:rsidR="00D23ECC">
        <w:t xml:space="preserve"> </w:t>
      </w:r>
      <w:r>
        <w:t>(in</w:t>
      </w:r>
      <w:r w:rsidR="00D23ECC">
        <w:t xml:space="preserve"> </w:t>
      </w:r>
      <w:r>
        <w:t>so</w:t>
      </w:r>
      <w:r w:rsidR="00D23ECC">
        <w:t xml:space="preserve"> </w:t>
      </w:r>
      <w:r>
        <w:t>far</w:t>
      </w:r>
      <w:r w:rsidR="00D23ECC">
        <w:t xml:space="preserve"> </w:t>
      </w:r>
      <w:r>
        <w:t>as</w:t>
      </w:r>
      <w:r w:rsidR="00D23ECC">
        <w:t xml:space="preserve"> </w:t>
      </w:r>
      <w:r>
        <w:t>it</w:t>
      </w:r>
      <w:r w:rsidR="00D23ECC">
        <w:t xml:space="preserve"> </w:t>
      </w:r>
      <w:r>
        <w:t>relates</w:t>
      </w:r>
      <w:r w:rsidR="00D23ECC">
        <w:t xml:space="preserve"> </w:t>
      </w:r>
      <w:r>
        <w:t>to</w:t>
      </w:r>
      <w:r w:rsidR="00D23ECC">
        <w:t xml:space="preserve"> </w:t>
      </w:r>
      <w:r>
        <w:t>Part</w:t>
      </w:r>
      <w:r w:rsidR="00D23ECC">
        <w:t xml:space="preserve"> </w:t>
      </w:r>
      <w:r>
        <w:t>5)</w:t>
      </w:r>
    </w:p>
    <w:p w14:paraId="0709082D" w14:textId="5849CCDF" w:rsidR="00DE3B0D" w:rsidRDefault="00DE3B0D" w:rsidP="004842F6">
      <w:pPr>
        <w:pStyle w:val="ListBullet"/>
        <w:ind w:left="714"/>
      </w:pPr>
      <w:r>
        <w:t>The</w:t>
      </w:r>
      <w:r w:rsidR="00D23ECC">
        <w:t xml:space="preserve"> </w:t>
      </w:r>
      <w:r>
        <w:t>Act</w:t>
      </w:r>
      <w:r w:rsidR="00D23ECC">
        <w:t xml:space="preserve"> </w:t>
      </w:r>
      <w:r>
        <w:t>is</w:t>
      </w:r>
      <w:r w:rsidR="00D23ECC">
        <w:t xml:space="preserve"> </w:t>
      </w:r>
      <w:r>
        <w:t>otherwise</w:t>
      </w:r>
      <w:r w:rsidR="00D23ECC">
        <w:t xml:space="preserve"> </w:t>
      </w:r>
      <w:r>
        <w:t>administered</w:t>
      </w:r>
      <w:r w:rsidR="00D23ECC">
        <w:t xml:space="preserve"> </w:t>
      </w:r>
      <w:r>
        <w:t>by</w:t>
      </w:r>
      <w:r w:rsidR="00D23ECC">
        <w:t xml:space="preserve"> </w:t>
      </w:r>
      <w:r>
        <w:t>the</w:t>
      </w:r>
      <w:r w:rsidR="00D23ECC">
        <w:t xml:space="preserve"> </w:t>
      </w:r>
      <w:r>
        <w:t>Minister</w:t>
      </w:r>
      <w:r w:rsidR="00D23ECC">
        <w:t xml:space="preserve"> </w:t>
      </w:r>
      <w:r>
        <w:t>for</w:t>
      </w:r>
      <w:r w:rsidR="00D23ECC">
        <w:t xml:space="preserve"> </w:t>
      </w:r>
      <w:r>
        <w:t>Planning.</w:t>
      </w:r>
    </w:p>
    <w:p w14:paraId="008B5555" w14:textId="0B844C0F" w:rsidR="00DE3B0D" w:rsidRPr="00ED78BD" w:rsidRDefault="00DE3B0D" w:rsidP="00D23ECC">
      <w:pPr>
        <w:pStyle w:val="BodyText"/>
        <w:rPr>
          <w:rStyle w:val="Emphasis"/>
        </w:rPr>
      </w:pPr>
      <w:r w:rsidRPr="00ED78BD">
        <w:rPr>
          <w:rStyle w:val="Emphasis"/>
        </w:rPr>
        <w:t>Travel</w:t>
      </w:r>
      <w:r w:rsidR="00D23ECC" w:rsidRPr="00ED78BD">
        <w:rPr>
          <w:rStyle w:val="Emphasis"/>
        </w:rPr>
        <w:t xml:space="preserve"> </w:t>
      </w:r>
      <w:r w:rsidRPr="00ED78BD">
        <w:rPr>
          <w:rStyle w:val="Emphasis"/>
        </w:rPr>
        <w:t>Agents</w:t>
      </w:r>
      <w:r w:rsidR="00D23ECC" w:rsidRPr="00ED78BD">
        <w:rPr>
          <w:rStyle w:val="Emphasis"/>
        </w:rPr>
        <w:t xml:space="preserve"> </w:t>
      </w:r>
      <w:r w:rsidRPr="00ED78BD">
        <w:rPr>
          <w:rStyle w:val="Emphasis"/>
        </w:rPr>
        <w:t>Repeal</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2014</w:t>
      </w:r>
    </w:p>
    <w:p w14:paraId="7C554D15" w14:textId="30D2702F" w:rsidR="00DE3B0D" w:rsidRPr="00ED78BD" w:rsidRDefault="00DE3B0D" w:rsidP="00D23ECC">
      <w:pPr>
        <w:pStyle w:val="BodyText"/>
        <w:rPr>
          <w:rStyle w:val="Emphasis"/>
        </w:rPr>
      </w:pPr>
      <w:r w:rsidRPr="00ED78BD">
        <w:rPr>
          <w:rStyle w:val="Emphasis"/>
        </w:rPr>
        <w:t>Veterans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2005:</w:t>
      </w:r>
    </w:p>
    <w:p w14:paraId="6F7B091A" w14:textId="26513083" w:rsidR="00DE3B0D" w:rsidRDefault="00DE3B0D" w:rsidP="004842F6">
      <w:pPr>
        <w:pStyle w:val="ListBullet"/>
        <w:ind w:left="714"/>
      </w:pPr>
      <w:r>
        <w:t>Part</w:t>
      </w:r>
      <w:r w:rsidR="00D23ECC">
        <w:t xml:space="preserve"> </w:t>
      </w:r>
      <w:r>
        <w:t>4</w:t>
      </w:r>
    </w:p>
    <w:p w14:paraId="5E19142B" w14:textId="286B0547" w:rsidR="00DE3B0D" w:rsidRDefault="00DE3B0D" w:rsidP="004842F6">
      <w:pPr>
        <w:pStyle w:val="ListBullet"/>
        <w:ind w:left="714"/>
      </w:pPr>
      <w:r>
        <w:t>The</w:t>
      </w:r>
      <w:r w:rsidR="00D23ECC">
        <w:t xml:space="preserve"> </w:t>
      </w:r>
      <w:r>
        <w:t>Act</w:t>
      </w:r>
      <w:r w:rsidR="00D23ECC">
        <w:t xml:space="preserve"> </w:t>
      </w:r>
      <w:r>
        <w:t>is</w:t>
      </w:r>
      <w:r w:rsidR="00D23ECC">
        <w:t xml:space="preserve"> </w:t>
      </w:r>
      <w:r>
        <w:t>otherwise</w:t>
      </w:r>
      <w:r w:rsidR="00D23ECC">
        <w:t xml:space="preserve"> </w:t>
      </w:r>
      <w:r>
        <w:t>administered</w:t>
      </w:r>
      <w:r w:rsidR="00D23ECC">
        <w:t xml:space="preserve"> </w:t>
      </w:r>
      <w:r>
        <w:t>by</w:t>
      </w:r>
      <w:r w:rsidR="00D23ECC">
        <w:t xml:space="preserve"> </w:t>
      </w:r>
      <w:r>
        <w:t>the</w:t>
      </w:r>
      <w:r w:rsidR="00D23ECC">
        <w:t xml:space="preserve"> </w:t>
      </w:r>
      <w:r>
        <w:t>Minister</w:t>
      </w:r>
      <w:r w:rsidR="00D23ECC">
        <w:t xml:space="preserve"> </w:t>
      </w:r>
      <w:r>
        <w:t>for</w:t>
      </w:r>
      <w:r w:rsidR="00D23ECC">
        <w:t xml:space="preserve"> </w:t>
      </w:r>
      <w:r>
        <w:t>Veterans.</w:t>
      </w:r>
    </w:p>
    <w:p w14:paraId="03279ADA" w14:textId="3A8A1C9F" w:rsidR="00DE3B0D" w:rsidRDefault="00DE3B0D" w:rsidP="00D23ECC">
      <w:pPr>
        <w:pStyle w:val="BodyText"/>
      </w:pPr>
      <w:r w:rsidRPr="00ED78BD">
        <w:rPr>
          <w:rStyle w:val="Emphasis"/>
        </w:rPr>
        <w:t>Warehousemen’s</w:t>
      </w:r>
      <w:r w:rsidR="00D23ECC" w:rsidRPr="00ED78BD">
        <w:rPr>
          <w:rStyle w:val="Emphasis"/>
        </w:rPr>
        <w:t xml:space="preserve"> </w:t>
      </w:r>
      <w:r w:rsidRPr="00ED78BD">
        <w:rPr>
          <w:rStyle w:val="Emphasis"/>
        </w:rPr>
        <w:t>Liens</w:t>
      </w:r>
      <w:r w:rsidR="00D23ECC" w:rsidRPr="00ED78BD">
        <w:rPr>
          <w:rStyle w:val="Emphasis"/>
        </w:rPr>
        <w:t xml:space="preserve"> </w:t>
      </w:r>
      <w:r w:rsidRPr="00ED78BD">
        <w:rPr>
          <w:rStyle w:val="Emphasis"/>
        </w:rPr>
        <w:t>Act</w:t>
      </w:r>
      <w:r w:rsidR="00D23ECC" w:rsidRPr="00ED78BD">
        <w:rPr>
          <w:rStyle w:val="Emphasis"/>
        </w:rPr>
        <w:t xml:space="preserve"> </w:t>
      </w:r>
      <w:r w:rsidRPr="00ED78BD">
        <w:rPr>
          <w:rStyle w:val="Emphasis"/>
        </w:rPr>
        <w:t>1958</w:t>
      </w:r>
    </w:p>
    <w:p w14:paraId="6FEB7A36" w14:textId="77777777" w:rsidR="008962BD" w:rsidRPr="008962BD" w:rsidRDefault="008962BD" w:rsidP="008962BD">
      <w:pPr>
        <w:pStyle w:val="BodyText"/>
      </w:pPr>
      <w:r w:rsidRPr="008962BD">
        <w:br w:type="page"/>
      </w:r>
    </w:p>
    <w:p w14:paraId="216C5FE2" w14:textId="1B5A3D39" w:rsidR="00DE3B0D" w:rsidRDefault="00DE3B0D" w:rsidP="00D23ECC">
      <w:pPr>
        <w:pStyle w:val="BodyText"/>
      </w:pPr>
      <w:r>
        <w:lastRenderedPageBreak/>
        <w:t>Consumer</w:t>
      </w:r>
      <w:r w:rsidR="00D23ECC">
        <w:t xml:space="preserve"> </w:t>
      </w:r>
      <w:r>
        <w:t>Affairs</w:t>
      </w:r>
      <w:r w:rsidR="00D23ECC">
        <w:t xml:space="preserve"> </w:t>
      </w:r>
      <w:r>
        <w:t>Victoria</w:t>
      </w:r>
      <w:r w:rsidR="00D23ECC">
        <w:t xml:space="preserve"> </w:t>
      </w:r>
      <w:r>
        <w:t>(part</w:t>
      </w:r>
      <w:r w:rsidR="00D23ECC">
        <w:t xml:space="preserve"> </w:t>
      </w:r>
      <w:r>
        <w:t>of</w:t>
      </w:r>
      <w:r w:rsidR="00D23ECC">
        <w:t xml:space="preserve"> </w:t>
      </w:r>
      <w:r>
        <w:t>the</w:t>
      </w:r>
      <w:r w:rsidR="00D23ECC">
        <w:t xml:space="preserve"> </w:t>
      </w:r>
      <w:r>
        <w:t>Department</w:t>
      </w:r>
      <w:r w:rsidR="00D23ECC">
        <w:t xml:space="preserve"> </w:t>
      </w:r>
      <w:r>
        <w:t>of</w:t>
      </w:r>
      <w:r w:rsidR="00D23ECC">
        <w:t xml:space="preserve"> </w:t>
      </w:r>
      <w:r>
        <w:t>Justice</w:t>
      </w:r>
      <w:r w:rsidR="00D23ECC">
        <w:t xml:space="preserve"> </w:t>
      </w:r>
      <w:r>
        <w:t>and</w:t>
      </w:r>
      <w:r w:rsidR="00D23ECC">
        <w:t xml:space="preserve"> </w:t>
      </w:r>
      <w:r>
        <w:t>Community</w:t>
      </w:r>
      <w:r w:rsidR="00D23ECC">
        <w:t xml:space="preserve"> </w:t>
      </w:r>
      <w:r>
        <w:t>Safety)</w:t>
      </w:r>
      <w:r w:rsidR="00D23ECC">
        <w:t xml:space="preserve"> </w:t>
      </w:r>
      <w:r>
        <w:t>acknowledges</w:t>
      </w:r>
      <w:r w:rsidR="00D23ECC">
        <w:t xml:space="preserve"> </w:t>
      </w:r>
      <w:r>
        <w:t>the</w:t>
      </w:r>
      <w:r w:rsidR="00D23ECC">
        <w:t xml:space="preserve"> </w:t>
      </w:r>
      <w:r>
        <w:t>Aboriginal</w:t>
      </w:r>
      <w:r w:rsidR="00D23ECC">
        <w:t xml:space="preserve"> </w:t>
      </w:r>
      <w:r>
        <w:t>and</w:t>
      </w:r>
      <w:r w:rsidR="00D23ECC">
        <w:t xml:space="preserve"> </w:t>
      </w:r>
      <w:r>
        <w:t>Torres</w:t>
      </w:r>
      <w:r w:rsidR="00D23ECC">
        <w:t xml:space="preserve"> </w:t>
      </w:r>
      <w:r>
        <w:t>Strait</w:t>
      </w:r>
      <w:r w:rsidR="00D23ECC">
        <w:t xml:space="preserve"> </w:t>
      </w:r>
      <w:r>
        <w:t>Islander</w:t>
      </w:r>
      <w:r w:rsidR="00D23ECC">
        <w:t xml:space="preserve"> </w:t>
      </w:r>
      <w:r>
        <w:t>people</w:t>
      </w:r>
      <w:r w:rsidR="00D23ECC">
        <w:t xml:space="preserve"> </w:t>
      </w:r>
      <w:r>
        <w:t>as</w:t>
      </w:r>
      <w:r w:rsidR="00D23ECC">
        <w:t xml:space="preserve"> </w:t>
      </w:r>
      <w:r>
        <w:t>the</w:t>
      </w:r>
      <w:r w:rsidR="00D23ECC">
        <w:t xml:space="preserve"> </w:t>
      </w:r>
      <w:r>
        <w:t>Traditional</w:t>
      </w:r>
      <w:r w:rsidR="00D23ECC">
        <w:t xml:space="preserve"> </w:t>
      </w:r>
      <w:r>
        <w:t>Custodians</w:t>
      </w:r>
      <w:r w:rsidR="00D23ECC">
        <w:t xml:space="preserve"> </w:t>
      </w:r>
      <w:r>
        <w:t>of</w:t>
      </w:r>
      <w:r w:rsidR="00D23ECC">
        <w:t xml:space="preserve"> </w:t>
      </w:r>
      <w:r>
        <w:t>the</w:t>
      </w:r>
      <w:r w:rsidR="00D23ECC">
        <w:t xml:space="preserve"> </w:t>
      </w:r>
      <w:r>
        <w:t>land.</w:t>
      </w:r>
      <w:r w:rsidR="00D23ECC">
        <w:t xml:space="preserve"> </w:t>
      </w:r>
      <w:r>
        <w:t>The</w:t>
      </w:r>
      <w:r w:rsidR="00D23ECC">
        <w:t xml:space="preserve"> </w:t>
      </w:r>
      <w:r>
        <w:t>department</w:t>
      </w:r>
      <w:r w:rsidR="00D23ECC">
        <w:t xml:space="preserve"> </w:t>
      </w:r>
      <w:r>
        <w:t>also</w:t>
      </w:r>
      <w:r w:rsidR="00D23ECC">
        <w:t xml:space="preserve"> </w:t>
      </w:r>
      <w:r>
        <w:t>acknowledges</w:t>
      </w:r>
      <w:r w:rsidR="00D23ECC">
        <w:t xml:space="preserve"> </w:t>
      </w:r>
      <w:r>
        <w:t>and</w:t>
      </w:r>
      <w:r w:rsidR="00D23ECC">
        <w:t xml:space="preserve"> </w:t>
      </w:r>
      <w:r>
        <w:t>pays</w:t>
      </w:r>
      <w:r w:rsidR="00D23ECC">
        <w:t xml:space="preserve"> </w:t>
      </w:r>
      <w:r>
        <w:t>respect</w:t>
      </w:r>
      <w:r w:rsidR="00D23ECC">
        <w:t xml:space="preserve"> </w:t>
      </w:r>
      <w:r>
        <w:t>to</w:t>
      </w:r>
      <w:r w:rsidR="00D23ECC">
        <w:t xml:space="preserve"> </w:t>
      </w:r>
      <w:r>
        <w:t>their</w:t>
      </w:r>
      <w:r w:rsidR="00D23ECC">
        <w:t xml:space="preserve"> </w:t>
      </w:r>
      <w:r>
        <w:t>Elders,</w:t>
      </w:r>
      <w:r w:rsidR="00D23ECC">
        <w:t xml:space="preserve"> </w:t>
      </w:r>
      <w:r>
        <w:t>past</w:t>
      </w:r>
      <w:r w:rsidR="00D23ECC">
        <w:t xml:space="preserve"> </w:t>
      </w:r>
      <w:r>
        <w:t>and</w:t>
      </w:r>
      <w:r w:rsidR="00D23ECC">
        <w:t xml:space="preserve"> </w:t>
      </w:r>
      <w:r>
        <w:t>present.</w:t>
      </w:r>
      <w:r w:rsidR="00D23ECC">
        <w:t xml:space="preserve"> </w:t>
      </w:r>
      <w:r>
        <w:t>Authorised</w:t>
      </w:r>
      <w:r w:rsidR="00D23ECC">
        <w:t xml:space="preserve"> </w:t>
      </w:r>
      <w:r>
        <w:t>and</w:t>
      </w:r>
      <w:r w:rsidR="00D23ECC">
        <w:t xml:space="preserve"> </w:t>
      </w:r>
      <w:r>
        <w:t>published</w:t>
      </w:r>
      <w:r w:rsidR="00D23ECC">
        <w:t xml:space="preserve"> </w:t>
      </w:r>
      <w:r>
        <w:t>by</w:t>
      </w:r>
      <w:r w:rsidR="00D23ECC">
        <w:t xml:space="preserve"> </w:t>
      </w:r>
      <w:r>
        <w:t>the</w:t>
      </w:r>
      <w:r w:rsidR="00D23ECC">
        <w:t xml:space="preserve"> </w:t>
      </w:r>
      <w:r>
        <w:t>Victorian</w:t>
      </w:r>
      <w:r w:rsidR="00D23ECC">
        <w:t xml:space="preserve"> </w:t>
      </w:r>
      <w:r>
        <w:t>Government,</w:t>
      </w:r>
      <w:r w:rsidR="00D23ECC">
        <w:t xml:space="preserve"> </w:t>
      </w:r>
      <w:r>
        <w:t>1</w:t>
      </w:r>
      <w:r w:rsidR="00D23ECC">
        <w:t xml:space="preserve"> </w:t>
      </w:r>
      <w:r>
        <w:t>Treasury</w:t>
      </w:r>
      <w:r w:rsidR="00D23ECC">
        <w:t xml:space="preserve"> </w:t>
      </w:r>
      <w:r>
        <w:t>Place,</w:t>
      </w:r>
      <w:r w:rsidR="00D23ECC">
        <w:t xml:space="preserve"> </w:t>
      </w:r>
      <w:r>
        <w:t>Melbourne.</w:t>
      </w:r>
    </w:p>
    <w:p w14:paraId="55A72DE8" w14:textId="0960F40E" w:rsidR="00DE3B0D" w:rsidRDefault="00DE3B0D" w:rsidP="00D23ECC">
      <w:pPr>
        <w:pStyle w:val="BodyText"/>
      </w:pPr>
      <w:r>
        <w:t>October</w:t>
      </w:r>
      <w:r w:rsidR="00D23ECC">
        <w:t xml:space="preserve"> </w:t>
      </w:r>
      <w:r>
        <w:t>2021</w:t>
      </w:r>
    </w:p>
    <w:p w14:paraId="0998EEBB" w14:textId="1E1F80B9" w:rsidR="00DE3B0D" w:rsidRDefault="00DE3B0D" w:rsidP="00D23ECC">
      <w:pPr>
        <w:pStyle w:val="BodyText"/>
      </w:pPr>
      <w:r>
        <w:t>ISSN</w:t>
      </w:r>
      <w:r w:rsidR="00D23ECC">
        <w:t xml:space="preserve"> </w:t>
      </w:r>
      <w:r>
        <w:t>2209-5489</w:t>
      </w:r>
    </w:p>
    <w:p w14:paraId="4B0B406B" w14:textId="0A24A7DD" w:rsidR="00DE3B0D" w:rsidRDefault="00DE3B0D" w:rsidP="00D23ECC">
      <w:pPr>
        <w:pStyle w:val="BodyText"/>
      </w:pPr>
      <w:r>
        <w:t>Unless</w:t>
      </w:r>
      <w:r w:rsidR="00D23ECC">
        <w:t xml:space="preserve"> </w:t>
      </w:r>
      <w:r>
        <w:t>indicated</w:t>
      </w:r>
      <w:r w:rsidR="00D23ECC">
        <w:t xml:space="preserve"> </w:t>
      </w:r>
      <w:r>
        <w:t>otherwise,</w:t>
      </w:r>
      <w:r w:rsidR="00D23ECC">
        <w:t xml:space="preserve"> </w:t>
      </w:r>
      <w:r>
        <w:t>this</w:t>
      </w:r>
      <w:r w:rsidR="00D23ECC">
        <w:t xml:space="preserve"> </w:t>
      </w:r>
      <w:r>
        <w:t>work</w:t>
      </w:r>
      <w:r w:rsidR="00D23ECC">
        <w:t xml:space="preserve"> </w:t>
      </w:r>
      <w:r>
        <w:t>is</w:t>
      </w:r>
      <w:r w:rsidR="00D23ECC">
        <w:t xml:space="preserve"> </w:t>
      </w:r>
      <w:r>
        <w:t>made</w:t>
      </w:r>
      <w:r w:rsidR="00D23ECC">
        <w:t xml:space="preserve"> </w:t>
      </w:r>
      <w:r>
        <w:t>available</w:t>
      </w:r>
      <w:r w:rsidR="00D23ECC">
        <w:t xml:space="preserve"> </w:t>
      </w:r>
      <w:r>
        <w:t>under</w:t>
      </w:r>
      <w:r w:rsidR="00D23ECC">
        <w:t xml:space="preserve"> </w:t>
      </w:r>
      <w:r>
        <w:t>the</w:t>
      </w:r>
      <w:r w:rsidR="00D23ECC">
        <w:t xml:space="preserve"> </w:t>
      </w:r>
      <w:r>
        <w:t>terms</w:t>
      </w:r>
      <w:r w:rsidR="00D23ECC">
        <w:t xml:space="preserve"> </w:t>
      </w:r>
      <w:r>
        <w:t>of</w:t>
      </w:r>
      <w:r w:rsidR="00D23ECC">
        <w:t xml:space="preserve"> </w:t>
      </w:r>
      <w:r>
        <w:t>the</w:t>
      </w:r>
      <w:r w:rsidR="00D23ECC">
        <w:t xml:space="preserve"> </w:t>
      </w:r>
      <w:r>
        <w:t>Creative</w:t>
      </w:r>
      <w:r w:rsidR="00D23ECC">
        <w:t xml:space="preserve"> </w:t>
      </w:r>
      <w:r>
        <w:t>Commons</w:t>
      </w:r>
      <w:r w:rsidR="00D23ECC">
        <w:t xml:space="preserve"> </w:t>
      </w:r>
      <w:r>
        <w:t>Attribution</w:t>
      </w:r>
      <w:r w:rsidR="00D23ECC">
        <w:t xml:space="preserve"> </w:t>
      </w:r>
      <w:r>
        <w:t>4.0</w:t>
      </w:r>
      <w:r w:rsidR="00D23ECC">
        <w:t xml:space="preserve"> </w:t>
      </w:r>
      <w:r>
        <w:t>International</w:t>
      </w:r>
      <w:r w:rsidR="00D23ECC">
        <w:t xml:space="preserve"> </w:t>
      </w:r>
      <w:r>
        <w:t>licence.</w:t>
      </w:r>
    </w:p>
    <w:p w14:paraId="09B32377" w14:textId="19B7D3CD" w:rsidR="00DE3B0D" w:rsidRDefault="00DE3B0D" w:rsidP="00D23ECC">
      <w:pPr>
        <w:pStyle w:val="BodyText"/>
      </w:pPr>
      <w:r>
        <w:t>To</w:t>
      </w:r>
      <w:r w:rsidR="00D23ECC">
        <w:t xml:space="preserve"> </w:t>
      </w:r>
      <w:r>
        <w:t>view</w:t>
      </w:r>
      <w:r w:rsidR="00D23ECC">
        <w:t xml:space="preserve"> </w:t>
      </w:r>
      <w:r>
        <w:t>a</w:t>
      </w:r>
      <w:r w:rsidR="00D23ECC">
        <w:t xml:space="preserve"> </w:t>
      </w:r>
      <w:r>
        <w:t>copy</w:t>
      </w:r>
      <w:r w:rsidR="00D23ECC">
        <w:t xml:space="preserve"> </w:t>
      </w:r>
      <w:r>
        <w:t>of</w:t>
      </w:r>
      <w:r w:rsidR="00D23ECC">
        <w:t xml:space="preserve"> </w:t>
      </w:r>
      <w:r>
        <w:t>this</w:t>
      </w:r>
      <w:r w:rsidR="00D23ECC">
        <w:t xml:space="preserve"> </w:t>
      </w:r>
      <w:r>
        <w:t>licence,</w:t>
      </w:r>
      <w:r w:rsidR="00D23ECC">
        <w:t xml:space="preserve"> </w:t>
      </w:r>
      <w:r>
        <w:t>visit</w:t>
      </w:r>
      <w:r w:rsidR="00D23ECC">
        <w:t xml:space="preserve"> </w:t>
      </w:r>
      <w:r>
        <w:t>the</w:t>
      </w:r>
      <w:r w:rsidR="00D23ECC">
        <w:t xml:space="preserve"> </w:t>
      </w:r>
      <w:hyperlink r:id="rId37" w:history="1">
        <w:r w:rsidRPr="00D6001A">
          <w:rPr>
            <w:rStyle w:val="Hyperlink"/>
          </w:rPr>
          <w:t>Creative</w:t>
        </w:r>
        <w:r w:rsidR="00D23ECC" w:rsidRPr="00D6001A">
          <w:rPr>
            <w:rStyle w:val="Hyperlink"/>
          </w:rPr>
          <w:t xml:space="preserve"> </w:t>
        </w:r>
        <w:r w:rsidRPr="00D6001A">
          <w:rPr>
            <w:rStyle w:val="Hyperlink"/>
          </w:rPr>
          <w:t>Commons</w:t>
        </w:r>
        <w:r w:rsidR="00D23ECC" w:rsidRPr="00D6001A">
          <w:rPr>
            <w:rStyle w:val="Hyperlink"/>
          </w:rPr>
          <w:t xml:space="preserve"> </w:t>
        </w:r>
        <w:r w:rsidRPr="00D6001A">
          <w:rPr>
            <w:rStyle w:val="Hyperlink"/>
          </w:rPr>
          <w:t>website</w:t>
        </w:r>
      </w:hyperlink>
      <w:r w:rsidR="00D23ECC">
        <w:t xml:space="preserve"> </w:t>
      </w:r>
      <w:r>
        <w:t>&lt;creativecommons.org/licenses/by/4.0&gt;.</w:t>
      </w:r>
    </w:p>
    <w:p w14:paraId="3864307F" w14:textId="1DAC4649" w:rsidR="00DE3B0D" w:rsidRDefault="00DE3B0D" w:rsidP="00D23ECC">
      <w:pPr>
        <w:pStyle w:val="BodyText"/>
      </w:pPr>
      <w:r>
        <w:t>It</w:t>
      </w:r>
      <w:r w:rsidR="00D23ECC">
        <w:t xml:space="preserve"> </w:t>
      </w:r>
      <w:r>
        <w:t>is</w:t>
      </w:r>
      <w:r w:rsidR="00D23ECC">
        <w:t xml:space="preserve"> </w:t>
      </w:r>
      <w:r>
        <w:t>a</w:t>
      </w:r>
      <w:r w:rsidR="00D23ECC">
        <w:t xml:space="preserve"> </w:t>
      </w:r>
      <w:r>
        <w:t>condition</w:t>
      </w:r>
      <w:r w:rsidR="00D23ECC">
        <w:t xml:space="preserve"> </w:t>
      </w:r>
      <w:r>
        <w:t>of</w:t>
      </w:r>
      <w:r w:rsidR="00D23ECC">
        <w:t xml:space="preserve"> </w:t>
      </w:r>
      <w:r>
        <w:t>this</w:t>
      </w:r>
      <w:r w:rsidR="00D23ECC">
        <w:t xml:space="preserve"> </w:t>
      </w:r>
      <w:r>
        <w:t>Creative</w:t>
      </w:r>
      <w:r w:rsidR="00D23ECC">
        <w:t xml:space="preserve"> </w:t>
      </w:r>
      <w:r>
        <w:t>Commons</w:t>
      </w:r>
      <w:r w:rsidR="00D23ECC">
        <w:t xml:space="preserve"> </w:t>
      </w:r>
      <w:r>
        <w:t>Attribution</w:t>
      </w:r>
      <w:r w:rsidR="00D23ECC">
        <w:t xml:space="preserve"> </w:t>
      </w:r>
      <w:r>
        <w:t>4.0</w:t>
      </w:r>
      <w:r w:rsidR="00D23ECC">
        <w:t xml:space="preserve"> </w:t>
      </w:r>
      <w:r>
        <w:t>Licence</w:t>
      </w:r>
      <w:r w:rsidR="00D23ECC">
        <w:t xml:space="preserve"> </w:t>
      </w:r>
      <w:r>
        <w:t>that</w:t>
      </w:r>
      <w:r w:rsidR="00D23ECC">
        <w:t xml:space="preserve"> </w:t>
      </w:r>
      <w:r>
        <w:t>you</w:t>
      </w:r>
      <w:r w:rsidR="00D23ECC">
        <w:t xml:space="preserve"> </w:t>
      </w:r>
      <w:r>
        <w:t>give</w:t>
      </w:r>
      <w:r w:rsidR="00D23ECC">
        <w:t xml:space="preserve"> </w:t>
      </w:r>
      <w:r>
        <w:t>credit</w:t>
      </w:r>
      <w:r w:rsidR="00D23ECC">
        <w:t xml:space="preserve"> </w:t>
      </w:r>
      <w:r>
        <w:t>to</w:t>
      </w:r>
      <w:r w:rsidR="00D23ECC">
        <w:t xml:space="preserve"> </w:t>
      </w:r>
      <w:r>
        <w:t>the</w:t>
      </w:r>
      <w:r w:rsidR="00D23ECC">
        <w:t xml:space="preserve"> </w:t>
      </w:r>
      <w:r>
        <w:t>original</w:t>
      </w:r>
      <w:r w:rsidR="00D23ECC">
        <w:t xml:space="preserve"> </w:t>
      </w:r>
      <w:r>
        <w:t>author,</w:t>
      </w:r>
      <w:r w:rsidR="00D23ECC">
        <w:t xml:space="preserve"> </w:t>
      </w:r>
      <w:r>
        <w:t>who</w:t>
      </w:r>
      <w:r w:rsidR="00D23ECC">
        <w:t xml:space="preserve"> </w:t>
      </w:r>
      <w:r>
        <w:t>is</w:t>
      </w:r>
      <w:r w:rsidR="00D23ECC">
        <w:t xml:space="preserve"> </w:t>
      </w:r>
      <w:r>
        <w:t>the</w:t>
      </w:r>
      <w:r w:rsidR="00D23ECC">
        <w:t xml:space="preserve"> </w:t>
      </w:r>
      <w:r>
        <w:t>State</w:t>
      </w:r>
      <w:r w:rsidR="00D23ECC">
        <w:t xml:space="preserve"> </w:t>
      </w:r>
      <w:r>
        <w:t>of</w:t>
      </w:r>
      <w:r w:rsidR="00D23ECC">
        <w:t xml:space="preserve"> </w:t>
      </w:r>
      <w:r>
        <w:t>Victoria.</w:t>
      </w:r>
    </w:p>
    <w:p w14:paraId="76A54EAD" w14:textId="13598D6A" w:rsidR="00DE3B0D" w:rsidRDefault="00DE3B0D" w:rsidP="00D23ECC">
      <w:pPr>
        <w:pStyle w:val="BodyText"/>
      </w:pPr>
      <w:r>
        <w:t>Ordered</w:t>
      </w:r>
      <w:r w:rsidR="00D23ECC">
        <w:t xml:space="preserve"> </w:t>
      </w:r>
      <w:r>
        <w:t>to</w:t>
      </w:r>
      <w:r w:rsidR="00D23ECC">
        <w:t xml:space="preserve"> </w:t>
      </w:r>
      <w:r>
        <w:t>be</w:t>
      </w:r>
      <w:r w:rsidR="00D23ECC">
        <w:t xml:space="preserve"> </w:t>
      </w:r>
      <w:r>
        <w:t>published</w:t>
      </w:r>
    </w:p>
    <w:p w14:paraId="3EC83B2F" w14:textId="76592A81" w:rsidR="00DE3B0D" w:rsidRDefault="00DE3B0D" w:rsidP="00D23ECC">
      <w:pPr>
        <w:pStyle w:val="BodyText"/>
      </w:pPr>
      <w:r>
        <w:t>October</w:t>
      </w:r>
      <w:r w:rsidR="00D23ECC">
        <w:t xml:space="preserve"> </w:t>
      </w:r>
      <w:r>
        <w:t>2021</w:t>
      </w:r>
      <w:r>
        <w:br/>
        <w:t>PP</w:t>
      </w:r>
      <w:r w:rsidR="00D23ECC">
        <w:t xml:space="preserve"> </w:t>
      </w:r>
      <w:r>
        <w:t>274,</w:t>
      </w:r>
      <w:r w:rsidR="00D23ECC">
        <w:t xml:space="preserve"> </w:t>
      </w:r>
      <w:r>
        <w:t>Session</w:t>
      </w:r>
      <w:r w:rsidR="00D23ECC">
        <w:t xml:space="preserve"> </w:t>
      </w:r>
      <w:r>
        <w:t>2018-21</w:t>
      </w:r>
    </w:p>
    <w:p w14:paraId="524B7D82" w14:textId="75A1D043" w:rsidR="00A41E9C" w:rsidRDefault="00A41E9C" w:rsidP="00A41E9C">
      <w:pPr>
        <w:pStyle w:val="Heading2"/>
      </w:pPr>
      <w:bookmarkStart w:id="46" w:name="_Toc85912316"/>
      <w:r>
        <w:lastRenderedPageBreak/>
        <w:t>Consumer</w:t>
      </w:r>
      <w:r w:rsidR="00D23ECC">
        <w:t xml:space="preserve"> </w:t>
      </w:r>
      <w:r>
        <w:t>Affairs</w:t>
      </w:r>
      <w:r w:rsidR="00D23ECC">
        <w:t xml:space="preserve"> </w:t>
      </w:r>
      <w:r>
        <w:t>Victoria</w:t>
      </w:r>
      <w:bookmarkEnd w:id="46"/>
    </w:p>
    <w:p w14:paraId="351AD359" w14:textId="3C45180B" w:rsidR="00A41E9C" w:rsidRDefault="00436E30" w:rsidP="00A41E9C">
      <w:pPr>
        <w:pStyle w:val="BodyText"/>
      </w:pPr>
      <w:hyperlink r:id="rId38" w:history="1">
        <w:r w:rsidR="00A41E9C" w:rsidRPr="004746BC">
          <w:rPr>
            <w:rStyle w:val="Hyperlink"/>
          </w:rPr>
          <w:t>Consumer</w:t>
        </w:r>
        <w:r w:rsidR="00D23ECC">
          <w:rPr>
            <w:rStyle w:val="Hyperlink"/>
          </w:rPr>
          <w:t xml:space="preserve"> </w:t>
        </w:r>
        <w:r w:rsidR="00A41E9C" w:rsidRPr="004746BC">
          <w:rPr>
            <w:rStyle w:val="Hyperlink"/>
          </w:rPr>
          <w:t>Affairs</w:t>
        </w:r>
        <w:r w:rsidR="00D23ECC">
          <w:rPr>
            <w:rStyle w:val="Hyperlink"/>
          </w:rPr>
          <w:t xml:space="preserve"> </w:t>
        </w:r>
        <w:r w:rsidR="00A41E9C" w:rsidRPr="004746BC">
          <w:rPr>
            <w:rStyle w:val="Hyperlink"/>
          </w:rPr>
          <w:t>Victoria</w:t>
        </w:r>
        <w:r w:rsidR="00D23ECC">
          <w:rPr>
            <w:rStyle w:val="Hyperlink"/>
          </w:rPr>
          <w:t xml:space="preserve"> </w:t>
        </w:r>
        <w:r w:rsidR="00A41E9C" w:rsidRPr="004746BC">
          <w:rPr>
            <w:rStyle w:val="Hyperlink"/>
          </w:rPr>
          <w:t>website</w:t>
        </w:r>
      </w:hyperlink>
      <w:r w:rsidR="00D23ECC">
        <w:t xml:space="preserve"> </w:t>
      </w:r>
      <w:r w:rsidR="00A41E9C">
        <w:t>&lt;consumer.vic.gov.au&gt;</w:t>
      </w:r>
    </w:p>
    <w:p w14:paraId="612ABF1E" w14:textId="41B83D28" w:rsidR="00A41E9C" w:rsidRPr="0098392C" w:rsidRDefault="00436E30" w:rsidP="00A41E9C">
      <w:pPr>
        <w:pStyle w:val="BodyText"/>
      </w:pPr>
      <w:hyperlink r:id="rId39" w:history="1">
        <w:r w:rsidR="00A41E9C">
          <w:rPr>
            <w:rStyle w:val="Hyperlink"/>
            <w:lang w:val="en-GB"/>
          </w:rPr>
          <w:t>Facebook</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Consumer</w:t>
        </w:r>
        <w:r w:rsidR="00D23ECC">
          <w:rPr>
            <w:rStyle w:val="Hyperlink"/>
            <w:lang w:val="en-GB"/>
          </w:rPr>
          <w:t xml:space="preserve"> </w:t>
        </w:r>
        <w:r w:rsidR="00A41E9C">
          <w:rPr>
            <w:rStyle w:val="Hyperlink"/>
            <w:lang w:val="en-GB"/>
          </w:rPr>
          <w:t>Affairs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facebook.com/ConsumerAffairsVictoria</w:t>
      </w:r>
      <w:r w:rsidR="00A41E9C">
        <w:rPr>
          <w:lang w:val="en-GB"/>
        </w:rPr>
        <w:t>&gt;</w:t>
      </w:r>
    </w:p>
    <w:p w14:paraId="3FF2CE2C" w14:textId="540EF53B" w:rsidR="00A41E9C" w:rsidRDefault="00436E30" w:rsidP="00A41E9C">
      <w:pPr>
        <w:pStyle w:val="BodyText"/>
        <w:rPr>
          <w:lang w:val="en-GB"/>
        </w:rPr>
      </w:pPr>
      <w:hyperlink r:id="rId40" w:history="1">
        <w:r w:rsidR="00A41E9C">
          <w:rPr>
            <w:rStyle w:val="Hyperlink"/>
            <w:lang w:val="en-GB"/>
          </w:rPr>
          <w:t>Twitter</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Consumer</w:t>
        </w:r>
        <w:r w:rsidR="00D23ECC">
          <w:rPr>
            <w:rStyle w:val="Hyperlink"/>
            <w:lang w:val="en-GB"/>
          </w:rPr>
          <w:t xml:space="preserve"> </w:t>
        </w:r>
        <w:r w:rsidR="00A41E9C">
          <w:rPr>
            <w:rStyle w:val="Hyperlink"/>
            <w:lang w:val="en-GB"/>
          </w:rPr>
          <w:t>Affairs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twitter.com/consumervic</w:t>
      </w:r>
      <w:r w:rsidR="00A41E9C">
        <w:rPr>
          <w:lang w:val="en-GB"/>
        </w:rPr>
        <w:t>&gt;</w:t>
      </w:r>
    </w:p>
    <w:p w14:paraId="26FCE590" w14:textId="5CE2C022" w:rsidR="00A66C4F" w:rsidRDefault="00436E30" w:rsidP="00D31BFE">
      <w:pPr>
        <w:pStyle w:val="BodyText"/>
        <w:rPr>
          <w:lang w:val="en-GB"/>
        </w:rPr>
      </w:pPr>
      <w:hyperlink r:id="rId41" w:history="1">
        <w:r w:rsidR="00A41E9C">
          <w:rPr>
            <w:rStyle w:val="Hyperlink"/>
            <w:lang w:val="en-GB"/>
          </w:rPr>
          <w:t>YouTube</w:t>
        </w:r>
        <w:r w:rsidR="00D23ECC">
          <w:rPr>
            <w:rStyle w:val="Hyperlink"/>
            <w:lang w:val="en-GB"/>
          </w:rPr>
          <w:t xml:space="preserve"> </w:t>
        </w:r>
        <w:r w:rsidR="00A41E9C">
          <w:rPr>
            <w:rStyle w:val="Hyperlink"/>
            <w:lang w:val="en-GB"/>
          </w:rPr>
          <w:t>page</w:t>
        </w:r>
        <w:r w:rsidR="00D23ECC">
          <w:rPr>
            <w:rStyle w:val="Hyperlink"/>
            <w:lang w:val="en-GB"/>
          </w:rPr>
          <w:t xml:space="preserve"> </w:t>
        </w:r>
        <w:r w:rsidR="00A41E9C">
          <w:rPr>
            <w:rStyle w:val="Hyperlink"/>
            <w:lang w:val="en-GB"/>
          </w:rPr>
          <w:t>of</w:t>
        </w:r>
        <w:r w:rsidR="00D23ECC">
          <w:rPr>
            <w:rStyle w:val="Hyperlink"/>
            <w:lang w:val="en-GB"/>
          </w:rPr>
          <w:t xml:space="preserve"> </w:t>
        </w:r>
        <w:r w:rsidR="00A41E9C">
          <w:rPr>
            <w:rStyle w:val="Hyperlink"/>
            <w:lang w:val="en-GB"/>
          </w:rPr>
          <w:t>Consumer</w:t>
        </w:r>
        <w:r w:rsidR="00D23ECC">
          <w:rPr>
            <w:rStyle w:val="Hyperlink"/>
            <w:lang w:val="en-GB"/>
          </w:rPr>
          <w:t xml:space="preserve"> </w:t>
        </w:r>
        <w:r w:rsidR="00A41E9C">
          <w:rPr>
            <w:rStyle w:val="Hyperlink"/>
            <w:lang w:val="en-GB"/>
          </w:rPr>
          <w:t>Affairs</w:t>
        </w:r>
        <w:r w:rsidR="00D23ECC">
          <w:rPr>
            <w:rStyle w:val="Hyperlink"/>
            <w:lang w:val="en-GB"/>
          </w:rPr>
          <w:t xml:space="preserve"> </w:t>
        </w:r>
        <w:r w:rsidR="00A41E9C">
          <w:rPr>
            <w:rStyle w:val="Hyperlink"/>
            <w:lang w:val="en-GB"/>
          </w:rPr>
          <w:t>Victoria</w:t>
        </w:r>
      </w:hyperlink>
      <w:r w:rsidR="00D23ECC">
        <w:rPr>
          <w:lang w:val="en-GB"/>
        </w:rPr>
        <w:t xml:space="preserve"> </w:t>
      </w:r>
      <w:r w:rsidR="00A41E9C">
        <w:rPr>
          <w:lang w:val="en-GB"/>
        </w:rPr>
        <w:t>&lt;</w:t>
      </w:r>
      <w:r w:rsidR="00A41E9C" w:rsidRPr="000C3AB6">
        <w:rPr>
          <w:lang w:val="en-GB"/>
        </w:rPr>
        <w:t>youtube.com/consumervic</w:t>
      </w:r>
      <w:r w:rsidR="00A41E9C">
        <w:rPr>
          <w:lang w:val="en-GB"/>
        </w:rPr>
        <w:t>&gt;</w:t>
      </w:r>
    </w:p>
    <w:p w14:paraId="6C8CA174" w14:textId="2395491D" w:rsidR="0027789E" w:rsidRDefault="0027789E" w:rsidP="0027789E">
      <w:pPr>
        <w:pStyle w:val="BodyText"/>
        <w:spacing w:before="10500"/>
        <w:rPr>
          <w:lang w:val="en-GB"/>
        </w:rPr>
      </w:pPr>
      <w:r>
        <w:rPr>
          <w:noProof/>
          <w:lang w:val="en-GB"/>
        </w:rPr>
        <w:drawing>
          <wp:inline distT="0" distB="0" distL="0" distR="0" wp14:anchorId="3122B08F" wp14:editId="73384A16">
            <wp:extent cx="1735200" cy="468000"/>
            <wp:effectExtent l="0" t="0" r="0" b="8255"/>
            <wp:docPr id="3" name="Graphic 3" descr="Victoria State Government Department of Justice and Community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ctoria State Government Department of Justice and Community Safety"/>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35200" cy="468000"/>
                    </a:xfrm>
                    <a:prstGeom prst="rect">
                      <a:avLst/>
                    </a:prstGeom>
                  </pic:spPr>
                </pic:pic>
              </a:graphicData>
            </a:graphic>
          </wp:inline>
        </w:drawing>
      </w:r>
    </w:p>
    <w:sectPr w:rsidR="0027789E" w:rsidSect="00783BEE">
      <w:footnotePr>
        <w:pos w:val="beneathText"/>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EF4C" w14:textId="77777777" w:rsidR="006F187D" w:rsidRDefault="006F187D" w:rsidP="00C71F11">
      <w:pPr>
        <w:spacing w:after="0" w:line="240" w:lineRule="auto"/>
      </w:pPr>
      <w:r>
        <w:separator/>
      </w:r>
    </w:p>
    <w:p w14:paraId="6BCC1970" w14:textId="77777777" w:rsidR="006F187D" w:rsidRDefault="006F187D"/>
    <w:p w14:paraId="53145404" w14:textId="77777777" w:rsidR="006F187D" w:rsidRDefault="006F187D"/>
    <w:p w14:paraId="2B67FF8B" w14:textId="77777777" w:rsidR="006F187D" w:rsidRDefault="006F187D"/>
    <w:p w14:paraId="3DE7BBCF" w14:textId="77777777" w:rsidR="006F187D" w:rsidRDefault="006F187D"/>
  </w:endnote>
  <w:endnote w:type="continuationSeparator" w:id="0">
    <w:p w14:paraId="5703E0FE" w14:textId="77777777" w:rsidR="006F187D" w:rsidRDefault="006F187D" w:rsidP="00C71F11">
      <w:pPr>
        <w:spacing w:after="0" w:line="240" w:lineRule="auto"/>
      </w:pPr>
      <w:r>
        <w:continuationSeparator/>
      </w:r>
    </w:p>
    <w:p w14:paraId="4ADB47F0" w14:textId="77777777" w:rsidR="006F187D" w:rsidRDefault="006F187D"/>
    <w:p w14:paraId="39C3E3F3" w14:textId="77777777" w:rsidR="006F187D" w:rsidRDefault="006F187D"/>
    <w:p w14:paraId="067C890F" w14:textId="77777777" w:rsidR="006F187D" w:rsidRDefault="006F187D"/>
    <w:p w14:paraId="3602B039" w14:textId="77777777" w:rsidR="006F187D" w:rsidRDefault="006F187D"/>
  </w:endnote>
  <w:endnote w:type="continuationNotice" w:id="1">
    <w:p w14:paraId="606227D0" w14:textId="77777777" w:rsidR="006F187D" w:rsidRDefault="006F187D">
      <w:pPr>
        <w:spacing w:after="0" w:line="240" w:lineRule="auto"/>
      </w:pPr>
    </w:p>
    <w:p w14:paraId="309E404A" w14:textId="77777777" w:rsidR="006F187D" w:rsidRDefault="006F187D"/>
    <w:p w14:paraId="42DC8DBF" w14:textId="77777777" w:rsidR="006F187D" w:rsidRDefault="006F187D"/>
    <w:p w14:paraId="7C2A1C5E" w14:textId="77777777" w:rsidR="006F187D" w:rsidRDefault="006F187D"/>
    <w:p w14:paraId="00A32585" w14:textId="77777777" w:rsidR="006F187D" w:rsidRDefault="006F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VIC-Bold">
    <w:altName w:val="VIC"/>
    <w:panose1 w:val="00000000000000000000"/>
    <w:charset w:val="4D"/>
    <w:family w:val="auto"/>
    <w:notTrueType/>
    <w:pitch w:val="default"/>
    <w:sig w:usb0="00000003" w:usb1="00000000" w:usb2="00000000" w:usb3="00000000" w:csb0="00000001" w:csb1="00000000"/>
  </w:font>
  <w:font w:name="VIC-Light">
    <w:altName w:val="VIC"/>
    <w:panose1 w:val="00000000000000000000"/>
    <w:charset w:val="4D"/>
    <w:family w:val="auto"/>
    <w:notTrueType/>
    <w:pitch w:val="default"/>
    <w:sig w:usb0="00000003" w:usb1="00000000" w:usb2="00000000" w:usb3="00000000" w:csb0="00000001" w:csb1="00000000"/>
  </w:font>
  <w:font w:name="VIC-Regular">
    <w:altName w:val="V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VIC-SemiBold">
    <w:altName w:val="Courier Ne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F73D" w14:textId="77777777" w:rsidR="00436E30" w:rsidRDefault="0043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C7D0" w14:textId="628C9737" w:rsidR="006F187D" w:rsidRDefault="006F187D" w:rsidP="00006DE3">
    <w:pPr>
      <w:pStyle w:val="Footer"/>
    </w:pPr>
    <w:r w:rsidRPr="00783BEE">
      <w:t>Consumer</w:t>
    </w:r>
    <w:r w:rsidR="00D23ECC">
      <w:t xml:space="preserve"> </w:t>
    </w:r>
    <w:r w:rsidRPr="00783BEE">
      <w:t>Affairs</w:t>
    </w:r>
    <w:r w:rsidR="00D23ECC">
      <w:t xml:space="preserve"> </w:t>
    </w:r>
    <w:r>
      <w:t>Victoria:</w:t>
    </w:r>
    <w:r w:rsidR="00D23ECC">
      <w:t xml:space="preserve"> </w:t>
    </w:r>
    <w:r>
      <w:t>Annual</w:t>
    </w:r>
    <w:r w:rsidR="00D23ECC">
      <w:t xml:space="preserve"> </w:t>
    </w:r>
    <w:r>
      <w:t>Report</w:t>
    </w:r>
    <w:r w:rsidR="00D23ECC">
      <w:t xml:space="preserve"> </w:t>
    </w:r>
    <w:r>
      <w:t>20</w:t>
    </w:r>
    <w:r w:rsidR="00D56D64">
      <w:t>20–21</w:t>
    </w:r>
    <w:r>
      <w:ptab w:relativeTo="margin" w:alignment="right" w:leader="none"/>
    </w:r>
    <w:r w:rsidRPr="00783BEE">
      <w:fldChar w:fldCharType="begin"/>
    </w:r>
    <w:r w:rsidRPr="00783BEE">
      <w:instrText xml:space="preserve"> PAGE   \* MERGEFORMAT </w:instrText>
    </w:r>
    <w:r w:rsidRPr="00783BEE">
      <w:fldChar w:fldCharType="separate"/>
    </w:r>
    <w:r>
      <w:rPr>
        <w:noProof/>
      </w:rPr>
      <w:t>41</w:t>
    </w:r>
    <w:r w:rsidRPr="00783BE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9B1B" w14:textId="77777777" w:rsidR="00436E30" w:rsidRDefault="0043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65652" w14:textId="77777777" w:rsidR="006F187D" w:rsidRPr="004D56A7" w:rsidRDefault="006F187D" w:rsidP="00880587">
      <w:pPr>
        <w:spacing w:after="0" w:line="240" w:lineRule="auto"/>
        <w:rPr>
          <w:color w:val="FFFFFF" w:themeColor="background1"/>
          <w:sz w:val="8"/>
          <w:szCs w:val="8"/>
        </w:rPr>
      </w:pPr>
    </w:p>
  </w:footnote>
  <w:footnote w:type="continuationSeparator" w:id="0">
    <w:p w14:paraId="7D728B39" w14:textId="77777777" w:rsidR="006F187D" w:rsidRDefault="006F187D" w:rsidP="00C71F11">
      <w:pPr>
        <w:spacing w:after="0" w:line="240" w:lineRule="auto"/>
      </w:pPr>
      <w:r>
        <w:continuationSeparator/>
      </w:r>
    </w:p>
    <w:p w14:paraId="2E540BA2" w14:textId="77777777" w:rsidR="006F187D" w:rsidRDefault="006F187D"/>
    <w:p w14:paraId="544502F1" w14:textId="77777777" w:rsidR="006F187D" w:rsidRDefault="006F187D"/>
    <w:p w14:paraId="2EBE0AE3" w14:textId="77777777" w:rsidR="006F187D" w:rsidRDefault="006F187D"/>
    <w:p w14:paraId="5935D54E" w14:textId="77777777" w:rsidR="006F187D" w:rsidRDefault="006F187D"/>
  </w:footnote>
  <w:footnote w:type="continuationNotice" w:id="1">
    <w:p w14:paraId="1B519D0B" w14:textId="77777777" w:rsidR="006F187D" w:rsidRDefault="006F187D">
      <w:pPr>
        <w:spacing w:after="0" w:line="240" w:lineRule="auto"/>
      </w:pPr>
    </w:p>
    <w:p w14:paraId="25027D99" w14:textId="77777777" w:rsidR="006F187D" w:rsidRDefault="006F187D"/>
    <w:p w14:paraId="061B29B1" w14:textId="77777777" w:rsidR="006F187D" w:rsidRDefault="006F187D"/>
    <w:p w14:paraId="75742922" w14:textId="77777777" w:rsidR="006F187D" w:rsidRDefault="006F187D"/>
    <w:p w14:paraId="1546F981" w14:textId="77777777" w:rsidR="006F187D" w:rsidRDefault="006F187D"/>
  </w:footnote>
  <w:footnote w:id="2">
    <w:p w14:paraId="666FA158" w14:textId="547FA847" w:rsidR="00DE3B0D" w:rsidRPr="00FB4DDA" w:rsidRDefault="00DE3B0D" w:rsidP="00733F03">
      <w:pPr>
        <w:pStyle w:val="FootnoteText"/>
      </w:pPr>
      <w:r w:rsidRPr="00FB4DDA">
        <w:footnoteRef/>
      </w:r>
      <w:r w:rsidRPr="00FB4DDA">
        <w:tab/>
        <w:t>The</w:t>
      </w:r>
      <w:r w:rsidR="00D23ECC" w:rsidRPr="00FB4DDA">
        <w:t xml:space="preserve"> </w:t>
      </w:r>
      <w:r w:rsidRPr="00FB4DDA">
        <w:t>actual</w:t>
      </w:r>
      <w:r w:rsidR="00D23ECC" w:rsidRPr="00FB4DDA">
        <w:t xml:space="preserve"> </w:t>
      </w:r>
      <w:r w:rsidRPr="00FB4DDA">
        <w:t>was</w:t>
      </w:r>
      <w:r w:rsidR="00D23ECC" w:rsidRPr="00FB4DDA">
        <w:t xml:space="preserve"> </w:t>
      </w:r>
      <w:r w:rsidRPr="00FB4DDA">
        <w:t>below</w:t>
      </w:r>
      <w:r w:rsidR="00D23ECC" w:rsidRPr="00FB4DDA">
        <w:t xml:space="preserve"> </w:t>
      </w:r>
      <w:r w:rsidRPr="00FB4DDA">
        <w:t>the</w:t>
      </w:r>
      <w:r w:rsidR="00D23ECC" w:rsidRPr="00FB4DDA">
        <w:t xml:space="preserve"> </w:t>
      </w:r>
      <w:r w:rsidRPr="00FB4DDA">
        <w:t>target</w:t>
      </w:r>
      <w:r w:rsidR="00D23ECC" w:rsidRPr="00FB4DDA">
        <w:t xml:space="preserve"> </w:t>
      </w:r>
      <w:r w:rsidRPr="00FB4DDA">
        <w:t>due</w:t>
      </w:r>
      <w:r w:rsidR="00D23ECC" w:rsidRPr="00FB4DDA">
        <w:t xml:space="preserve"> </w:t>
      </w:r>
      <w:r w:rsidRPr="00FB4DDA">
        <w:t>to</w:t>
      </w:r>
      <w:r w:rsidR="00D23ECC" w:rsidRPr="00FB4DDA">
        <w:t xml:space="preserve"> </w:t>
      </w:r>
      <w:r w:rsidRPr="00FB4DDA">
        <w:t>phone</w:t>
      </w:r>
      <w:r w:rsidR="00D23ECC" w:rsidRPr="00FB4DDA">
        <w:t xml:space="preserve"> </w:t>
      </w:r>
      <w:r w:rsidRPr="00FB4DDA">
        <w:t>services</w:t>
      </w:r>
      <w:r w:rsidR="00D23ECC" w:rsidRPr="00FB4DDA">
        <w:t xml:space="preserve"> </w:t>
      </w:r>
      <w:r w:rsidRPr="00FB4DDA">
        <w:t>being</w:t>
      </w:r>
      <w:r w:rsidR="00D23ECC" w:rsidRPr="00FB4DDA">
        <w:t xml:space="preserve"> </w:t>
      </w:r>
      <w:r w:rsidRPr="00FB4DDA">
        <w:t>restricted</w:t>
      </w:r>
      <w:r w:rsidR="00D23ECC" w:rsidRPr="00FB4DDA">
        <w:t xml:space="preserve"> </w:t>
      </w:r>
      <w:r w:rsidRPr="00FB4DDA">
        <w:t>during</w:t>
      </w:r>
      <w:r w:rsidR="00D23ECC" w:rsidRPr="00FB4DDA">
        <w:t xml:space="preserve"> </w:t>
      </w:r>
      <w:r w:rsidRPr="00FB4DDA">
        <w:t>parts</w:t>
      </w:r>
      <w:r w:rsidR="00D23ECC" w:rsidRPr="00FB4DDA">
        <w:t xml:space="preserve"> </w:t>
      </w:r>
      <w:r w:rsidRPr="00FB4DDA">
        <w:t>of</w:t>
      </w:r>
      <w:r w:rsidR="00D23ECC" w:rsidRPr="00FB4DDA">
        <w:t xml:space="preserve"> </w:t>
      </w:r>
      <w:r w:rsidRPr="00FB4DDA">
        <w:t>the</w:t>
      </w:r>
      <w:r w:rsidR="00D23ECC" w:rsidRPr="00FB4DDA">
        <w:t xml:space="preserve"> </w:t>
      </w:r>
      <w:r w:rsidRPr="00FB4DDA">
        <w:t>year</w:t>
      </w:r>
      <w:r w:rsidR="00D23ECC" w:rsidRPr="00FB4DDA">
        <w:t xml:space="preserve"> </w:t>
      </w:r>
      <w:r w:rsidRPr="00FB4DDA">
        <w:t>due</w:t>
      </w:r>
      <w:r w:rsidR="00D23ECC" w:rsidRPr="00FB4DDA">
        <w:t xml:space="preserve"> </w:t>
      </w:r>
      <w:r w:rsidRPr="00FB4DDA">
        <w:t>to</w:t>
      </w:r>
      <w:r w:rsidR="00D23ECC" w:rsidRPr="00FB4DDA">
        <w:t xml:space="preserve"> </w:t>
      </w:r>
      <w:r w:rsidRPr="00FB4DDA">
        <w:t>COVID-19</w:t>
      </w:r>
      <w:r w:rsidR="00D23ECC" w:rsidRPr="00FB4DDA">
        <w:t xml:space="preserve"> </w:t>
      </w:r>
      <w:r w:rsidRPr="00FB4DDA">
        <w:t>impacts</w:t>
      </w:r>
      <w:r w:rsidR="00D23ECC" w:rsidRPr="00FB4DDA">
        <w:t xml:space="preserve"> </w:t>
      </w:r>
      <w:r w:rsidRPr="00FB4DDA">
        <w:t>as</w:t>
      </w:r>
      <w:r w:rsidR="00D23ECC" w:rsidRPr="00FB4DDA">
        <w:t xml:space="preserve"> </w:t>
      </w:r>
      <w:r w:rsidRPr="00FB4DDA">
        <w:t>well</w:t>
      </w:r>
      <w:r w:rsidR="00D23ECC" w:rsidRPr="00FB4DDA">
        <w:t xml:space="preserve"> </w:t>
      </w:r>
      <w:r w:rsidRPr="00FB4DDA">
        <w:t>as</w:t>
      </w:r>
      <w:r w:rsidR="00D23ECC" w:rsidRPr="00FB4DDA">
        <w:t xml:space="preserve"> </w:t>
      </w:r>
      <w:r w:rsidRPr="00FB4DDA">
        <w:t>prioritisation</w:t>
      </w:r>
      <w:r w:rsidR="00D23ECC" w:rsidRPr="00FB4DDA">
        <w:t xml:space="preserve"> </w:t>
      </w:r>
      <w:r w:rsidRPr="00FB4DDA">
        <w:t>of</w:t>
      </w:r>
      <w:r w:rsidR="00D23ECC" w:rsidRPr="00FB4DDA">
        <w:t xml:space="preserve"> </w:t>
      </w:r>
      <w:r w:rsidRPr="00FB4DDA">
        <w:t>services</w:t>
      </w:r>
      <w:r w:rsidR="00D23ECC" w:rsidRPr="00FB4DDA">
        <w:t xml:space="preserve"> </w:t>
      </w:r>
      <w:r w:rsidRPr="00FB4DDA">
        <w:t>under</w:t>
      </w:r>
      <w:r w:rsidR="00D23ECC" w:rsidRPr="00FB4DDA">
        <w:t xml:space="preserve"> </w:t>
      </w:r>
      <w:r w:rsidRPr="00FB4DDA">
        <w:t>the</w:t>
      </w:r>
      <w:r w:rsidR="00D23ECC" w:rsidRPr="00FB4DDA">
        <w:t xml:space="preserve"> </w:t>
      </w:r>
      <w:r w:rsidRPr="00FB4DDA">
        <w:t>temporary</w:t>
      </w:r>
      <w:r w:rsidR="00D23ECC" w:rsidRPr="00FB4DDA">
        <w:t xml:space="preserve"> </w:t>
      </w:r>
      <w:r w:rsidRPr="00FB4DDA">
        <w:t>RTDRS.</w:t>
      </w:r>
    </w:p>
  </w:footnote>
  <w:footnote w:id="3">
    <w:p w14:paraId="638D91F8" w14:textId="6A1F6DE2" w:rsidR="00DE3B0D" w:rsidRPr="00FB4DDA" w:rsidRDefault="00DE3B0D" w:rsidP="00733F03">
      <w:pPr>
        <w:pStyle w:val="FootnoteText"/>
      </w:pPr>
      <w:r w:rsidRPr="00FB4DDA">
        <w:footnoteRef/>
      </w:r>
      <w:r w:rsidRPr="00FB4DDA">
        <w:tab/>
        <w:t>The</w:t>
      </w:r>
      <w:r w:rsidR="00D23ECC" w:rsidRPr="00FB4DDA">
        <w:t xml:space="preserve"> </w:t>
      </w:r>
      <w:r w:rsidRPr="00FB4DDA">
        <w:t>actual</w:t>
      </w:r>
      <w:r w:rsidR="00D23ECC" w:rsidRPr="00FB4DDA">
        <w:t xml:space="preserve"> </w:t>
      </w:r>
      <w:r w:rsidRPr="00FB4DDA">
        <w:t>was</w:t>
      </w:r>
      <w:r w:rsidR="00D23ECC" w:rsidRPr="00FB4DDA">
        <w:t xml:space="preserve"> </w:t>
      </w:r>
      <w:r w:rsidRPr="00FB4DDA">
        <w:t>above</w:t>
      </w:r>
      <w:r w:rsidR="00D23ECC" w:rsidRPr="00FB4DDA">
        <w:t xml:space="preserve"> </w:t>
      </w:r>
      <w:r w:rsidRPr="00FB4DDA">
        <w:t>the</w:t>
      </w:r>
      <w:r w:rsidR="00D23ECC" w:rsidRPr="00FB4DDA">
        <w:t xml:space="preserve"> </w:t>
      </w:r>
      <w:r w:rsidRPr="00FB4DDA">
        <w:t>target</w:t>
      </w:r>
      <w:r w:rsidR="00D23ECC" w:rsidRPr="00FB4DDA">
        <w:t xml:space="preserve"> </w:t>
      </w:r>
      <w:r w:rsidRPr="00FB4DDA">
        <w:t>due</w:t>
      </w:r>
      <w:r w:rsidR="00D23ECC" w:rsidRPr="00FB4DDA">
        <w:t xml:space="preserve"> </w:t>
      </w:r>
      <w:r w:rsidRPr="00FB4DDA">
        <w:t>to</w:t>
      </w:r>
      <w:r w:rsidR="00D23ECC" w:rsidRPr="00FB4DDA">
        <w:t xml:space="preserve"> </w:t>
      </w:r>
      <w:r w:rsidRPr="00FB4DDA">
        <w:t>an</w:t>
      </w:r>
      <w:r w:rsidR="00D23ECC" w:rsidRPr="00FB4DDA">
        <w:t xml:space="preserve"> </w:t>
      </w:r>
      <w:r w:rsidRPr="00FB4DDA">
        <w:t>increase</w:t>
      </w:r>
      <w:r w:rsidR="00D23ECC" w:rsidRPr="00FB4DDA">
        <w:t xml:space="preserve"> </w:t>
      </w:r>
      <w:r w:rsidRPr="00FB4DDA">
        <w:t>driven</w:t>
      </w:r>
      <w:r w:rsidR="00D23ECC" w:rsidRPr="00FB4DDA">
        <w:t xml:space="preserve"> </w:t>
      </w:r>
      <w:r w:rsidRPr="00FB4DDA">
        <w:t>by</w:t>
      </w:r>
      <w:r w:rsidR="00D23ECC" w:rsidRPr="00FB4DDA">
        <w:t xml:space="preserve"> </w:t>
      </w:r>
      <w:r w:rsidRPr="00FB4DDA">
        <w:t>the</w:t>
      </w:r>
      <w:r w:rsidR="00D23ECC" w:rsidRPr="00FB4DDA">
        <w:t xml:space="preserve"> </w:t>
      </w:r>
      <w:r w:rsidRPr="00FB4DDA">
        <w:t>temporary</w:t>
      </w:r>
      <w:r w:rsidR="00D23ECC" w:rsidRPr="00FB4DDA">
        <w:t xml:space="preserve"> </w:t>
      </w:r>
      <w:r w:rsidRPr="00FB4DDA">
        <w:t>RTDRS</w:t>
      </w:r>
      <w:r w:rsidR="00D23ECC" w:rsidRPr="00FB4DDA">
        <w:t xml:space="preserve"> </w:t>
      </w:r>
      <w:r w:rsidRPr="00FB4DDA">
        <w:t>and</w:t>
      </w:r>
      <w:r w:rsidR="00D23ECC" w:rsidRPr="00FB4DDA">
        <w:t xml:space="preserve"> </w:t>
      </w:r>
      <w:r w:rsidRPr="00FB4DDA">
        <w:t>an</w:t>
      </w:r>
      <w:r w:rsidR="00D23ECC" w:rsidRPr="00FB4DDA">
        <w:t xml:space="preserve"> </w:t>
      </w:r>
      <w:r w:rsidRPr="00FB4DDA">
        <w:t>increase</w:t>
      </w:r>
      <w:r w:rsidR="00D23ECC" w:rsidRPr="00FB4DDA">
        <w:t xml:space="preserve"> </w:t>
      </w:r>
      <w:r w:rsidRPr="00FB4DDA">
        <w:t>in</w:t>
      </w:r>
      <w:r w:rsidR="00D23ECC" w:rsidRPr="00FB4DDA">
        <w:t xml:space="preserve"> </w:t>
      </w:r>
      <w:r w:rsidRPr="00FB4DDA">
        <w:t>service</w:t>
      </w:r>
      <w:r w:rsidR="00D23ECC" w:rsidRPr="00FB4DDA">
        <w:t xml:space="preserve"> </w:t>
      </w:r>
      <w:r w:rsidRPr="00FB4DDA">
        <w:t>demand</w:t>
      </w:r>
      <w:r w:rsidR="00D23ECC" w:rsidRPr="00FB4DDA">
        <w:t xml:space="preserve"> </w:t>
      </w:r>
      <w:r w:rsidRPr="00FB4DDA">
        <w:t>while</w:t>
      </w:r>
      <w:r w:rsidR="00D23ECC" w:rsidRPr="00FB4DDA">
        <w:t xml:space="preserve"> </w:t>
      </w:r>
      <w:r w:rsidRPr="00FB4DDA">
        <w:t>phone</w:t>
      </w:r>
      <w:r w:rsidR="00D23ECC" w:rsidRPr="00FB4DDA">
        <w:t xml:space="preserve"> </w:t>
      </w:r>
      <w:r w:rsidRPr="00FB4DDA">
        <w:t>services</w:t>
      </w:r>
      <w:r w:rsidR="00D23ECC" w:rsidRPr="00FB4DDA">
        <w:t xml:space="preserve"> </w:t>
      </w:r>
      <w:r w:rsidRPr="00FB4DDA">
        <w:t>were</w:t>
      </w:r>
      <w:r w:rsidR="00D23ECC" w:rsidRPr="00FB4DDA">
        <w:t xml:space="preserve"> </w:t>
      </w:r>
      <w:r w:rsidRPr="00FB4DDA">
        <w:t>restricted</w:t>
      </w:r>
      <w:r w:rsidR="00D23ECC" w:rsidRPr="00FB4DDA">
        <w:t xml:space="preserve"> </w:t>
      </w:r>
      <w:r w:rsidRPr="00FB4DDA">
        <w:t>during</w:t>
      </w:r>
      <w:r w:rsidR="00D23ECC" w:rsidRPr="00FB4DDA">
        <w:t xml:space="preserve"> </w:t>
      </w:r>
      <w:r w:rsidRPr="00FB4DDA">
        <w:t>parts</w:t>
      </w:r>
      <w:r w:rsidR="00D23ECC" w:rsidRPr="00FB4DDA">
        <w:t xml:space="preserve"> </w:t>
      </w:r>
      <w:r w:rsidRPr="00FB4DDA">
        <w:t>of</w:t>
      </w:r>
      <w:r w:rsidR="00D23ECC" w:rsidRPr="00FB4DDA">
        <w:t xml:space="preserve"> </w:t>
      </w:r>
      <w:r w:rsidRPr="00FB4DDA">
        <w:t>the</w:t>
      </w:r>
      <w:r w:rsidR="00D23ECC" w:rsidRPr="00FB4DDA">
        <w:t xml:space="preserve"> </w:t>
      </w:r>
      <w:r w:rsidRPr="00FB4DDA">
        <w:t>year</w:t>
      </w:r>
      <w:r w:rsidR="00D23ECC" w:rsidRPr="00FB4DDA">
        <w:t xml:space="preserve"> </w:t>
      </w:r>
      <w:r w:rsidRPr="00FB4DDA">
        <w:t>due</w:t>
      </w:r>
      <w:r w:rsidR="00D23ECC" w:rsidRPr="00FB4DDA">
        <w:t xml:space="preserve"> </w:t>
      </w:r>
      <w:r w:rsidRPr="00FB4DDA">
        <w:t>to</w:t>
      </w:r>
      <w:r w:rsidR="00D23ECC" w:rsidRPr="00FB4DDA">
        <w:t xml:space="preserve"> </w:t>
      </w:r>
      <w:r w:rsidRPr="00FB4DDA">
        <w:t>COVID-19</w:t>
      </w:r>
      <w:r w:rsidR="00D23ECC" w:rsidRPr="00FB4DDA">
        <w:t xml:space="preserve"> </w:t>
      </w:r>
      <w:r w:rsidRPr="00FB4DDA">
        <w:t>impact</w:t>
      </w:r>
      <w:r w:rsidRPr="00FB4DDA">
        <w:rPr>
          <w:rFonts w:ascii="ArialMT" w:hAnsi="ArialMT" w:cs="ArialMT"/>
        </w:rPr>
        <w:t>s.</w:t>
      </w:r>
    </w:p>
  </w:footnote>
  <w:footnote w:id="4">
    <w:p w14:paraId="4925D19A" w14:textId="5E6823E3" w:rsidR="00DE3B0D" w:rsidRPr="00FB4DDA" w:rsidRDefault="00DE3B0D" w:rsidP="00A95E63">
      <w:pPr>
        <w:pStyle w:val="FootnoteText"/>
      </w:pPr>
      <w:r w:rsidRPr="00FB4DDA">
        <w:footnoteRef/>
      </w:r>
      <w:r w:rsidRPr="00FB4DDA">
        <w:tab/>
        <w:t>The</w:t>
      </w:r>
      <w:r w:rsidR="00D23ECC" w:rsidRPr="00FB4DDA">
        <w:t xml:space="preserve"> </w:t>
      </w:r>
      <w:r w:rsidRPr="00FB4DDA">
        <w:t>actual</w:t>
      </w:r>
      <w:r w:rsidR="00D23ECC" w:rsidRPr="00FB4DDA">
        <w:t xml:space="preserve"> </w:t>
      </w:r>
      <w:r w:rsidRPr="00FB4DDA">
        <w:t>was</w:t>
      </w:r>
      <w:r w:rsidR="00D23ECC" w:rsidRPr="00FB4DDA">
        <w:t xml:space="preserve"> </w:t>
      </w:r>
      <w:r w:rsidRPr="00FB4DDA">
        <w:t>below</w:t>
      </w:r>
      <w:r w:rsidR="00D23ECC" w:rsidRPr="00FB4DDA">
        <w:t xml:space="preserve"> </w:t>
      </w:r>
      <w:r w:rsidRPr="00FB4DDA">
        <w:t>target</w:t>
      </w:r>
      <w:r w:rsidR="00D23ECC" w:rsidRPr="00FB4DDA">
        <w:t xml:space="preserve"> </w:t>
      </w:r>
      <w:r w:rsidRPr="00FB4DDA">
        <w:t>as</w:t>
      </w:r>
      <w:r w:rsidR="00D23ECC" w:rsidRPr="00FB4DDA">
        <w:t xml:space="preserve"> </w:t>
      </w:r>
      <w:r w:rsidRPr="00FB4DDA">
        <w:t>court</w:t>
      </w:r>
      <w:r w:rsidR="00D23ECC" w:rsidRPr="00FB4DDA">
        <w:t xml:space="preserve"> </w:t>
      </w:r>
      <w:r w:rsidRPr="00FB4DDA">
        <w:t>and</w:t>
      </w:r>
      <w:r w:rsidR="00D23ECC" w:rsidRPr="00FB4DDA">
        <w:t xml:space="preserve"> </w:t>
      </w:r>
      <w:r w:rsidRPr="00FB4DDA">
        <w:t>administrative</w:t>
      </w:r>
      <w:r w:rsidR="00D23ECC" w:rsidRPr="00FB4DDA">
        <w:t xml:space="preserve"> </w:t>
      </w:r>
      <w:r w:rsidRPr="00FB4DDA">
        <w:t>outcomes</w:t>
      </w:r>
      <w:r w:rsidR="00D23ECC" w:rsidRPr="00FB4DDA">
        <w:t xml:space="preserve"> </w:t>
      </w:r>
      <w:r w:rsidRPr="00FB4DDA">
        <w:t>rely</w:t>
      </w:r>
      <w:r w:rsidR="00D23ECC" w:rsidRPr="00FB4DDA">
        <w:t xml:space="preserve"> </w:t>
      </w:r>
      <w:r w:rsidRPr="00FB4DDA">
        <w:t>on</w:t>
      </w:r>
      <w:r w:rsidR="00D23ECC" w:rsidRPr="00FB4DDA">
        <w:t xml:space="preserve"> </w:t>
      </w:r>
      <w:r w:rsidRPr="00FB4DDA">
        <w:t>investigation</w:t>
      </w:r>
      <w:r w:rsidR="00D23ECC" w:rsidRPr="00FB4DDA">
        <w:t xml:space="preserve"> </w:t>
      </w:r>
      <w:r w:rsidRPr="00FB4DDA">
        <w:t>outcomes.</w:t>
      </w:r>
      <w:r w:rsidR="00D23ECC" w:rsidRPr="00FB4DDA">
        <w:t xml:space="preserve"> </w:t>
      </w:r>
      <w:r w:rsidRPr="00FB4DDA">
        <w:t>Investigation</w:t>
      </w:r>
      <w:r w:rsidR="00D23ECC" w:rsidRPr="00FB4DDA">
        <w:t xml:space="preserve"> </w:t>
      </w:r>
      <w:r w:rsidRPr="00FB4DDA">
        <w:t>outcomes</w:t>
      </w:r>
      <w:r w:rsidR="00D23ECC" w:rsidRPr="00FB4DDA">
        <w:t xml:space="preserve"> </w:t>
      </w:r>
      <w:r w:rsidRPr="00FB4DDA">
        <w:t>decreased</w:t>
      </w:r>
      <w:r w:rsidR="00D23ECC" w:rsidRPr="00FB4DDA">
        <w:t xml:space="preserve"> </w:t>
      </w:r>
      <w:r w:rsidRPr="00FB4DDA">
        <w:t>as</w:t>
      </w:r>
      <w:r w:rsidR="00D23ECC" w:rsidRPr="00FB4DDA">
        <w:t xml:space="preserve"> </w:t>
      </w:r>
      <w:r w:rsidRPr="00FB4DDA">
        <w:t>a</w:t>
      </w:r>
      <w:r w:rsidR="00D23ECC" w:rsidRPr="00FB4DDA">
        <w:t xml:space="preserve"> </w:t>
      </w:r>
      <w:r w:rsidRPr="00FB4DDA">
        <w:t>limited</w:t>
      </w:r>
      <w:r w:rsidR="00D23ECC" w:rsidRPr="00FB4DDA">
        <w:t xml:space="preserve"> </w:t>
      </w:r>
      <w:r w:rsidRPr="00FB4DDA">
        <w:t>number</w:t>
      </w:r>
      <w:r w:rsidR="00D23ECC" w:rsidRPr="00FB4DDA">
        <w:t xml:space="preserve"> </w:t>
      </w:r>
      <w:r w:rsidRPr="00FB4DDA">
        <w:t>of</w:t>
      </w:r>
      <w:r w:rsidR="00D23ECC" w:rsidRPr="00FB4DDA">
        <w:t xml:space="preserve"> </w:t>
      </w:r>
      <w:r w:rsidRPr="00FB4DDA">
        <w:t>on-site</w:t>
      </w:r>
      <w:r w:rsidR="00D23ECC" w:rsidRPr="00FB4DDA">
        <w:t xml:space="preserve"> </w:t>
      </w:r>
      <w:r w:rsidRPr="00FB4DDA">
        <w:t>inspections</w:t>
      </w:r>
      <w:r w:rsidR="00D23ECC" w:rsidRPr="00FB4DDA">
        <w:t xml:space="preserve"> </w:t>
      </w:r>
      <w:r w:rsidRPr="00FB4DDA">
        <w:t>were</w:t>
      </w:r>
      <w:r w:rsidR="00D23ECC" w:rsidRPr="00FB4DDA">
        <w:t xml:space="preserve"> </w:t>
      </w:r>
      <w:r w:rsidRPr="00FB4DDA">
        <w:t>able</w:t>
      </w:r>
      <w:r w:rsidR="00D23ECC" w:rsidRPr="00FB4DDA">
        <w:t xml:space="preserve"> </w:t>
      </w:r>
      <w:r w:rsidRPr="00FB4DDA">
        <w:t>to</w:t>
      </w:r>
      <w:r w:rsidR="00D23ECC" w:rsidRPr="00FB4DDA">
        <w:t xml:space="preserve"> </w:t>
      </w:r>
      <w:r w:rsidRPr="00FB4DDA">
        <w:t>be</w:t>
      </w:r>
      <w:r w:rsidR="00D23ECC" w:rsidRPr="00FB4DDA">
        <w:t xml:space="preserve"> </w:t>
      </w:r>
      <w:r w:rsidRPr="00FB4DDA">
        <w:t>undertaken</w:t>
      </w:r>
      <w:r w:rsidR="00D23ECC" w:rsidRPr="00FB4DDA">
        <w:t xml:space="preserve"> </w:t>
      </w:r>
      <w:r w:rsidRPr="00FB4DDA">
        <w:t>due</w:t>
      </w:r>
      <w:r w:rsidR="00D23ECC" w:rsidRPr="00FB4DDA">
        <w:t xml:space="preserve"> </w:t>
      </w:r>
      <w:r w:rsidRPr="00FB4DDA">
        <w:t>to</w:t>
      </w:r>
      <w:r w:rsidR="00D23ECC" w:rsidRPr="00FB4DDA">
        <w:t xml:space="preserve"> </w:t>
      </w:r>
      <w:r w:rsidRPr="00FB4DDA">
        <w:t>COVID-19</w:t>
      </w:r>
      <w:r w:rsidR="00D23ECC" w:rsidRPr="00FB4DDA">
        <w:t xml:space="preserve"> </w:t>
      </w:r>
      <w:r w:rsidRPr="00FB4DDA">
        <w:t>restrictions.</w:t>
      </w:r>
      <w:r w:rsidR="00D23ECC" w:rsidRPr="00FB4DDA">
        <w:t xml:space="preserve"> </w:t>
      </w:r>
      <w:r w:rsidRPr="00FB4DDA">
        <w:t>The</w:t>
      </w:r>
      <w:r w:rsidR="00D23ECC" w:rsidRPr="00FB4DDA">
        <w:t xml:space="preserve"> </w:t>
      </w:r>
      <w:r w:rsidRPr="00FB4DDA">
        <w:t>target</w:t>
      </w:r>
      <w:r w:rsidR="00D23ECC" w:rsidRPr="00FB4DDA">
        <w:t xml:space="preserve"> </w:t>
      </w:r>
      <w:r w:rsidRPr="00FB4DDA">
        <w:t>was</w:t>
      </w:r>
      <w:r w:rsidR="00D23ECC" w:rsidRPr="00FB4DDA">
        <w:t xml:space="preserve"> </w:t>
      </w:r>
      <w:r w:rsidRPr="00FB4DDA">
        <w:t>also</w:t>
      </w:r>
      <w:r w:rsidR="00D23ECC" w:rsidRPr="00FB4DDA">
        <w:t xml:space="preserve"> </w:t>
      </w:r>
      <w:r w:rsidRPr="00FB4DDA">
        <w:t>impacted</w:t>
      </w:r>
      <w:r w:rsidR="00D23ECC" w:rsidRPr="00FB4DDA">
        <w:t xml:space="preserve"> </w:t>
      </w:r>
      <w:r w:rsidRPr="00FB4DDA">
        <w:t>by</w:t>
      </w:r>
      <w:r w:rsidR="00D23ECC" w:rsidRPr="00FB4DDA">
        <w:t xml:space="preserve"> </w:t>
      </w:r>
      <w:r w:rsidRPr="00FB4DDA">
        <w:t>staff</w:t>
      </w:r>
      <w:r w:rsidR="00D23ECC" w:rsidRPr="00FB4DDA">
        <w:t xml:space="preserve"> </w:t>
      </w:r>
      <w:r w:rsidRPr="00FB4DDA">
        <w:t>resources</w:t>
      </w:r>
      <w:r w:rsidR="00D23ECC" w:rsidRPr="00FB4DDA">
        <w:t xml:space="preserve"> </w:t>
      </w:r>
      <w:r w:rsidRPr="00FB4DDA">
        <w:t>being</w:t>
      </w:r>
      <w:r w:rsidR="00D23ECC" w:rsidRPr="00FB4DDA">
        <w:t xml:space="preserve"> </w:t>
      </w:r>
      <w:r w:rsidRPr="00FB4DDA">
        <w:t>diverted</w:t>
      </w:r>
      <w:r w:rsidR="00D23ECC" w:rsidRPr="00FB4DDA">
        <w:t xml:space="preserve"> </w:t>
      </w:r>
      <w:r w:rsidRPr="00FB4DDA">
        <w:t>to</w:t>
      </w:r>
      <w:r w:rsidR="00D23ECC" w:rsidRPr="00FB4DDA">
        <w:t xml:space="preserve"> </w:t>
      </w:r>
      <w:r w:rsidRPr="00FB4DDA">
        <w:t>the</w:t>
      </w:r>
      <w:r w:rsidR="00D23ECC" w:rsidRPr="00FB4DDA">
        <w:t xml:space="preserve"> </w:t>
      </w:r>
      <w:r w:rsidRPr="00FB4DDA">
        <w:t>RTDRS.</w:t>
      </w:r>
    </w:p>
  </w:footnote>
  <w:footnote w:id="5">
    <w:p w14:paraId="4AE6DA1C" w14:textId="3631AC0D" w:rsidR="00DE3B0D" w:rsidRPr="00FB4DDA" w:rsidRDefault="00DE3B0D" w:rsidP="00733F03">
      <w:pPr>
        <w:pStyle w:val="FootnoteText"/>
      </w:pPr>
      <w:r w:rsidRPr="00FB4DDA">
        <w:footnoteRef/>
      </w:r>
      <w:r w:rsidRPr="00FB4DDA">
        <w:tab/>
        <w:t>The</w:t>
      </w:r>
      <w:r w:rsidR="00D23ECC" w:rsidRPr="00FB4DDA">
        <w:t xml:space="preserve"> </w:t>
      </w:r>
      <w:r w:rsidRPr="00FB4DDA">
        <w:t>2020–21</w:t>
      </w:r>
      <w:r w:rsidR="00D23ECC" w:rsidRPr="00FB4DDA">
        <w:t xml:space="preserve"> </w:t>
      </w:r>
      <w:r w:rsidRPr="00FB4DDA">
        <w:t>expected</w:t>
      </w:r>
      <w:r w:rsidR="00D23ECC" w:rsidRPr="00FB4DDA">
        <w:t xml:space="preserve"> </w:t>
      </w:r>
      <w:r w:rsidRPr="00FB4DDA">
        <w:t>outcome</w:t>
      </w:r>
      <w:r w:rsidR="00D23ECC" w:rsidRPr="00FB4DDA">
        <w:t xml:space="preserve"> </w:t>
      </w:r>
      <w:r w:rsidRPr="00FB4DDA">
        <w:t>is</w:t>
      </w:r>
      <w:r w:rsidR="00D23ECC" w:rsidRPr="00FB4DDA">
        <w:t xml:space="preserve"> </w:t>
      </w:r>
      <w:r w:rsidRPr="00FB4DDA">
        <w:t>lower</w:t>
      </w:r>
      <w:r w:rsidR="00D23ECC" w:rsidRPr="00FB4DDA">
        <w:t xml:space="preserve"> </w:t>
      </w:r>
      <w:r w:rsidRPr="00FB4DDA">
        <w:t>than</w:t>
      </w:r>
      <w:r w:rsidR="00D23ECC" w:rsidRPr="00FB4DDA">
        <w:t xml:space="preserve"> </w:t>
      </w:r>
      <w:r w:rsidRPr="00FB4DDA">
        <w:t>the</w:t>
      </w:r>
      <w:r w:rsidR="00D23ECC" w:rsidRPr="00FB4DDA">
        <w:t xml:space="preserve"> </w:t>
      </w:r>
      <w:r w:rsidRPr="00FB4DDA">
        <w:t>2020–21</w:t>
      </w:r>
      <w:r w:rsidR="00D23ECC" w:rsidRPr="00FB4DDA">
        <w:t xml:space="preserve"> </w:t>
      </w:r>
      <w:r w:rsidRPr="00FB4DDA">
        <w:t>target</w:t>
      </w:r>
      <w:r w:rsidR="00D23ECC" w:rsidRPr="00FB4DDA">
        <w:t xml:space="preserve"> </w:t>
      </w:r>
      <w:r w:rsidRPr="00FB4DDA">
        <w:t>due</w:t>
      </w:r>
      <w:r w:rsidR="00D23ECC" w:rsidRPr="00FB4DDA">
        <w:t xml:space="preserve"> </w:t>
      </w:r>
      <w:r w:rsidRPr="00FB4DDA">
        <w:t>to</w:t>
      </w:r>
      <w:r w:rsidR="00D23ECC" w:rsidRPr="00FB4DDA">
        <w:t xml:space="preserve"> </w:t>
      </w:r>
      <w:r w:rsidRPr="00FB4DDA">
        <w:t>fewer</w:t>
      </w:r>
      <w:r w:rsidR="00D23ECC" w:rsidRPr="00FB4DDA">
        <w:t xml:space="preserve"> </w:t>
      </w:r>
      <w:r w:rsidRPr="00FB4DDA">
        <w:t>people</w:t>
      </w:r>
      <w:r w:rsidR="00D23ECC" w:rsidRPr="00FB4DDA">
        <w:t xml:space="preserve"> </w:t>
      </w:r>
      <w:r w:rsidRPr="00FB4DDA">
        <w:t>accessing</w:t>
      </w:r>
      <w:r w:rsidR="00D23ECC" w:rsidRPr="00FB4DDA">
        <w:t xml:space="preserve"> </w:t>
      </w:r>
      <w:r w:rsidRPr="00FB4DDA">
        <w:t>the</w:t>
      </w:r>
      <w:r w:rsidR="00D23ECC" w:rsidRPr="00FB4DDA">
        <w:t xml:space="preserve"> </w:t>
      </w:r>
      <w:r w:rsidRPr="00FB4DDA">
        <w:t>service</w:t>
      </w:r>
      <w:r w:rsidR="00D23ECC" w:rsidRPr="00FB4DDA">
        <w:t xml:space="preserve"> </w:t>
      </w:r>
      <w:r w:rsidRPr="00FB4DDA">
        <w:t>as</w:t>
      </w:r>
      <w:r w:rsidR="00D23ECC" w:rsidRPr="00FB4DDA">
        <w:t xml:space="preserve"> </w:t>
      </w:r>
      <w:r w:rsidRPr="00FB4DDA">
        <w:t>a</w:t>
      </w:r>
      <w:r w:rsidR="00D23ECC" w:rsidRPr="00FB4DDA">
        <w:t xml:space="preserve"> </w:t>
      </w:r>
      <w:r w:rsidRPr="00FB4DDA">
        <w:t>result</w:t>
      </w:r>
      <w:r w:rsidR="00D23ECC" w:rsidRPr="00FB4DDA">
        <w:t xml:space="preserve"> </w:t>
      </w:r>
      <w:r w:rsidRPr="00FB4DDA">
        <w:t>of</w:t>
      </w:r>
      <w:r w:rsidR="00D23ECC" w:rsidRPr="00FB4DDA">
        <w:t xml:space="preserve"> </w:t>
      </w:r>
      <w:r w:rsidRPr="00FB4DDA">
        <w:t>COVID-19.</w:t>
      </w:r>
    </w:p>
  </w:footnote>
  <w:footnote w:id="6">
    <w:p w14:paraId="5D1A00AC" w14:textId="1C8937AC" w:rsidR="00DE3B0D" w:rsidRPr="00FB4DDA" w:rsidRDefault="00DE3B0D" w:rsidP="00733F03">
      <w:pPr>
        <w:pStyle w:val="FootnoteText"/>
      </w:pPr>
      <w:r w:rsidRPr="00FB4DDA">
        <w:footnoteRef/>
      </w:r>
      <w:r w:rsidRPr="00FB4DDA">
        <w:tab/>
        <w:t>The</w:t>
      </w:r>
      <w:r w:rsidR="00D23ECC" w:rsidRPr="00FB4DDA">
        <w:t xml:space="preserve"> </w:t>
      </w:r>
      <w:r w:rsidRPr="00FB4DDA">
        <w:t>actual</w:t>
      </w:r>
      <w:r w:rsidR="00D23ECC" w:rsidRPr="00FB4DDA">
        <w:t xml:space="preserve"> </w:t>
      </w:r>
      <w:r w:rsidRPr="00FB4DDA">
        <w:t>is</w:t>
      </w:r>
      <w:r w:rsidR="00D23ECC" w:rsidRPr="00FB4DDA">
        <w:t xml:space="preserve"> </w:t>
      </w:r>
      <w:r w:rsidRPr="00FB4DDA">
        <w:t>below</w:t>
      </w:r>
      <w:r w:rsidR="00D23ECC" w:rsidRPr="00FB4DDA">
        <w:t xml:space="preserve"> </w:t>
      </w:r>
      <w:r w:rsidRPr="00FB4DDA">
        <w:t>the</w:t>
      </w:r>
      <w:r w:rsidR="00D23ECC" w:rsidRPr="00FB4DDA">
        <w:t xml:space="preserve"> </w:t>
      </w:r>
      <w:r w:rsidRPr="00FB4DDA">
        <w:t>target</w:t>
      </w:r>
      <w:r w:rsidR="00D23ECC" w:rsidRPr="00FB4DDA">
        <w:t xml:space="preserve"> </w:t>
      </w:r>
      <w:r w:rsidRPr="00FB4DDA">
        <w:t>due</w:t>
      </w:r>
      <w:r w:rsidR="00D23ECC" w:rsidRPr="00FB4DDA">
        <w:t xml:space="preserve"> </w:t>
      </w:r>
      <w:r w:rsidRPr="00FB4DDA">
        <w:t>to</w:t>
      </w:r>
      <w:r w:rsidR="00D23ECC" w:rsidRPr="00FB4DDA">
        <w:t xml:space="preserve"> </w:t>
      </w:r>
      <w:r w:rsidRPr="00FB4DDA">
        <w:t>the</w:t>
      </w:r>
      <w:r w:rsidR="00D23ECC" w:rsidRPr="00FB4DDA">
        <w:t xml:space="preserve"> </w:t>
      </w:r>
      <w:r w:rsidRPr="00FB4DDA">
        <w:t>reduced</w:t>
      </w:r>
      <w:r w:rsidR="00D23ECC" w:rsidRPr="00FB4DDA">
        <w:t xml:space="preserve"> </w:t>
      </w:r>
      <w:r w:rsidRPr="00FB4DDA">
        <w:t>number</w:t>
      </w:r>
      <w:r w:rsidR="00D23ECC" w:rsidRPr="00FB4DDA">
        <w:t xml:space="preserve"> </w:t>
      </w:r>
      <w:r w:rsidRPr="00FB4DDA">
        <w:t>of</w:t>
      </w:r>
      <w:r w:rsidR="00D23ECC" w:rsidRPr="00FB4DDA">
        <w:t xml:space="preserve"> </w:t>
      </w:r>
      <w:r w:rsidRPr="00FB4DDA">
        <w:t>applications</w:t>
      </w:r>
      <w:r w:rsidR="00D23ECC" w:rsidRPr="00FB4DDA">
        <w:t xml:space="preserve"> </w:t>
      </w:r>
      <w:r w:rsidRPr="00FB4DDA">
        <w:t>received</w:t>
      </w:r>
      <w:r w:rsidR="00D23ECC" w:rsidRPr="00FB4DDA">
        <w:t xml:space="preserve"> </w:t>
      </w:r>
      <w:r w:rsidRPr="00FB4DDA">
        <w:t>as</w:t>
      </w:r>
      <w:r w:rsidR="00D23ECC" w:rsidRPr="00FB4DDA">
        <w:t xml:space="preserve"> </w:t>
      </w:r>
      <w:r w:rsidRPr="00FB4DDA">
        <w:t>a</w:t>
      </w:r>
      <w:r w:rsidR="00D23ECC" w:rsidRPr="00FB4DDA">
        <w:t xml:space="preserve"> </w:t>
      </w:r>
      <w:r w:rsidRPr="00FB4DDA">
        <w:t>result</w:t>
      </w:r>
      <w:r w:rsidR="00D23ECC" w:rsidRPr="00FB4DDA">
        <w:t xml:space="preserve"> </w:t>
      </w:r>
      <w:r w:rsidRPr="00FB4DDA">
        <w:t>of</w:t>
      </w:r>
      <w:r w:rsidR="00D23ECC" w:rsidRPr="00FB4DDA">
        <w:t xml:space="preserve"> </w:t>
      </w:r>
      <w:r w:rsidRPr="00FB4DDA">
        <w:t>COVID-19.</w:t>
      </w:r>
    </w:p>
  </w:footnote>
  <w:footnote w:id="7">
    <w:p w14:paraId="02CC397B" w14:textId="572988D1" w:rsidR="00DE3B0D" w:rsidRDefault="00DE3B0D" w:rsidP="00733F03">
      <w:pPr>
        <w:pStyle w:val="FootnoteText"/>
      </w:pPr>
      <w:r w:rsidRPr="00FB4DDA">
        <w:footnoteRef/>
      </w:r>
      <w:r w:rsidRPr="00FB4DDA">
        <w:tab/>
        <w:t>The</w:t>
      </w:r>
      <w:r w:rsidR="00D23ECC" w:rsidRPr="00FB4DDA">
        <w:t xml:space="preserve"> </w:t>
      </w:r>
      <w:r w:rsidRPr="00FB4DDA">
        <w:t>actual</w:t>
      </w:r>
      <w:r w:rsidR="00D23ECC" w:rsidRPr="00FB4DDA">
        <w:t xml:space="preserve"> </w:t>
      </w:r>
      <w:r w:rsidRPr="00FB4DDA">
        <w:t>is</w:t>
      </w:r>
      <w:r w:rsidR="00D23ECC" w:rsidRPr="00FB4DDA">
        <w:t xml:space="preserve"> </w:t>
      </w:r>
      <w:r w:rsidRPr="00FB4DDA">
        <w:t>below</w:t>
      </w:r>
      <w:r w:rsidR="00D23ECC" w:rsidRPr="00FB4DDA">
        <w:t xml:space="preserve"> </w:t>
      </w:r>
      <w:r w:rsidRPr="00FB4DDA">
        <w:t>the</w:t>
      </w:r>
      <w:r w:rsidR="00D23ECC" w:rsidRPr="00FB4DDA">
        <w:t xml:space="preserve"> </w:t>
      </w:r>
      <w:r w:rsidRPr="00FB4DDA">
        <w:t>target</w:t>
      </w:r>
      <w:r w:rsidR="00D23ECC" w:rsidRPr="00FB4DDA">
        <w:t xml:space="preserve"> </w:t>
      </w:r>
      <w:r w:rsidRPr="00FB4DDA">
        <w:t>due</w:t>
      </w:r>
      <w:r w:rsidR="00D23ECC" w:rsidRPr="00FB4DDA">
        <w:t xml:space="preserve"> </w:t>
      </w:r>
      <w:r w:rsidRPr="00FB4DDA">
        <w:t>to</w:t>
      </w:r>
      <w:r w:rsidR="00D23ECC" w:rsidRPr="00FB4DDA">
        <w:t xml:space="preserve"> </w:t>
      </w:r>
      <w:r w:rsidRPr="00FB4DDA">
        <w:t>the</w:t>
      </w:r>
      <w:r w:rsidR="00D23ECC" w:rsidRPr="00FB4DDA">
        <w:t xml:space="preserve"> </w:t>
      </w:r>
      <w:r w:rsidRPr="00FB4DDA">
        <w:t>impact</w:t>
      </w:r>
      <w:r w:rsidR="00D23ECC" w:rsidRPr="00FB4DDA">
        <w:t xml:space="preserve"> </w:t>
      </w:r>
      <w:r w:rsidRPr="00FB4DDA">
        <w:t>COVID-19</w:t>
      </w:r>
      <w:r w:rsidR="00D23ECC" w:rsidRPr="00FB4DDA">
        <w:t xml:space="preserve"> </w:t>
      </w:r>
      <w:r w:rsidRPr="00FB4DDA">
        <w:t>has</w:t>
      </w:r>
      <w:r w:rsidR="00D23ECC" w:rsidRPr="00FB4DDA">
        <w:t xml:space="preserve"> </w:t>
      </w:r>
      <w:r w:rsidRPr="00FB4DDA">
        <w:t>had</w:t>
      </w:r>
      <w:r w:rsidR="00D23ECC" w:rsidRPr="00FB4DDA">
        <w:t xml:space="preserve"> </w:t>
      </w:r>
      <w:r w:rsidRPr="00FB4DDA">
        <w:t>on</w:t>
      </w:r>
      <w:r w:rsidR="00D23ECC" w:rsidRPr="00FB4DDA">
        <w:t xml:space="preserve"> </w:t>
      </w:r>
      <w:r w:rsidRPr="00FB4DDA">
        <w:t>some</w:t>
      </w:r>
      <w:r w:rsidR="00D23ECC" w:rsidRPr="00FB4DDA">
        <w:t xml:space="preserve"> </w:t>
      </w:r>
      <w:r w:rsidRPr="00FB4DDA">
        <w:t>businesses</w:t>
      </w:r>
      <w:r w:rsidR="00D23ECC" w:rsidRPr="00FB4DDA">
        <w:t xml:space="preserve"> </w:t>
      </w:r>
      <w:r w:rsidRPr="00FB4DDA">
        <w:t>meeting</w:t>
      </w:r>
      <w:r w:rsidR="00D23ECC" w:rsidRPr="00FB4DDA">
        <w:t xml:space="preserve"> </w:t>
      </w:r>
      <w:r w:rsidRPr="00FB4DDA">
        <w:t>their</w:t>
      </w:r>
      <w:r w:rsidR="00D23ECC" w:rsidRPr="00FB4DDA">
        <w:t xml:space="preserve"> </w:t>
      </w:r>
      <w:r w:rsidRPr="00FB4DDA">
        <w:t>annual</w:t>
      </w:r>
      <w:r w:rsidR="00D23ECC" w:rsidRPr="00FB4DDA">
        <w:t xml:space="preserve"> </w:t>
      </w:r>
      <w:r w:rsidRPr="00FB4DDA">
        <w:t>r</w:t>
      </w:r>
      <w:r>
        <w:t>eporting</w:t>
      </w:r>
      <w:r w:rsidR="00D23ECC">
        <w:t xml:space="preserve"> </w:t>
      </w:r>
      <w:r>
        <w:t>compliance</w:t>
      </w:r>
      <w:r w:rsidR="00D23ECC">
        <w:t xml:space="preserve"> </w:t>
      </w:r>
      <w:r>
        <w:t>obligations.</w:t>
      </w:r>
    </w:p>
  </w:footnote>
  <w:footnote w:id="8">
    <w:p w14:paraId="6FC5C2ED" w14:textId="5BB95C7B" w:rsidR="00DE3B0D" w:rsidRDefault="00DE3B0D" w:rsidP="00733F03">
      <w:pPr>
        <w:pStyle w:val="FootnoteText"/>
      </w:pPr>
      <w:r w:rsidRPr="004311F8">
        <w:footnoteRef/>
      </w:r>
      <w:r w:rsidRPr="004311F8">
        <w:tab/>
      </w:r>
      <w:r>
        <w:t>Calls</w:t>
      </w:r>
      <w:r w:rsidR="00D23ECC">
        <w:t xml:space="preserve"> </w:t>
      </w:r>
      <w:r>
        <w:t>answered</w:t>
      </w:r>
      <w:r w:rsidR="00D23ECC">
        <w:t xml:space="preserve"> </w:t>
      </w:r>
      <w:r>
        <w:t>include</w:t>
      </w:r>
      <w:r w:rsidR="00D23ECC">
        <w:t xml:space="preserve"> </w:t>
      </w:r>
      <w:r>
        <w:t>enquiries</w:t>
      </w:r>
      <w:r w:rsidR="00D23ECC">
        <w:t xml:space="preserve"> </w:t>
      </w:r>
      <w:r>
        <w:t>to</w:t>
      </w:r>
      <w:r w:rsidR="00D23ECC">
        <w:t xml:space="preserve"> </w:t>
      </w:r>
      <w:r>
        <w:t>the</w:t>
      </w:r>
      <w:r w:rsidR="00D23ECC">
        <w:t xml:space="preserve"> </w:t>
      </w:r>
      <w:r>
        <w:t>RTDS.</w:t>
      </w:r>
      <w:r w:rsidR="00D23ECC">
        <w:t xml:space="preserve"> </w:t>
      </w:r>
      <w:r>
        <w:t>See</w:t>
      </w:r>
      <w:r w:rsidR="00D23ECC">
        <w:t xml:space="preserve"> </w:t>
      </w:r>
      <w:hyperlink w:anchor="_Emergency_measures_for" w:history="1">
        <w:r w:rsidRPr="009C5F00">
          <w:rPr>
            <w:rStyle w:val="Hyperlink"/>
          </w:rPr>
          <w:t>‘Emergency</w:t>
        </w:r>
        <w:r w:rsidR="00D23ECC" w:rsidRPr="009C5F00">
          <w:rPr>
            <w:rStyle w:val="Hyperlink"/>
          </w:rPr>
          <w:t xml:space="preserve"> </w:t>
        </w:r>
        <w:r w:rsidRPr="009C5F00">
          <w:rPr>
            <w:rStyle w:val="Hyperlink"/>
          </w:rPr>
          <w:t>measures</w:t>
        </w:r>
        <w:r w:rsidR="00D23ECC" w:rsidRPr="009C5F00">
          <w:rPr>
            <w:rStyle w:val="Hyperlink"/>
          </w:rPr>
          <w:t xml:space="preserve"> </w:t>
        </w:r>
        <w:r w:rsidRPr="009C5F00">
          <w:rPr>
            <w:rStyle w:val="Hyperlink"/>
          </w:rPr>
          <w:t>for</w:t>
        </w:r>
        <w:r w:rsidR="00D23ECC" w:rsidRPr="009C5F00">
          <w:rPr>
            <w:rStyle w:val="Hyperlink"/>
          </w:rPr>
          <w:t xml:space="preserve"> </w:t>
        </w:r>
        <w:r w:rsidRPr="009C5F00">
          <w:rPr>
            <w:rStyle w:val="Hyperlink"/>
          </w:rPr>
          <w:t>tenancy</w:t>
        </w:r>
        <w:r w:rsidR="00D23ECC" w:rsidRPr="009C5F00">
          <w:rPr>
            <w:rStyle w:val="Hyperlink"/>
          </w:rPr>
          <w:t xml:space="preserve"> </w:t>
        </w:r>
        <w:r w:rsidRPr="009C5F00">
          <w:rPr>
            <w:rStyle w:val="Hyperlink"/>
          </w:rPr>
          <w:t>disputes’</w:t>
        </w:r>
      </w:hyperlink>
      <w:r w:rsidR="00D23ECC">
        <w:t xml:space="preserve"> </w:t>
      </w:r>
      <w:r>
        <w:t>on</w:t>
      </w:r>
      <w:r w:rsidR="00D23ECC">
        <w:t xml:space="preserve"> </w:t>
      </w:r>
      <w:r>
        <w:t>page</w:t>
      </w:r>
      <w:r w:rsidR="00D23ECC">
        <w:t xml:space="preserve"> </w:t>
      </w:r>
      <w:r w:rsidR="009C5F00">
        <w:fldChar w:fldCharType="begin"/>
      </w:r>
      <w:r w:rsidR="009C5F00">
        <w:instrText xml:space="preserve"> PAGEREF _Ref85910839 \h </w:instrText>
      </w:r>
      <w:r w:rsidR="009C5F00">
        <w:fldChar w:fldCharType="separate"/>
      </w:r>
      <w:r w:rsidR="006C3CC1">
        <w:rPr>
          <w:noProof/>
        </w:rPr>
        <w:t>21</w:t>
      </w:r>
      <w:r w:rsidR="009C5F00">
        <w:fldChar w:fldCharType="end"/>
      </w:r>
      <w:r w:rsidR="00D23ECC">
        <w:t xml:space="preserve"> </w:t>
      </w:r>
      <w:r>
        <w:t>for</w:t>
      </w:r>
      <w:r w:rsidR="00D23ECC">
        <w:t xml:space="preserve"> </w:t>
      </w:r>
      <w:r>
        <w:t>further</w:t>
      </w:r>
      <w:r w:rsidR="00D23ECC">
        <w:t xml:space="preserve"> </w:t>
      </w:r>
      <w:r>
        <w:t>information.</w:t>
      </w:r>
    </w:p>
  </w:footnote>
  <w:footnote w:id="9">
    <w:p w14:paraId="2E5729AA" w14:textId="059D2A3E" w:rsidR="00DE3B0D" w:rsidRDefault="00DE3B0D" w:rsidP="00733F03">
      <w:pPr>
        <w:pStyle w:val="FootnoteText"/>
      </w:pPr>
      <w:r w:rsidRPr="00FB4DDA">
        <w:footnoteRef/>
      </w:r>
      <w:r w:rsidRPr="00FB4DDA">
        <w:tab/>
      </w:r>
      <w:r>
        <w:t>Disputes</w:t>
      </w:r>
      <w:r w:rsidR="00D23ECC">
        <w:t xml:space="preserve"> </w:t>
      </w:r>
      <w:r>
        <w:t>finalised</w:t>
      </w:r>
      <w:r w:rsidR="00D23ECC">
        <w:t xml:space="preserve"> </w:t>
      </w:r>
      <w:r>
        <w:t>include</w:t>
      </w:r>
      <w:r w:rsidR="00D23ECC">
        <w:t xml:space="preserve"> </w:t>
      </w:r>
      <w:r>
        <w:t>matters</w:t>
      </w:r>
      <w:r w:rsidR="00D23ECC">
        <w:t xml:space="preserve"> </w:t>
      </w:r>
      <w:r>
        <w:t>dealt</w:t>
      </w:r>
      <w:r w:rsidR="00D23ECC">
        <w:t xml:space="preserve"> </w:t>
      </w:r>
      <w:r>
        <w:t>with</w:t>
      </w:r>
      <w:r w:rsidR="00D23ECC">
        <w:t xml:space="preserve"> </w:t>
      </w:r>
      <w:r>
        <w:t>by</w:t>
      </w:r>
      <w:r w:rsidR="00D23ECC">
        <w:t xml:space="preserve"> </w:t>
      </w:r>
      <w:r>
        <w:t>the</w:t>
      </w:r>
      <w:r w:rsidR="00D23ECC">
        <w:t xml:space="preserve"> </w:t>
      </w:r>
      <w:r>
        <w:t>RTDRS.</w:t>
      </w:r>
      <w:r w:rsidR="00D23ECC">
        <w:t xml:space="preserve"> </w:t>
      </w:r>
      <w:r w:rsidR="009C5F00">
        <w:t xml:space="preserve">See </w:t>
      </w:r>
      <w:hyperlink w:anchor="_Emergency_measures_for" w:history="1">
        <w:r w:rsidR="009C5F00" w:rsidRPr="009C5F00">
          <w:rPr>
            <w:rStyle w:val="Hyperlink"/>
          </w:rPr>
          <w:t>‘Emergency measures for tenancy disputes’</w:t>
        </w:r>
      </w:hyperlink>
      <w:r w:rsidR="009C5F00">
        <w:t xml:space="preserve"> on page </w:t>
      </w:r>
      <w:r w:rsidR="009C5F00">
        <w:fldChar w:fldCharType="begin"/>
      </w:r>
      <w:r w:rsidR="009C5F00">
        <w:instrText xml:space="preserve"> PAGEREF _Ref85910839 \h </w:instrText>
      </w:r>
      <w:r w:rsidR="009C5F00">
        <w:fldChar w:fldCharType="separate"/>
      </w:r>
      <w:r w:rsidR="006C3CC1">
        <w:rPr>
          <w:noProof/>
        </w:rPr>
        <w:t>21</w:t>
      </w:r>
      <w:r w:rsidR="009C5F00">
        <w:fldChar w:fldCharType="end"/>
      </w:r>
      <w:r w:rsidR="009C5F00">
        <w:t xml:space="preserve"> for further information</w:t>
      </w:r>
      <w:r w:rsidR="00D23ECC">
        <w:t xml:space="preserve"> </w:t>
      </w:r>
      <w:r>
        <w:t>for</w:t>
      </w:r>
      <w:r w:rsidR="00D23ECC">
        <w:t xml:space="preserve"> </w:t>
      </w:r>
      <w:r>
        <w:t>further</w:t>
      </w:r>
      <w:r w:rsidR="00D23ECC">
        <w:t xml:space="preserve"> </w:t>
      </w:r>
      <w:r>
        <w:t>information.</w:t>
      </w:r>
    </w:p>
  </w:footnote>
  <w:footnote w:id="10">
    <w:p w14:paraId="55BCC271" w14:textId="77777777" w:rsidR="007C37DD" w:rsidRDefault="007C37DD" w:rsidP="007C37DD">
      <w:pPr>
        <w:pStyle w:val="FootnoteText"/>
      </w:pPr>
      <w:r w:rsidRPr="007C37DD">
        <w:footnoteRef/>
      </w:r>
      <w:r w:rsidRPr="007C37DD">
        <w:tab/>
      </w:r>
      <w:r>
        <w:t>Domestic Building Dispute Levy and Registration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4BF43" w14:textId="77777777" w:rsidR="00436E30" w:rsidRDefault="0043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E809" w14:textId="77777777" w:rsidR="00436E30" w:rsidRDefault="0043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DC40" w14:textId="77777777" w:rsidR="00436E30" w:rsidRDefault="00436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6E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1A3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23"/>
  </w:num>
  <w:num w:numId="5">
    <w:abstractNumId w:val="18"/>
  </w:num>
  <w:num w:numId="6">
    <w:abstractNumId w:val="19"/>
  </w:num>
  <w:num w:numId="7">
    <w:abstractNumId w:val="10"/>
  </w:num>
  <w:num w:numId="8">
    <w:abstractNumId w:val="24"/>
  </w:num>
  <w:num w:numId="9">
    <w:abstractNumId w:val="25"/>
  </w:num>
  <w:num w:numId="10">
    <w:abstractNumId w:val="20"/>
  </w:num>
  <w:num w:numId="11">
    <w:abstractNumId w:val="11"/>
  </w:num>
  <w:num w:numId="12">
    <w:abstractNumId w:val="27"/>
  </w:num>
  <w:num w:numId="13">
    <w:abstractNumId w:val="29"/>
  </w:num>
  <w:num w:numId="14">
    <w:abstractNumId w:val="21"/>
  </w:num>
  <w:num w:numId="15">
    <w:abstractNumId w:val="26"/>
  </w:num>
  <w:num w:numId="16">
    <w:abstractNumId w:val="17"/>
  </w:num>
  <w:num w:numId="17">
    <w:abstractNumId w:val="13"/>
  </w:num>
  <w:num w:numId="18">
    <w:abstractNumId w:val="15"/>
  </w:num>
  <w:num w:numId="19">
    <w:abstractNumId w:val="36"/>
  </w:num>
  <w:num w:numId="20">
    <w:abstractNumId w:val="30"/>
  </w:num>
  <w:num w:numId="21">
    <w:abstractNumId w:val="32"/>
  </w:num>
  <w:num w:numId="22">
    <w:abstractNumId w:val="33"/>
  </w:num>
  <w:num w:numId="23">
    <w:abstractNumId w:val="31"/>
  </w:num>
  <w:num w:numId="24">
    <w:abstractNumId w:val="16"/>
  </w:num>
  <w:num w:numId="25">
    <w:abstractNumId w:val="34"/>
  </w:num>
  <w:num w:numId="26">
    <w:abstractNumId w:val="35"/>
  </w:num>
  <w:num w:numId="27">
    <w:abstractNumId w:val="14"/>
  </w:num>
  <w:num w:numId="28">
    <w:abstractNumId w:val="9"/>
  </w:num>
  <w:num w:numId="29">
    <w:abstractNumId w:val="7"/>
  </w:num>
  <w:num w:numId="30">
    <w:abstractNumId w:val="8"/>
  </w:num>
  <w:num w:numId="31">
    <w:abstractNumId w:val="3"/>
  </w:num>
  <w:num w:numId="32">
    <w:abstractNumId w:val="8"/>
    <w:lvlOverride w:ilvl="0">
      <w:startOverride w:val="1"/>
    </w:lvlOverride>
  </w:num>
  <w:num w:numId="33">
    <w:abstractNumId w:val="6"/>
  </w:num>
  <w:num w:numId="34">
    <w:abstractNumId w:val="5"/>
  </w:num>
  <w:num w:numId="35">
    <w:abstractNumId w:val="4"/>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stylePaneSortMethod w:val="0000"/>
  <w:defaultTabStop w:val="720"/>
  <w:characterSpacingControl w:val="doNotCompress"/>
  <w:hdrShapeDefaults>
    <o:shapedefaults v:ext="edit" spidmax="70657"/>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0"/>
    <w:rsid w:val="000067F2"/>
    <w:rsid w:val="00006DE3"/>
    <w:rsid w:val="000113E0"/>
    <w:rsid w:val="00021DA6"/>
    <w:rsid w:val="0002752D"/>
    <w:rsid w:val="00030169"/>
    <w:rsid w:val="00031B1C"/>
    <w:rsid w:val="00035675"/>
    <w:rsid w:val="000359C2"/>
    <w:rsid w:val="00040AF8"/>
    <w:rsid w:val="00041B76"/>
    <w:rsid w:val="00042358"/>
    <w:rsid w:val="00045784"/>
    <w:rsid w:val="00052A73"/>
    <w:rsid w:val="00052AFF"/>
    <w:rsid w:val="00056D7F"/>
    <w:rsid w:val="00062049"/>
    <w:rsid w:val="00064594"/>
    <w:rsid w:val="0006613F"/>
    <w:rsid w:val="000662A2"/>
    <w:rsid w:val="00077DCC"/>
    <w:rsid w:val="00080476"/>
    <w:rsid w:val="00084F8C"/>
    <w:rsid w:val="00086AF2"/>
    <w:rsid w:val="00091597"/>
    <w:rsid w:val="000965E1"/>
    <w:rsid w:val="000A16BF"/>
    <w:rsid w:val="000A4BC7"/>
    <w:rsid w:val="000A4D4B"/>
    <w:rsid w:val="000A74E4"/>
    <w:rsid w:val="000A7D79"/>
    <w:rsid w:val="000B151C"/>
    <w:rsid w:val="000B176A"/>
    <w:rsid w:val="000B7932"/>
    <w:rsid w:val="000C2B36"/>
    <w:rsid w:val="000C5AA2"/>
    <w:rsid w:val="000D0E83"/>
    <w:rsid w:val="000D3E79"/>
    <w:rsid w:val="000D42DF"/>
    <w:rsid w:val="000D4FAE"/>
    <w:rsid w:val="000E344B"/>
    <w:rsid w:val="000F3E1B"/>
    <w:rsid w:val="000F504E"/>
    <w:rsid w:val="000F5315"/>
    <w:rsid w:val="000F63E3"/>
    <w:rsid w:val="001035E3"/>
    <w:rsid w:val="0010370A"/>
    <w:rsid w:val="00104254"/>
    <w:rsid w:val="00107B62"/>
    <w:rsid w:val="00110D4C"/>
    <w:rsid w:val="00112400"/>
    <w:rsid w:val="00120E5A"/>
    <w:rsid w:val="00122E20"/>
    <w:rsid w:val="00122EB0"/>
    <w:rsid w:val="00132675"/>
    <w:rsid w:val="00134625"/>
    <w:rsid w:val="00134A2A"/>
    <w:rsid w:val="001369DC"/>
    <w:rsid w:val="0014134E"/>
    <w:rsid w:val="0014204E"/>
    <w:rsid w:val="0014272B"/>
    <w:rsid w:val="00142DE7"/>
    <w:rsid w:val="00143662"/>
    <w:rsid w:val="0014701D"/>
    <w:rsid w:val="001510E8"/>
    <w:rsid w:val="00151EF4"/>
    <w:rsid w:val="00155192"/>
    <w:rsid w:val="001556C0"/>
    <w:rsid w:val="00155B9A"/>
    <w:rsid w:val="00156239"/>
    <w:rsid w:val="00156617"/>
    <w:rsid w:val="00160E40"/>
    <w:rsid w:val="0016680E"/>
    <w:rsid w:val="00171D5F"/>
    <w:rsid w:val="00177DC1"/>
    <w:rsid w:val="001809C5"/>
    <w:rsid w:val="00181631"/>
    <w:rsid w:val="001864FB"/>
    <w:rsid w:val="00187474"/>
    <w:rsid w:val="001A1A0A"/>
    <w:rsid w:val="001A3474"/>
    <w:rsid w:val="001B12D8"/>
    <w:rsid w:val="001B2499"/>
    <w:rsid w:val="001B396A"/>
    <w:rsid w:val="001B4898"/>
    <w:rsid w:val="001C0A36"/>
    <w:rsid w:val="001C3C79"/>
    <w:rsid w:val="001C410E"/>
    <w:rsid w:val="001C50E6"/>
    <w:rsid w:val="001C56C0"/>
    <w:rsid w:val="001D144A"/>
    <w:rsid w:val="001E0DD0"/>
    <w:rsid w:val="001E5B35"/>
    <w:rsid w:val="001F6E72"/>
    <w:rsid w:val="00201270"/>
    <w:rsid w:val="00201342"/>
    <w:rsid w:val="00204AE7"/>
    <w:rsid w:val="00211EFF"/>
    <w:rsid w:val="00215056"/>
    <w:rsid w:val="00217576"/>
    <w:rsid w:val="002255C8"/>
    <w:rsid w:val="00226FBE"/>
    <w:rsid w:val="00232A4C"/>
    <w:rsid w:val="002334B6"/>
    <w:rsid w:val="0023482B"/>
    <w:rsid w:val="002352A5"/>
    <w:rsid w:val="00244EF7"/>
    <w:rsid w:val="002457A3"/>
    <w:rsid w:val="0024584B"/>
    <w:rsid w:val="00256840"/>
    <w:rsid w:val="00271A02"/>
    <w:rsid w:val="00275C07"/>
    <w:rsid w:val="00275D03"/>
    <w:rsid w:val="0027662D"/>
    <w:rsid w:val="002776C0"/>
    <w:rsid w:val="0027789E"/>
    <w:rsid w:val="00281B8A"/>
    <w:rsid w:val="002875FA"/>
    <w:rsid w:val="002876F2"/>
    <w:rsid w:val="00295CF5"/>
    <w:rsid w:val="002A0546"/>
    <w:rsid w:val="002A3CA6"/>
    <w:rsid w:val="002B3B90"/>
    <w:rsid w:val="002B74E5"/>
    <w:rsid w:val="002C08C6"/>
    <w:rsid w:val="002C3944"/>
    <w:rsid w:val="002C5076"/>
    <w:rsid w:val="002D316F"/>
    <w:rsid w:val="002D7EB3"/>
    <w:rsid w:val="002E4FF0"/>
    <w:rsid w:val="002F063F"/>
    <w:rsid w:val="002F22DF"/>
    <w:rsid w:val="002F48D7"/>
    <w:rsid w:val="002F5743"/>
    <w:rsid w:val="002F6DD5"/>
    <w:rsid w:val="003118E2"/>
    <w:rsid w:val="00312562"/>
    <w:rsid w:val="00314ABC"/>
    <w:rsid w:val="003151CE"/>
    <w:rsid w:val="00315661"/>
    <w:rsid w:val="00320590"/>
    <w:rsid w:val="00320BE0"/>
    <w:rsid w:val="0032140C"/>
    <w:rsid w:val="00321A0C"/>
    <w:rsid w:val="00321B25"/>
    <w:rsid w:val="00323337"/>
    <w:rsid w:val="0032485B"/>
    <w:rsid w:val="00325C37"/>
    <w:rsid w:val="00332305"/>
    <w:rsid w:val="00332BF3"/>
    <w:rsid w:val="00333E76"/>
    <w:rsid w:val="003346A8"/>
    <w:rsid w:val="003369A3"/>
    <w:rsid w:val="00336D25"/>
    <w:rsid w:val="003379FA"/>
    <w:rsid w:val="00342EAB"/>
    <w:rsid w:val="00347F6C"/>
    <w:rsid w:val="003544EC"/>
    <w:rsid w:val="00355028"/>
    <w:rsid w:val="003641AB"/>
    <w:rsid w:val="0036577F"/>
    <w:rsid w:val="00366166"/>
    <w:rsid w:val="003719B9"/>
    <w:rsid w:val="003725FC"/>
    <w:rsid w:val="00372D46"/>
    <w:rsid w:val="00373B3B"/>
    <w:rsid w:val="00376E0E"/>
    <w:rsid w:val="003802F6"/>
    <w:rsid w:val="003833C8"/>
    <w:rsid w:val="0038367D"/>
    <w:rsid w:val="00383C48"/>
    <w:rsid w:val="00384747"/>
    <w:rsid w:val="003913BB"/>
    <w:rsid w:val="003932B1"/>
    <w:rsid w:val="003A2203"/>
    <w:rsid w:val="003A23B1"/>
    <w:rsid w:val="003A2F75"/>
    <w:rsid w:val="003B43FE"/>
    <w:rsid w:val="003B47C4"/>
    <w:rsid w:val="003B545A"/>
    <w:rsid w:val="003B79FA"/>
    <w:rsid w:val="003C5053"/>
    <w:rsid w:val="003C5B62"/>
    <w:rsid w:val="003C78F2"/>
    <w:rsid w:val="003D009B"/>
    <w:rsid w:val="003D3259"/>
    <w:rsid w:val="003D521F"/>
    <w:rsid w:val="003D666F"/>
    <w:rsid w:val="003E061F"/>
    <w:rsid w:val="003E5E4C"/>
    <w:rsid w:val="003F183F"/>
    <w:rsid w:val="003F25B0"/>
    <w:rsid w:val="003F5D67"/>
    <w:rsid w:val="003F6265"/>
    <w:rsid w:val="00400AFE"/>
    <w:rsid w:val="00402906"/>
    <w:rsid w:val="00405DA7"/>
    <w:rsid w:val="004104CB"/>
    <w:rsid w:val="00410D44"/>
    <w:rsid w:val="00410EF4"/>
    <w:rsid w:val="004166EA"/>
    <w:rsid w:val="00416A25"/>
    <w:rsid w:val="004211EB"/>
    <w:rsid w:val="0042297C"/>
    <w:rsid w:val="00422C46"/>
    <w:rsid w:val="00430D03"/>
    <w:rsid w:val="004311F8"/>
    <w:rsid w:val="00431A7C"/>
    <w:rsid w:val="00433A4A"/>
    <w:rsid w:val="00435045"/>
    <w:rsid w:val="00435C2C"/>
    <w:rsid w:val="00436E30"/>
    <w:rsid w:val="00440488"/>
    <w:rsid w:val="00444135"/>
    <w:rsid w:val="00452669"/>
    <w:rsid w:val="00452C50"/>
    <w:rsid w:val="004555A8"/>
    <w:rsid w:val="00455A12"/>
    <w:rsid w:val="004603E1"/>
    <w:rsid w:val="00461D0C"/>
    <w:rsid w:val="00464373"/>
    <w:rsid w:val="004645C0"/>
    <w:rsid w:val="00464A7E"/>
    <w:rsid w:val="004657E1"/>
    <w:rsid w:val="0047465C"/>
    <w:rsid w:val="00476A12"/>
    <w:rsid w:val="0048011B"/>
    <w:rsid w:val="004804BA"/>
    <w:rsid w:val="00483EF3"/>
    <w:rsid w:val="004840FA"/>
    <w:rsid w:val="004842F6"/>
    <w:rsid w:val="00484D0A"/>
    <w:rsid w:val="004851FB"/>
    <w:rsid w:val="00486872"/>
    <w:rsid w:val="00486A5D"/>
    <w:rsid w:val="00492B18"/>
    <w:rsid w:val="00496AB9"/>
    <w:rsid w:val="004A02E4"/>
    <w:rsid w:val="004A4969"/>
    <w:rsid w:val="004B411F"/>
    <w:rsid w:val="004B59DF"/>
    <w:rsid w:val="004B67E1"/>
    <w:rsid w:val="004B6CD0"/>
    <w:rsid w:val="004C0ADA"/>
    <w:rsid w:val="004C2D08"/>
    <w:rsid w:val="004C66BC"/>
    <w:rsid w:val="004D0490"/>
    <w:rsid w:val="004D0BA4"/>
    <w:rsid w:val="004D56A7"/>
    <w:rsid w:val="004D744A"/>
    <w:rsid w:val="004D7E60"/>
    <w:rsid w:val="004E05CC"/>
    <w:rsid w:val="004E4902"/>
    <w:rsid w:val="004F0321"/>
    <w:rsid w:val="004F061C"/>
    <w:rsid w:val="004F765E"/>
    <w:rsid w:val="005003AA"/>
    <w:rsid w:val="005020E1"/>
    <w:rsid w:val="005038A8"/>
    <w:rsid w:val="00506885"/>
    <w:rsid w:val="00513074"/>
    <w:rsid w:val="0051734E"/>
    <w:rsid w:val="00524553"/>
    <w:rsid w:val="00524BC8"/>
    <w:rsid w:val="00526DF1"/>
    <w:rsid w:val="00535227"/>
    <w:rsid w:val="005419C2"/>
    <w:rsid w:val="00542656"/>
    <w:rsid w:val="00543432"/>
    <w:rsid w:val="00552098"/>
    <w:rsid w:val="00552326"/>
    <w:rsid w:val="00555997"/>
    <w:rsid w:val="005567D4"/>
    <w:rsid w:val="00556DF5"/>
    <w:rsid w:val="005638A4"/>
    <w:rsid w:val="00564D6C"/>
    <w:rsid w:val="00570715"/>
    <w:rsid w:val="00570982"/>
    <w:rsid w:val="00570CAD"/>
    <w:rsid w:val="00573381"/>
    <w:rsid w:val="00575180"/>
    <w:rsid w:val="0058055D"/>
    <w:rsid w:val="00587380"/>
    <w:rsid w:val="00597C5A"/>
    <w:rsid w:val="005A6618"/>
    <w:rsid w:val="005B1D31"/>
    <w:rsid w:val="005B35AF"/>
    <w:rsid w:val="005C0C79"/>
    <w:rsid w:val="005C2B48"/>
    <w:rsid w:val="005C51B2"/>
    <w:rsid w:val="005C7DB4"/>
    <w:rsid w:val="005C7EDC"/>
    <w:rsid w:val="005D12A7"/>
    <w:rsid w:val="005D2771"/>
    <w:rsid w:val="005D5646"/>
    <w:rsid w:val="005E393E"/>
    <w:rsid w:val="005F13E6"/>
    <w:rsid w:val="005F1BCD"/>
    <w:rsid w:val="005F58AA"/>
    <w:rsid w:val="006018AB"/>
    <w:rsid w:val="00604689"/>
    <w:rsid w:val="00605CF0"/>
    <w:rsid w:val="00607163"/>
    <w:rsid w:val="00607734"/>
    <w:rsid w:val="006136D4"/>
    <w:rsid w:val="00616491"/>
    <w:rsid w:val="00621D83"/>
    <w:rsid w:val="00624207"/>
    <w:rsid w:val="0062480A"/>
    <w:rsid w:val="00624CAA"/>
    <w:rsid w:val="00625180"/>
    <w:rsid w:val="00631074"/>
    <w:rsid w:val="0063411C"/>
    <w:rsid w:val="0063768F"/>
    <w:rsid w:val="0064116B"/>
    <w:rsid w:val="00644683"/>
    <w:rsid w:val="00646284"/>
    <w:rsid w:val="00646671"/>
    <w:rsid w:val="00647A02"/>
    <w:rsid w:val="00647CC3"/>
    <w:rsid w:val="006524E8"/>
    <w:rsid w:val="00653983"/>
    <w:rsid w:val="00654297"/>
    <w:rsid w:val="00654592"/>
    <w:rsid w:val="006546F2"/>
    <w:rsid w:val="00654C98"/>
    <w:rsid w:val="0066310A"/>
    <w:rsid w:val="00671F59"/>
    <w:rsid w:val="0067302D"/>
    <w:rsid w:val="00674866"/>
    <w:rsid w:val="00675216"/>
    <w:rsid w:val="00676450"/>
    <w:rsid w:val="00676836"/>
    <w:rsid w:val="00676BE9"/>
    <w:rsid w:val="0068108F"/>
    <w:rsid w:val="00682042"/>
    <w:rsid w:val="006832C1"/>
    <w:rsid w:val="006960B9"/>
    <w:rsid w:val="006A44B1"/>
    <w:rsid w:val="006B0F6A"/>
    <w:rsid w:val="006C3CC1"/>
    <w:rsid w:val="006D76BE"/>
    <w:rsid w:val="006E113C"/>
    <w:rsid w:val="006E194B"/>
    <w:rsid w:val="006E2DB8"/>
    <w:rsid w:val="006F187D"/>
    <w:rsid w:val="006F4C0B"/>
    <w:rsid w:val="006F57E8"/>
    <w:rsid w:val="006F608E"/>
    <w:rsid w:val="006F7BE3"/>
    <w:rsid w:val="00716A03"/>
    <w:rsid w:val="007174AB"/>
    <w:rsid w:val="00722D2C"/>
    <w:rsid w:val="00724BD6"/>
    <w:rsid w:val="0072626D"/>
    <w:rsid w:val="00731D68"/>
    <w:rsid w:val="00732553"/>
    <w:rsid w:val="00733F03"/>
    <w:rsid w:val="007350A4"/>
    <w:rsid w:val="00735A3B"/>
    <w:rsid w:val="00742620"/>
    <w:rsid w:val="00742A5C"/>
    <w:rsid w:val="00743C19"/>
    <w:rsid w:val="00744281"/>
    <w:rsid w:val="00753B06"/>
    <w:rsid w:val="0075750A"/>
    <w:rsid w:val="00767BD4"/>
    <w:rsid w:val="0077304F"/>
    <w:rsid w:val="00773AA7"/>
    <w:rsid w:val="00773D96"/>
    <w:rsid w:val="00777C8E"/>
    <w:rsid w:val="0078191F"/>
    <w:rsid w:val="00783BEE"/>
    <w:rsid w:val="00785126"/>
    <w:rsid w:val="0079033F"/>
    <w:rsid w:val="00792F91"/>
    <w:rsid w:val="007935D2"/>
    <w:rsid w:val="00793BF9"/>
    <w:rsid w:val="007959A9"/>
    <w:rsid w:val="00797D7C"/>
    <w:rsid w:val="007A0FAA"/>
    <w:rsid w:val="007A2137"/>
    <w:rsid w:val="007A2663"/>
    <w:rsid w:val="007A3786"/>
    <w:rsid w:val="007A49A6"/>
    <w:rsid w:val="007A4B26"/>
    <w:rsid w:val="007A5331"/>
    <w:rsid w:val="007A655A"/>
    <w:rsid w:val="007A75A8"/>
    <w:rsid w:val="007B200E"/>
    <w:rsid w:val="007B6433"/>
    <w:rsid w:val="007B6E26"/>
    <w:rsid w:val="007C1EED"/>
    <w:rsid w:val="007C37DD"/>
    <w:rsid w:val="007D188A"/>
    <w:rsid w:val="007D39F7"/>
    <w:rsid w:val="007D59ED"/>
    <w:rsid w:val="007D750A"/>
    <w:rsid w:val="007E4229"/>
    <w:rsid w:val="007E454A"/>
    <w:rsid w:val="007F21DE"/>
    <w:rsid w:val="007F7301"/>
    <w:rsid w:val="00804AB6"/>
    <w:rsid w:val="00805CBE"/>
    <w:rsid w:val="008150FD"/>
    <w:rsid w:val="00817D14"/>
    <w:rsid w:val="008225EF"/>
    <w:rsid w:val="00834159"/>
    <w:rsid w:val="00834561"/>
    <w:rsid w:val="0083734C"/>
    <w:rsid w:val="0084359B"/>
    <w:rsid w:val="008570CA"/>
    <w:rsid w:val="0086119C"/>
    <w:rsid w:val="008621E5"/>
    <w:rsid w:val="00865C50"/>
    <w:rsid w:val="008661E1"/>
    <w:rsid w:val="00867443"/>
    <w:rsid w:val="00867E8A"/>
    <w:rsid w:val="0087028F"/>
    <w:rsid w:val="00872738"/>
    <w:rsid w:val="008734EB"/>
    <w:rsid w:val="00876740"/>
    <w:rsid w:val="008800C6"/>
    <w:rsid w:val="00880587"/>
    <w:rsid w:val="00883165"/>
    <w:rsid w:val="008962BD"/>
    <w:rsid w:val="00896A7C"/>
    <w:rsid w:val="0089767F"/>
    <w:rsid w:val="008A134C"/>
    <w:rsid w:val="008A1B58"/>
    <w:rsid w:val="008A2567"/>
    <w:rsid w:val="008A5248"/>
    <w:rsid w:val="008A75EF"/>
    <w:rsid w:val="008B12F9"/>
    <w:rsid w:val="008B141D"/>
    <w:rsid w:val="008B1747"/>
    <w:rsid w:val="008C1BE0"/>
    <w:rsid w:val="008C3AD5"/>
    <w:rsid w:val="008C5A12"/>
    <w:rsid w:val="008C6D11"/>
    <w:rsid w:val="008E1660"/>
    <w:rsid w:val="008E44BD"/>
    <w:rsid w:val="008F07FE"/>
    <w:rsid w:val="008F2BD9"/>
    <w:rsid w:val="008F4AB1"/>
    <w:rsid w:val="00901F97"/>
    <w:rsid w:val="00902C22"/>
    <w:rsid w:val="009031C0"/>
    <w:rsid w:val="009055D9"/>
    <w:rsid w:val="0090722D"/>
    <w:rsid w:val="0091162E"/>
    <w:rsid w:val="00911E04"/>
    <w:rsid w:val="00914245"/>
    <w:rsid w:val="00916163"/>
    <w:rsid w:val="00921F95"/>
    <w:rsid w:val="009229EE"/>
    <w:rsid w:val="00922A21"/>
    <w:rsid w:val="00923264"/>
    <w:rsid w:val="00930316"/>
    <w:rsid w:val="00941062"/>
    <w:rsid w:val="00942470"/>
    <w:rsid w:val="0094275C"/>
    <w:rsid w:val="0094409D"/>
    <w:rsid w:val="00955130"/>
    <w:rsid w:val="009569B2"/>
    <w:rsid w:val="00973A16"/>
    <w:rsid w:val="00973EC1"/>
    <w:rsid w:val="00974789"/>
    <w:rsid w:val="009750F4"/>
    <w:rsid w:val="009812F7"/>
    <w:rsid w:val="009860BF"/>
    <w:rsid w:val="00986354"/>
    <w:rsid w:val="00986E1E"/>
    <w:rsid w:val="009913D8"/>
    <w:rsid w:val="00995B04"/>
    <w:rsid w:val="0099615E"/>
    <w:rsid w:val="009A28FC"/>
    <w:rsid w:val="009A5322"/>
    <w:rsid w:val="009A58E3"/>
    <w:rsid w:val="009A5D08"/>
    <w:rsid w:val="009A7231"/>
    <w:rsid w:val="009B2409"/>
    <w:rsid w:val="009B302A"/>
    <w:rsid w:val="009B4066"/>
    <w:rsid w:val="009B4514"/>
    <w:rsid w:val="009B486B"/>
    <w:rsid w:val="009C1266"/>
    <w:rsid w:val="009C226D"/>
    <w:rsid w:val="009C46FB"/>
    <w:rsid w:val="009C4C18"/>
    <w:rsid w:val="009C5F00"/>
    <w:rsid w:val="009D64E4"/>
    <w:rsid w:val="009E527F"/>
    <w:rsid w:val="009F0D4B"/>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6139"/>
    <w:rsid w:val="00A30ADD"/>
    <w:rsid w:val="00A37095"/>
    <w:rsid w:val="00A3768B"/>
    <w:rsid w:val="00A41E9C"/>
    <w:rsid w:val="00A4311B"/>
    <w:rsid w:val="00A433D9"/>
    <w:rsid w:val="00A446E5"/>
    <w:rsid w:val="00A46E9E"/>
    <w:rsid w:val="00A47141"/>
    <w:rsid w:val="00A509E4"/>
    <w:rsid w:val="00A54548"/>
    <w:rsid w:val="00A55D56"/>
    <w:rsid w:val="00A560FA"/>
    <w:rsid w:val="00A60484"/>
    <w:rsid w:val="00A61C24"/>
    <w:rsid w:val="00A61DA5"/>
    <w:rsid w:val="00A61E43"/>
    <w:rsid w:val="00A6563E"/>
    <w:rsid w:val="00A660B5"/>
    <w:rsid w:val="00A66856"/>
    <w:rsid w:val="00A66C4F"/>
    <w:rsid w:val="00A66F3D"/>
    <w:rsid w:val="00A73103"/>
    <w:rsid w:val="00A73820"/>
    <w:rsid w:val="00A75F3C"/>
    <w:rsid w:val="00A762B1"/>
    <w:rsid w:val="00A765B2"/>
    <w:rsid w:val="00A76634"/>
    <w:rsid w:val="00A81648"/>
    <w:rsid w:val="00A82BDC"/>
    <w:rsid w:val="00A8331C"/>
    <w:rsid w:val="00A83F96"/>
    <w:rsid w:val="00A9006E"/>
    <w:rsid w:val="00A9379F"/>
    <w:rsid w:val="00A95B5B"/>
    <w:rsid w:val="00A95E63"/>
    <w:rsid w:val="00AA5C2C"/>
    <w:rsid w:val="00AB0C30"/>
    <w:rsid w:val="00AB5EBE"/>
    <w:rsid w:val="00AB604F"/>
    <w:rsid w:val="00AB72A6"/>
    <w:rsid w:val="00AC142D"/>
    <w:rsid w:val="00AC7C0D"/>
    <w:rsid w:val="00AD2B07"/>
    <w:rsid w:val="00AD429A"/>
    <w:rsid w:val="00AD45E8"/>
    <w:rsid w:val="00AD49B7"/>
    <w:rsid w:val="00AE374E"/>
    <w:rsid w:val="00AE4B06"/>
    <w:rsid w:val="00AF1C8B"/>
    <w:rsid w:val="00AF252C"/>
    <w:rsid w:val="00AF5E57"/>
    <w:rsid w:val="00B00608"/>
    <w:rsid w:val="00B0122B"/>
    <w:rsid w:val="00B04B74"/>
    <w:rsid w:val="00B14F5B"/>
    <w:rsid w:val="00B17387"/>
    <w:rsid w:val="00B20526"/>
    <w:rsid w:val="00B20F92"/>
    <w:rsid w:val="00B34E68"/>
    <w:rsid w:val="00B35A06"/>
    <w:rsid w:val="00B45028"/>
    <w:rsid w:val="00B4504C"/>
    <w:rsid w:val="00B4776C"/>
    <w:rsid w:val="00B47AE6"/>
    <w:rsid w:val="00B5056D"/>
    <w:rsid w:val="00B5207C"/>
    <w:rsid w:val="00B6073B"/>
    <w:rsid w:val="00B61B3E"/>
    <w:rsid w:val="00B63D30"/>
    <w:rsid w:val="00B65A4B"/>
    <w:rsid w:val="00B67745"/>
    <w:rsid w:val="00B71611"/>
    <w:rsid w:val="00B74A1F"/>
    <w:rsid w:val="00B8015C"/>
    <w:rsid w:val="00B840D0"/>
    <w:rsid w:val="00B92DA9"/>
    <w:rsid w:val="00BA1C6E"/>
    <w:rsid w:val="00BA5EC4"/>
    <w:rsid w:val="00BA73CD"/>
    <w:rsid w:val="00BB1C65"/>
    <w:rsid w:val="00BC0C25"/>
    <w:rsid w:val="00BC1A18"/>
    <w:rsid w:val="00BC3086"/>
    <w:rsid w:val="00BC710E"/>
    <w:rsid w:val="00BD3E39"/>
    <w:rsid w:val="00BE2991"/>
    <w:rsid w:val="00BE38F4"/>
    <w:rsid w:val="00BF1C17"/>
    <w:rsid w:val="00BF1DDE"/>
    <w:rsid w:val="00BF2582"/>
    <w:rsid w:val="00BF3355"/>
    <w:rsid w:val="00BF4177"/>
    <w:rsid w:val="00BF4C8D"/>
    <w:rsid w:val="00C02F22"/>
    <w:rsid w:val="00C04AF5"/>
    <w:rsid w:val="00C076AD"/>
    <w:rsid w:val="00C1109D"/>
    <w:rsid w:val="00C119F0"/>
    <w:rsid w:val="00C14083"/>
    <w:rsid w:val="00C21F93"/>
    <w:rsid w:val="00C23DEB"/>
    <w:rsid w:val="00C24CCD"/>
    <w:rsid w:val="00C33158"/>
    <w:rsid w:val="00C343DC"/>
    <w:rsid w:val="00C344CE"/>
    <w:rsid w:val="00C4593F"/>
    <w:rsid w:val="00C459D9"/>
    <w:rsid w:val="00C47290"/>
    <w:rsid w:val="00C50534"/>
    <w:rsid w:val="00C55852"/>
    <w:rsid w:val="00C6201E"/>
    <w:rsid w:val="00C659AA"/>
    <w:rsid w:val="00C66D4D"/>
    <w:rsid w:val="00C71F11"/>
    <w:rsid w:val="00C720E1"/>
    <w:rsid w:val="00C72669"/>
    <w:rsid w:val="00C75A9B"/>
    <w:rsid w:val="00C77B2D"/>
    <w:rsid w:val="00C80444"/>
    <w:rsid w:val="00C84E51"/>
    <w:rsid w:val="00C90E80"/>
    <w:rsid w:val="00C931D0"/>
    <w:rsid w:val="00C968C2"/>
    <w:rsid w:val="00CA2659"/>
    <w:rsid w:val="00CA3A3D"/>
    <w:rsid w:val="00CA4CBC"/>
    <w:rsid w:val="00CA51C7"/>
    <w:rsid w:val="00CA6435"/>
    <w:rsid w:val="00CB56D1"/>
    <w:rsid w:val="00CB60E1"/>
    <w:rsid w:val="00CC0AD3"/>
    <w:rsid w:val="00CC2D56"/>
    <w:rsid w:val="00CC2DB9"/>
    <w:rsid w:val="00CC71B2"/>
    <w:rsid w:val="00CD3C2E"/>
    <w:rsid w:val="00CE0746"/>
    <w:rsid w:val="00CE2CE5"/>
    <w:rsid w:val="00CE2ED4"/>
    <w:rsid w:val="00CE79C3"/>
    <w:rsid w:val="00CE7A30"/>
    <w:rsid w:val="00CF0935"/>
    <w:rsid w:val="00CF1401"/>
    <w:rsid w:val="00CF4293"/>
    <w:rsid w:val="00CF66CA"/>
    <w:rsid w:val="00D0059A"/>
    <w:rsid w:val="00D0096D"/>
    <w:rsid w:val="00D03A6F"/>
    <w:rsid w:val="00D06633"/>
    <w:rsid w:val="00D074DB"/>
    <w:rsid w:val="00D0795D"/>
    <w:rsid w:val="00D13EEA"/>
    <w:rsid w:val="00D1678F"/>
    <w:rsid w:val="00D172EB"/>
    <w:rsid w:val="00D2163E"/>
    <w:rsid w:val="00D21863"/>
    <w:rsid w:val="00D2321D"/>
    <w:rsid w:val="00D23ECC"/>
    <w:rsid w:val="00D272EB"/>
    <w:rsid w:val="00D30C2C"/>
    <w:rsid w:val="00D31BFE"/>
    <w:rsid w:val="00D365B6"/>
    <w:rsid w:val="00D366EA"/>
    <w:rsid w:val="00D3688B"/>
    <w:rsid w:val="00D47362"/>
    <w:rsid w:val="00D51FF2"/>
    <w:rsid w:val="00D524F2"/>
    <w:rsid w:val="00D54B9E"/>
    <w:rsid w:val="00D56D64"/>
    <w:rsid w:val="00D56F91"/>
    <w:rsid w:val="00D6001A"/>
    <w:rsid w:val="00D600AA"/>
    <w:rsid w:val="00D60893"/>
    <w:rsid w:val="00D62EFC"/>
    <w:rsid w:val="00D6675A"/>
    <w:rsid w:val="00D72B9A"/>
    <w:rsid w:val="00D73F9D"/>
    <w:rsid w:val="00D86219"/>
    <w:rsid w:val="00D8797C"/>
    <w:rsid w:val="00D90A2F"/>
    <w:rsid w:val="00D933A2"/>
    <w:rsid w:val="00D9667B"/>
    <w:rsid w:val="00D967BB"/>
    <w:rsid w:val="00D97603"/>
    <w:rsid w:val="00DA1B8D"/>
    <w:rsid w:val="00DA3262"/>
    <w:rsid w:val="00DA3E9A"/>
    <w:rsid w:val="00DA50C0"/>
    <w:rsid w:val="00DA685F"/>
    <w:rsid w:val="00DB2D0C"/>
    <w:rsid w:val="00DC0D3F"/>
    <w:rsid w:val="00DC4139"/>
    <w:rsid w:val="00DE084A"/>
    <w:rsid w:val="00DE3B0D"/>
    <w:rsid w:val="00DE629A"/>
    <w:rsid w:val="00DE723C"/>
    <w:rsid w:val="00DF0BE8"/>
    <w:rsid w:val="00DF586C"/>
    <w:rsid w:val="00DF6358"/>
    <w:rsid w:val="00E0180B"/>
    <w:rsid w:val="00E0216D"/>
    <w:rsid w:val="00E02D71"/>
    <w:rsid w:val="00E15E1B"/>
    <w:rsid w:val="00E20138"/>
    <w:rsid w:val="00E21774"/>
    <w:rsid w:val="00E22FCC"/>
    <w:rsid w:val="00E26D06"/>
    <w:rsid w:val="00E316E3"/>
    <w:rsid w:val="00E324F1"/>
    <w:rsid w:val="00E33D24"/>
    <w:rsid w:val="00E3430A"/>
    <w:rsid w:val="00E3488C"/>
    <w:rsid w:val="00E3598E"/>
    <w:rsid w:val="00E35F92"/>
    <w:rsid w:val="00E44B22"/>
    <w:rsid w:val="00E44BB1"/>
    <w:rsid w:val="00E5265B"/>
    <w:rsid w:val="00E52787"/>
    <w:rsid w:val="00E56F47"/>
    <w:rsid w:val="00E611C5"/>
    <w:rsid w:val="00E623E3"/>
    <w:rsid w:val="00E63928"/>
    <w:rsid w:val="00E64C56"/>
    <w:rsid w:val="00E72BDE"/>
    <w:rsid w:val="00E769DC"/>
    <w:rsid w:val="00E871C1"/>
    <w:rsid w:val="00E87BCB"/>
    <w:rsid w:val="00E953DB"/>
    <w:rsid w:val="00E96742"/>
    <w:rsid w:val="00EA01CD"/>
    <w:rsid w:val="00EA1DE2"/>
    <w:rsid w:val="00EA437D"/>
    <w:rsid w:val="00EA4A06"/>
    <w:rsid w:val="00EA541C"/>
    <w:rsid w:val="00EA58F3"/>
    <w:rsid w:val="00EA67A5"/>
    <w:rsid w:val="00EB1889"/>
    <w:rsid w:val="00EB465D"/>
    <w:rsid w:val="00EC5022"/>
    <w:rsid w:val="00EC5A1F"/>
    <w:rsid w:val="00ED133B"/>
    <w:rsid w:val="00ED345C"/>
    <w:rsid w:val="00ED4864"/>
    <w:rsid w:val="00ED6A34"/>
    <w:rsid w:val="00ED78BD"/>
    <w:rsid w:val="00EE29E7"/>
    <w:rsid w:val="00EE2EF2"/>
    <w:rsid w:val="00EE3875"/>
    <w:rsid w:val="00EE5B1B"/>
    <w:rsid w:val="00EF0311"/>
    <w:rsid w:val="00EF1095"/>
    <w:rsid w:val="00EF2417"/>
    <w:rsid w:val="00F001C0"/>
    <w:rsid w:val="00F00CF3"/>
    <w:rsid w:val="00F03D10"/>
    <w:rsid w:val="00F04442"/>
    <w:rsid w:val="00F04806"/>
    <w:rsid w:val="00F10516"/>
    <w:rsid w:val="00F130EB"/>
    <w:rsid w:val="00F16268"/>
    <w:rsid w:val="00F22B33"/>
    <w:rsid w:val="00F23412"/>
    <w:rsid w:val="00F2784E"/>
    <w:rsid w:val="00F3485C"/>
    <w:rsid w:val="00F3632D"/>
    <w:rsid w:val="00F36802"/>
    <w:rsid w:val="00F4149E"/>
    <w:rsid w:val="00F41A61"/>
    <w:rsid w:val="00F420A4"/>
    <w:rsid w:val="00F421E8"/>
    <w:rsid w:val="00F55B08"/>
    <w:rsid w:val="00F55E4C"/>
    <w:rsid w:val="00F568B3"/>
    <w:rsid w:val="00F56DD5"/>
    <w:rsid w:val="00F6299A"/>
    <w:rsid w:val="00F657D2"/>
    <w:rsid w:val="00F663C9"/>
    <w:rsid w:val="00F71DC9"/>
    <w:rsid w:val="00F7724B"/>
    <w:rsid w:val="00F86F41"/>
    <w:rsid w:val="00F87043"/>
    <w:rsid w:val="00F91196"/>
    <w:rsid w:val="00FA03AD"/>
    <w:rsid w:val="00FA1D02"/>
    <w:rsid w:val="00FA2FB5"/>
    <w:rsid w:val="00FB00B6"/>
    <w:rsid w:val="00FB2F9B"/>
    <w:rsid w:val="00FB38BE"/>
    <w:rsid w:val="00FB4DA0"/>
    <w:rsid w:val="00FB4DDA"/>
    <w:rsid w:val="00FB7AB9"/>
    <w:rsid w:val="00FC025D"/>
    <w:rsid w:val="00FC2CA1"/>
    <w:rsid w:val="00FC31F0"/>
    <w:rsid w:val="00FC5621"/>
    <w:rsid w:val="00FC56D9"/>
    <w:rsid w:val="00FD3DDC"/>
    <w:rsid w:val="00FE08DA"/>
    <w:rsid w:val="00FE3D90"/>
    <w:rsid w:val="00FE6587"/>
    <w:rsid w:val="00FE7C21"/>
    <w:rsid w:val="00FF0EE1"/>
    <w:rsid w:val="00FF22A3"/>
    <w:rsid w:val="00FF30B8"/>
    <w:rsid w:val="00FF7A3C"/>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A24B676"/>
  <w15:docId w15:val="{D4CFE38F-7BED-479A-A10E-8EEC04E4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48"/>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C076AD"/>
    <w:pPr>
      <w:keepNext/>
      <w:keepLines/>
      <w:spacing w:before="300" w:after="120" w:line="240" w:lineRule="auto"/>
      <w:outlineLvl w:val="2"/>
    </w:pPr>
    <w:rPr>
      <w:rFonts w:ascii="Arial" w:eastAsia="Times New Roman" w:hAnsi="Arial"/>
      <w:b/>
      <w:bCs/>
      <w:color w:val="0072CE"/>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03A6F"/>
    <w:pPr>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C076AD"/>
    <w:rPr>
      <w:rFonts w:ascii="Arial" w:eastAsia="Times New Roman" w:hAnsi="Arial"/>
      <w:b/>
      <w:bCs/>
      <w:color w:val="0072CE"/>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C90E80"/>
    <w:rPr>
      <w:color w:val="0563C1"/>
      <w:u w:val="single"/>
    </w:rPr>
  </w:style>
  <w:style w:type="paragraph" w:styleId="BodyText">
    <w:name w:val="Body Text"/>
    <w:link w:val="BodyTextChar"/>
    <w:uiPriority w:val="99"/>
    <w:rsid w:val="00D51FF2"/>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D51FF2"/>
    <w:rPr>
      <w:rFonts w:ascii="Arial" w:eastAsia="Times New Roman" w:hAnsi="Arial" w:cs="Arial"/>
      <w:szCs w:val="24"/>
      <w:lang w:eastAsia="en-US"/>
    </w:rPr>
  </w:style>
  <w:style w:type="paragraph" w:customStyle="1" w:styleId="TableColHead">
    <w:name w:val="Table Col Head"/>
    <w:basedOn w:val="Normal"/>
    <w:uiPriority w:val="11"/>
    <w:qFormat/>
    <w:rsid w:val="00A178C0"/>
    <w:pPr>
      <w:spacing w:before="80" w:after="60" w:line="240" w:lineRule="auto"/>
    </w:pPr>
    <w:rPr>
      <w:rFonts w:ascii="Arial" w:hAnsi="Arial" w:cs="Arial"/>
      <w:b/>
      <w:color w:val="FFFFFF"/>
      <w:w w:val="110"/>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A66C4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4FB"/>
    </w:tcPr>
    <w:tblStylePr w:type="firstRow">
      <w:tblPr/>
      <w:tcPr>
        <w:tcBorders>
          <w:insideV w:val="single" w:sz="4" w:space="0" w:color="FFFFFF"/>
        </w:tcBorders>
        <w:shd w:val="clear" w:color="auto" w:fill="0072CE"/>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Normal"/>
    <w:uiPriority w:val="99"/>
    <w:rsid w:val="00A231D9"/>
    <w:pPr>
      <w:numPr>
        <w:numId w:val="29"/>
      </w:numPr>
      <w:contextualSpacing/>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semiHidden/>
    <w:unhideWhenUsed/>
    <w:rsid w:val="004F061C"/>
    <w:rPr>
      <w:color w:val="954F72"/>
      <w:u w:val="single"/>
    </w:rPr>
  </w:style>
  <w:style w:type="paragraph" w:styleId="ListBullet">
    <w:name w:val="List Bullet"/>
    <w:basedOn w:val="Normal"/>
    <w:uiPriority w:val="99"/>
    <w:rsid w:val="00A10A1B"/>
    <w:pPr>
      <w:numPr>
        <w:numId w:val="28"/>
      </w:numPr>
      <w:spacing w:after="40" w:line="312" w:lineRule="auto"/>
      <w:ind w:left="357" w:hanging="357"/>
    </w:pPr>
    <w:rPr>
      <w:rFonts w:ascii="Arial" w:hAnsi="Arial"/>
      <w:sz w:val="20"/>
    </w:r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03A6F"/>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character" w:customStyle="1" w:styleId="Superscript">
    <w:name w:val="Superscript"/>
    <w:uiPriority w:val="99"/>
    <w:rsid w:val="00D600AA"/>
    <w:rPr>
      <w:vertAlign w:val="superscript"/>
    </w:rPr>
  </w:style>
  <w:style w:type="paragraph" w:styleId="TOCHeading">
    <w:name w:val="TOC Heading"/>
    <w:basedOn w:val="Heading1"/>
    <w:next w:val="Normal"/>
    <w:uiPriority w:val="39"/>
    <w:semiHidden/>
    <w:unhideWhenUsed/>
    <w:qFormat/>
    <w:rsid w:val="00C77B2D"/>
    <w:pPr>
      <w:keepNext/>
      <w:keepLines/>
      <w:spacing w:before="480" w:after="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rsid w:val="00A66C4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styleId="UnresolvedMention">
    <w:name w:val="Unresolved Mention"/>
    <w:basedOn w:val="DefaultParagraphFont"/>
    <w:uiPriority w:val="99"/>
    <w:semiHidden/>
    <w:unhideWhenUsed/>
    <w:rsid w:val="00D31BFE"/>
    <w:rPr>
      <w:color w:val="605E5C"/>
      <w:shd w:val="clear" w:color="auto" w:fill="E1DFDD"/>
    </w:rPr>
  </w:style>
  <w:style w:type="paragraph" w:customStyle="1" w:styleId="Highlight1">
    <w:name w:val="Highlight 1"/>
    <w:uiPriority w:val="99"/>
    <w:rsid w:val="00B0122B"/>
    <w:pPr>
      <w:keepNext/>
      <w:suppressAutoHyphens/>
    </w:pPr>
    <w:rPr>
      <w:rFonts w:ascii="Arial" w:eastAsiaTheme="minorEastAsia" w:hAnsi="Arial" w:cs="VIC-Bold"/>
      <w:b/>
      <w:bCs/>
      <w:color w:val="000000"/>
      <w:sz w:val="56"/>
      <w:szCs w:val="56"/>
    </w:rPr>
  </w:style>
  <w:style w:type="paragraph" w:customStyle="1" w:styleId="Highlight2">
    <w:name w:val="Highlight 2"/>
    <w:uiPriority w:val="99"/>
    <w:rsid w:val="00B0122B"/>
    <w:pPr>
      <w:suppressAutoHyphens/>
      <w:spacing w:after="800"/>
    </w:pPr>
    <w:rPr>
      <w:rFonts w:ascii="Arial" w:eastAsiaTheme="minorEastAsia" w:hAnsi="Arial" w:cs="VIC-Light"/>
      <w:color w:val="000000"/>
      <w:sz w:val="26"/>
      <w:szCs w:val="26"/>
      <w:lang w:val="en-GB"/>
    </w:rPr>
  </w:style>
  <w:style w:type="paragraph" w:customStyle="1" w:styleId="TableFootnote">
    <w:name w:val="Table Footnote"/>
    <w:basedOn w:val="Normal"/>
    <w:uiPriority w:val="99"/>
    <w:rsid w:val="007C37DD"/>
    <w:pPr>
      <w:widowControl w:val="0"/>
      <w:suppressAutoHyphens/>
      <w:autoSpaceDE w:val="0"/>
      <w:autoSpaceDN w:val="0"/>
      <w:adjustRightInd w:val="0"/>
      <w:spacing w:after="43" w:line="220" w:lineRule="atLeast"/>
      <w:ind w:left="283" w:hanging="283"/>
      <w:textAlignment w:val="center"/>
    </w:pPr>
    <w:rPr>
      <w:rFonts w:ascii="VIC-Regular" w:eastAsiaTheme="minorEastAsia" w:hAnsi="VIC-Regular" w:cs="VIC-Regular"/>
      <w:color w:val="000000"/>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svg"/><Relationship Id="rId39" Type="http://schemas.openxmlformats.org/officeDocument/2006/relationships/hyperlink" Target="https://www.facebook.com/ConsumerAffairsVictoria" TargetMode="Externa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20.svg"/><Relationship Id="rId42"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s://www.consumer.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svg"/><Relationship Id="rId29" Type="http://schemas.openxmlformats.org/officeDocument/2006/relationships/image" Target="media/image15.png"/><Relationship Id="rId41" Type="http://schemas.openxmlformats.org/officeDocument/2006/relationships/hyperlink" Target="https://www.youtube.com/consumerv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0.svg"/><Relationship Id="rId32" Type="http://schemas.openxmlformats.org/officeDocument/2006/relationships/image" Target="media/image18.svg"/><Relationship Id="rId37" Type="http://schemas.openxmlformats.org/officeDocument/2006/relationships/hyperlink" Target="https://creativecommons.org/licenses/by/4.0/" TargetMode="External"/><Relationship Id="rId40" Type="http://schemas.openxmlformats.org/officeDocument/2006/relationships/hyperlink" Target="https://twitter.com/consumervi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image" Target="media/image22.svg"/><Relationship Id="rId10" Type="http://schemas.openxmlformats.org/officeDocument/2006/relationships/image" Target="media/image2.jp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image" Target="media/image2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2FBC-62FC-444A-A0D0-E2A3A33B2AA5}">
  <ds:schemaRefs>
    <ds:schemaRef ds:uri="http://schemas.openxmlformats.org/officeDocument/2006/bibliography"/>
  </ds:schemaRefs>
</ds:datastoreItem>
</file>

<file path=customXml/itemProps2.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9588</Words>
  <Characters>54653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Consumer Affairs Victoria Annual Report 2020-21</vt:lpstr>
    </vt:vector>
  </TitlesOfParts>
  <Company>Victorian Department of Justice and Community Safety</Company>
  <LinksUpToDate>false</LinksUpToDate>
  <CharactersWithSpaces>64113</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2020-21</dc:title>
  <dc:creator>Consumer Affairs Victoria</dc:creator>
  <cp:lastModifiedBy>David M Darragh (DJCS)</cp:lastModifiedBy>
  <cp:revision>2</cp:revision>
  <cp:lastPrinted>2021-10-23T09:20:00Z</cp:lastPrinted>
  <dcterms:created xsi:type="dcterms:W3CDTF">2021-10-25T22:26:00Z</dcterms:created>
  <dcterms:modified xsi:type="dcterms:W3CDTF">2021-10-25T22:26:00Z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