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D4FA1" w14:textId="2B3E8112" w:rsidR="00C90E80" w:rsidRPr="00062049" w:rsidRDefault="00C90E80" w:rsidP="00E15E1B">
      <w:pPr>
        <w:pStyle w:val="Heading1"/>
        <w:spacing w:before="4400" w:after="8400"/>
      </w:pPr>
      <w:r w:rsidRPr="001B396A">
        <w:t>Annual</w:t>
      </w:r>
      <w:r w:rsidR="001C3C79">
        <w:t xml:space="preserve"> </w:t>
      </w:r>
      <w:r w:rsidRPr="001B396A">
        <w:t>Report</w:t>
      </w:r>
      <w:r w:rsidR="001C3C79">
        <w:t xml:space="preserve"> </w:t>
      </w:r>
      <w:r w:rsidRPr="001B396A">
        <w:t>201</w:t>
      </w:r>
      <w:r w:rsidR="00A66C4F">
        <w:t>9–20</w:t>
      </w:r>
    </w:p>
    <w:p w14:paraId="1564C41C" w14:textId="77777777" w:rsidR="00062049" w:rsidRPr="003D521F" w:rsidRDefault="002D316F" w:rsidP="00FF30B8">
      <w:pPr>
        <w:pStyle w:val="BodyText"/>
        <w:jc w:val="right"/>
      </w:pPr>
      <w:r>
        <w:rPr>
          <w:noProof/>
          <w:lang w:eastAsia="en-AU"/>
        </w:rPr>
        <w:drawing>
          <wp:inline distT="0" distB="0" distL="0" distR="0" wp14:anchorId="0DE8F0AD" wp14:editId="15A39AE9">
            <wp:extent cx="1889157" cy="525145"/>
            <wp:effectExtent l="0" t="0" r="0" b="8255"/>
            <wp:docPr id="1" name="Picture 1"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umer Affairs Victoria"/>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889157" cy="525145"/>
                    </a:xfrm>
                    <a:prstGeom prst="rect">
                      <a:avLst/>
                    </a:prstGeom>
                    <a:noFill/>
                    <a:ln>
                      <a:noFill/>
                    </a:ln>
                  </pic:spPr>
                </pic:pic>
              </a:graphicData>
            </a:graphic>
          </wp:inline>
        </w:drawing>
      </w:r>
    </w:p>
    <w:p w14:paraId="7F0B3FD9" w14:textId="77777777" w:rsidR="008E1660" w:rsidRDefault="008E1660" w:rsidP="008E1660">
      <w:pPr>
        <w:pStyle w:val="Heading2"/>
      </w:pPr>
      <w:bookmarkStart w:id="0" w:name="_Toc55998347"/>
      <w:r>
        <w:lastRenderedPageBreak/>
        <w:t>Contents</w:t>
      </w:r>
      <w:bookmarkEnd w:id="0"/>
    </w:p>
    <w:p w14:paraId="62B0C8A2" w14:textId="3CC6C958" w:rsidR="006F187D" w:rsidRDefault="009569B2">
      <w:pPr>
        <w:pStyle w:val="TOC1"/>
        <w:rPr>
          <w:rFonts w:asciiTheme="minorHAnsi" w:eastAsiaTheme="minorEastAsia" w:hAnsiTheme="minorHAnsi" w:cstheme="minorBidi"/>
          <w:b w:val="0"/>
          <w:noProof/>
          <w:sz w:val="22"/>
          <w:lang w:eastAsia="en-AU"/>
        </w:rPr>
      </w:pPr>
      <w:r>
        <w:fldChar w:fldCharType="begin"/>
      </w:r>
      <w:r>
        <w:instrText xml:space="preserve"> TOC \h \z \u \t "Heading 2,1,Heading 3,2,TOC heading,2" </w:instrText>
      </w:r>
      <w:r>
        <w:fldChar w:fldCharType="separate"/>
      </w:r>
      <w:hyperlink w:anchor="_Toc55998347" w:history="1">
        <w:r w:rsidR="006F187D" w:rsidRPr="00E9324F">
          <w:rPr>
            <w:rStyle w:val="Hyperlink"/>
            <w:noProof/>
          </w:rPr>
          <w:t>Contents</w:t>
        </w:r>
        <w:r w:rsidR="006F187D">
          <w:rPr>
            <w:noProof/>
            <w:webHidden/>
          </w:rPr>
          <w:tab/>
        </w:r>
        <w:r w:rsidR="006F187D">
          <w:rPr>
            <w:noProof/>
            <w:webHidden/>
          </w:rPr>
          <w:fldChar w:fldCharType="begin"/>
        </w:r>
        <w:r w:rsidR="006F187D">
          <w:rPr>
            <w:noProof/>
            <w:webHidden/>
          </w:rPr>
          <w:instrText xml:space="preserve"> PAGEREF _Toc55998347 \h </w:instrText>
        </w:r>
        <w:r w:rsidR="006F187D">
          <w:rPr>
            <w:noProof/>
            <w:webHidden/>
          </w:rPr>
        </w:r>
        <w:r w:rsidR="006F187D">
          <w:rPr>
            <w:noProof/>
            <w:webHidden/>
          </w:rPr>
          <w:fldChar w:fldCharType="separate"/>
        </w:r>
        <w:r w:rsidR="006F187D">
          <w:rPr>
            <w:noProof/>
            <w:webHidden/>
          </w:rPr>
          <w:t>2</w:t>
        </w:r>
        <w:r w:rsidR="006F187D">
          <w:rPr>
            <w:noProof/>
            <w:webHidden/>
          </w:rPr>
          <w:fldChar w:fldCharType="end"/>
        </w:r>
      </w:hyperlink>
    </w:p>
    <w:p w14:paraId="330DD820" w14:textId="4FCE9D42" w:rsidR="006F187D" w:rsidRDefault="00575E00">
      <w:pPr>
        <w:pStyle w:val="TOC1"/>
        <w:rPr>
          <w:rFonts w:asciiTheme="minorHAnsi" w:eastAsiaTheme="minorEastAsia" w:hAnsiTheme="minorHAnsi" w:cstheme="minorBidi"/>
          <w:b w:val="0"/>
          <w:noProof/>
          <w:sz w:val="22"/>
          <w:lang w:eastAsia="en-AU"/>
        </w:rPr>
      </w:pPr>
      <w:hyperlink w:anchor="_Toc55998348" w:history="1">
        <w:r w:rsidR="006F187D" w:rsidRPr="00E9324F">
          <w:rPr>
            <w:rStyle w:val="Hyperlink"/>
            <w:noProof/>
          </w:rPr>
          <w:t>Letter to the Minister</w:t>
        </w:r>
        <w:r w:rsidR="006F187D">
          <w:rPr>
            <w:noProof/>
            <w:webHidden/>
          </w:rPr>
          <w:tab/>
        </w:r>
        <w:r w:rsidR="006F187D">
          <w:rPr>
            <w:noProof/>
            <w:webHidden/>
          </w:rPr>
          <w:fldChar w:fldCharType="begin"/>
        </w:r>
        <w:r w:rsidR="006F187D">
          <w:rPr>
            <w:noProof/>
            <w:webHidden/>
          </w:rPr>
          <w:instrText xml:space="preserve"> PAGEREF _Toc55998348 \h </w:instrText>
        </w:r>
        <w:r w:rsidR="006F187D">
          <w:rPr>
            <w:noProof/>
            <w:webHidden/>
          </w:rPr>
        </w:r>
        <w:r w:rsidR="006F187D">
          <w:rPr>
            <w:noProof/>
            <w:webHidden/>
          </w:rPr>
          <w:fldChar w:fldCharType="separate"/>
        </w:r>
        <w:r w:rsidR="006F187D">
          <w:rPr>
            <w:noProof/>
            <w:webHidden/>
          </w:rPr>
          <w:t>3</w:t>
        </w:r>
        <w:r w:rsidR="006F187D">
          <w:rPr>
            <w:noProof/>
            <w:webHidden/>
          </w:rPr>
          <w:fldChar w:fldCharType="end"/>
        </w:r>
      </w:hyperlink>
    </w:p>
    <w:p w14:paraId="35292555" w14:textId="66D54040" w:rsidR="006F187D" w:rsidRDefault="00575E00">
      <w:pPr>
        <w:pStyle w:val="TOC1"/>
        <w:rPr>
          <w:rFonts w:asciiTheme="minorHAnsi" w:eastAsiaTheme="minorEastAsia" w:hAnsiTheme="minorHAnsi" w:cstheme="minorBidi"/>
          <w:b w:val="0"/>
          <w:noProof/>
          <w:sz w:val="22"/>
          <w:lang w:eastAsia="en-AU"/>
        </w:rPr>
      </w:pPr>
      <w:hyperlink w:anchor="_Toc55998349" w:history="1">
        <w:r w:rsidR="006F187D" w:rsidRPr="00E9324F">
          <w:rPr>
            <w:rStyle w:val="Hyperlink"/>
            <w:noProof/>
          </w:rPr>
          <w:t>Director’s foreword</w:t>
        </w:r>
        <w:r w:rsidR="006F187D">
          <w:rPr>
            <w:noProof/>
            <w:webHidden/>
          </w:rPr>
          <w:tab/>
        </w:r>
        <w:r w:rsidR="006F187D">
          <w:rPr>
            <w:noProof/>
            <w:webHidden/>
          </w:rPr>
          <w:fldChar w:fldCharType="begin"/>
        </w:r>
        <w:r w:rsidR="006F187D">
          <w:rPr>
            <w:noProof/>
            <w:webHidden/>
          </w:rPr>
          <w:instrText xml:space="preserve"> PAGEREF _Toc55998349 \h </w:instrText>
        </w:r>
        <w:r w:rsidR="006F187D">
          <w:rPr>
            <w:noProof/>
            <w:webHidden/>
          </w:rPr>
        </w:r>
        <w:r w:rsidR="006F187D">
          <w:rPr>
            <w:noProof/>
            <w:webHidden/>
          </w:rPr>
          <w:fldChar w:fldCharType="separate"/>
        </w:r>
        <w:r w:rsidR="006F187D">
          <w:rPr>
            <w:noProof/>
            <w:webHidden/>
          </w:rPr>
          <w:t>4</w:t>
        </w:r>
        <w:r w:rsidR="006F187D">
          <w:rPr>
            <w:noProof/>
            <w:webHidden/>
          </w:rPr>
          <w:fldChar w:fldCharType="end"/>
        </w:r>
      </w:hyperlink>
    </w:p>
    <w:p w14:paraId="068A0254" w14:textId="40FFAA27" w:rsidR="006F187D" w:rsidRDefault="00575E00">
      <w:pPr>
        <w:pStyle w:val="TOC1"/>
        <w:rPr>
          <w:rFonts w:asciiTheme="minorHAnsi" w:eastAsiaTheme="minorEastAsia" w:hAnsiTheme="minorHAnsi" w:cstheme="minorBidi"/>
          <w:b w:val="0"/>
          <w:noProof/>
          <w:sz w:val="22"/>
          <w:lang w:eastAsia="en-AU"/>
        </w:rPr>
      </w:pPr>
      <w:hyperlink w:anchor="_Toc55998350" w:history="1">
        <w:r w:rsidR="006F187D" w:rsidRPr="00E9324F">
          <w:rPr>
            <w:rStyle w:val="Hyperlink"/>
            <w:noProof/>
          </w:rPr>
          <w:t>About us</w:t>
        </w:r>
        <w:r w:rsidR="006F187D">
          <w:rPr>
            <w:noProof/>
            <w:webHidden/>
          </w:rPr>
          <w:tab/>
        </w:r>
        <w:r w:rsidR="006F187D">
          <w:rPr>
            <w:noProof/>
            <w:webHidden/>
          </w:rPr>
          <w:fldChar w:fldCharType="begin"/>
        </w:r>
        <w:r w:rsidR="006F187D">
          <w:rPr>
            <w:noProof/>
            <w:webHidden/>
          </w:rPr>
          <w:instrText xml:space="preserve"> PAGEREF _Toc55998350 \h </w:instrText>
        </w:r>
        <w:r w:rsidR="006F187D">
          <w:rPr>
            <w:noProof/>
            <w:webHidden/>
          </w:rPr>
        </w:r>
        <w:r w:rsidR="006F187D">
          <w:rPr>
            <w:noProof/>
            <w:webHidden/>
          </w:rPr>
          <w:fldChar w:fldCharType="separate"/>
        </w:r>
        <w:r w:rsidR="006F187D">
          <w:rPr>
            <w:noProof/>
            <w:webHidden/>
          </w:rPr>
          <w:t>6</w:t>
        </w:r>
        <w:r w:rsidR="006F187D">
          <w:rPr>
            <w:noProof/>
            <w:webHidden/>
          </w:rPr>
          <w:fldChar w:fldCharType="end"/>
        </w:r>
      </w:hyperlink>
    </w:p>
    <w:p w14:paraId="7787F8D3" w14:textId="7AD5C123" w:rsidR="006F187D" w:rsidRDefault="00575E00">
      <w:pPr>
        <w:pStyle w:val="TOC2"/>
        <w:rPr>
          <w:rFonts w:asciiTheme="minorHAnsi" w:eastAsiaTheme="minorEastAsia" w:hAnsiTheme="minorHAnsi" w:cstheme="minorBidi"/>
          <w:sz w:val="22"/>
          <w:lang w:eastAsia="en-AU"/>
        </w:rPr>
      </w:pPr>
      <w:hyperlink w:anchor="_Toc55998351" w:history="1">
        <w:r w:rsidR="006F187D" w:rsidRPr="00E9324F">
          <w:rPr>
            <w:rStyle w:val="Hyperlink"/>
          </w:rPr>
          <w:t>Our values</w:t>
        </w:r>
        <w:r w:rsidR="006F187D">
          <w:rPr>
            <w:webHidden/>
          </w:rPr>
          <w:tab/>
        </w:r>
        <w:r w:rsidR="006F187D">
          <w:rPr>
            <w:webHidden/>
          </w:rPr>
          <w:fldChar w:fldCharType="begin"/>
        </w:r>
        <w:r w:rsidR="006F187D">
          <w:rPr>
            <w:webHidden/>
          </w:rPr>
          <w:instrText xml:space="preserve"> PAGEREF _Toc55998351 \h </w:instrText>
        </w:r>
        <w:r w:rsidR="006F187D">
          <w:rPr>
            <w:webHidden/>
          </w:rPr>
        </w:r>
        <w:r w:rsidR="006F187D">
          <w:rPr>
            <w:webHidden/>
          </w:rPr>
          <w:fldChar w:fldCharType="separate"/>
        </w:r>
        <w:r w:rsidR="006F187D">
          <w:rPr>
            <w:webHidden/>
          </w:rPr>
          <w:t>6</w:t>
        </w:r>
        <w:r w:rsidR="006F187D">
          <w:rPr>
            <w:webHidden/>
          </w:rPr>
          <w:fldChar w:fldCharType="end"/>
        </w:r>
      </w:hyperlink>
    </w:p>
    <w:p w14:paraId="3661AC37" w14:textId="581FFE1F" w:rsidR="006F187D" w:rsidRDefault="00575E00">
      <w:pPr>
        <w:pStyle w:val="TOC2"/>
        <w:rPr>
          <w:rFonts w:asciiTheme="minorHAnsi" w:eastAsiaTheme="minorEastAsia" w:hAnsiTheme="minorHAnsi" w:cstheme="minorBidi"/>
          <w:sz w:val="22"/>
          <w:lang w:eastAsia="en-AU"/>
        </w:rPr>
      </w:pPr>
      <w:hyperlink w:anchor="_Toc55998352" w:history="1">
        <w:r w:rsidR="006F187D" w:rsidRPr="00E9324F">
          <w:rPr>
            <w:rStyle w:val="Hyperlink"/>
          </w:rPr>
          <w:t>Our vision</w:t>
        </w:r>
        <w:r w:rsidR="006F187D">
          <w:rPr>
            <w:webHidden/>
          </w:rPr>
          <w:tab/>
        </w:r>
        <w:r w:rsidR="006F187D">
          <w:rPr>
            <w:webHidden/>
          </w:rPr>
          <w:fldChar w:fldCharType="begin"/>
        </w:r>
        <w:r w:rsidR="006F187D">
          <w:rPr>
            <w:webHidden/>
          </w:rPr>
          <w:instrText xml:space="preserve"> PAGEREF _Toc55998352 \h </w:instrText>
        </w:r>
        <w:r w:rsidR="006F187D">
          <w:rPr>
            <w:webHidden/>
          </w:rPr>
        </w:r>
        <w:r w:rsidR="006F187D">
          <w:rPr>
            <w:webHidden/>
          </w:rPr>
          <w:fldChar w:fldCharType="separate"/>
        </w:r>
        <w:r w:rsidR="006F187D">
          <w:rPr>
            <w:webHidden/>
          </w:rPr>
          <w:t>6</w:t>
        </w:r>
        <w:r w:rsidR="006F187D">
          <w:rPr>
            <w:webHidden/>
          </w:rPr>
          <w:fldChar w:fldCharType="end"/>
        </w:r>
      </w:hyperlink>
    </w:p>
    <w:p w14:paraId="5C1893AB" w14:textId="4576831F" w:rsidR="006F187D" w:rsidRDefault="00575E00">
      <w:pPr>
        <w:pStyle w:val="TOC2"/>
        <w:rPr>
          <w:rFonts w:asciiTheme="minorHAnsi" w:eastAsiaTheme="minorEastAsia" w:hAnsiTheme="minorHAnsi" w:cstheme="minorBidi"/>
          <w:sz w:val="22"/>
          <w:lang w:eastAsia="en-AU"/>
        </w:rPr>
      </w:pPr>
      <w:hyperlink w:anchor="_Toc55998353" w:history="1">
        <w:r w:rsidR="006F187D" w:rsidRPr="00E9324F">
          <w:rPr>
            <w:rStyle w:val="Hyperlink"/>
          </w:rPr>
          <w:t>Our outcomes</w:t>
        </w:r>
        <w:r w:rsidR="006F187D">
          <w:rPr>
            <w:webHidden/>
          </w:rPr>
          <w:tab/>
        </w:r>
        <w:r w:rsidR="006F187D">
          <w:rPr>
            <w:webHidden/>
          </w:rPr>
          <w:fldChar w:fldCharType="begin"/>
        </w:r>
        <w:r w:rsidR="006F187D">
          <w:rPr>
            <w:webHidden/>
          </w:rPr>
          <w:instrText xml:space="preserve"> PAGEREF _Toc55998353 \h </w:instrText>
        </w:r>
        <w:r w:rsidR="006F187D">
          <w:rPr>
            <w:webHidden/>
          </w:rPr>
        </w:r>
        <w:r w:rsidR="006F187D">
          <w:rPr>
            <w:webHidden/>
          </w:rPr>
          <w:fldChar w:fldCharType="separate"/>
        </w:r>
        <w:r w:rsidR="006F187D">
          <w:rPr>
            <w:webHidden/>
          </w:rPr>
          <w:t>6</w:t>
        </w:r>
        <w:r w:rsidR="006F187D">
          <w:rPr>
            <w:webHidden/>
          </w:rPr>
          <w:fldChar w:fldCharType="end"/>
        </w:r>
      </w:hyperlink>
    </w:p>
    <w:p w14:paraId="35E5F138" w14:textId="2D169E88" w:rsidR="006F187D" w:rsidRDefault="00575E00">
      <w:pPr>
        <w:pStyle w:val="TOC2"/>
        <w:rPr>
          <w:rFonts w:asciiTheme="minorHAnsi" w:eastAsiaTheme="minorEastAsia" w:hAnsiTheme="minorHAnsi" w:cstheme="minorBidi"/>
          <w:sz w:val="22"/>
          <w:lang w:eastAsia="en-AU"/>
        </w:rPr>
      </w:pPr>
      <w:hyperlink w:anchor="_Toc55998354" w:history="1">
        <w:r w:rsidR="006F187D" w:rsidRPr="00E9324F">
          <w:rPr>
            <w:rStyle w:val="Hyperlink"/>
          </w:rPr>
          <w:t>Our functions</w:t>
        </w:r>
        <w:r w:rsidR="006F187D">
          <w:rPr>
            <w:webHidden/>
          </w:rPr>
          <w:tab/>
        </w:r>
        <w:r w:rsidR="006F187D">
          <w:rPr>
            <w:webHidden/>
          </w:rPr>
          <w:fldChar w:fldCharType="begin"/>
        </w:r>
        <w:r w:rsidR="006F187D">
          <w:rPr>
            <w:webHidden/>
          </w:rPr>
          <w:instrText xml:space="preserve"> PAGEREF _Toc55998354 \h </w:instrText>
        </w:r>
        <w:r w:rsidR="006F187D">
          <w:rPr>
            <w:webHidden/>
          </w:rPr>
        </w:r>
        <w:r w:rsidR="006F187D">
          <w:rPr>
            <w:webHidden/>
          </w:rPr>
          <w:fldChar w:fldCharType="separate"/>
        </w:r>
        <w:r w:rsidR="006F187D">
          <w:rPr>
            <w:webHidden/>
          </w:rPr>
          <w:t>6</w:t>
        </w:r>
        <w:r w:rsidR="006F187D">
          <w:rPr>
            <w:webHidden/>
          </w:rPr>
          <w:fldChar w:fldCharType="end"/>
        </w:r>
      </w:hyperlink>
    </w:p>
    <w:p w14:paraId="5163D2F9" w14:textId="2F4C1E47" w:rsidR="006F187D" w:rsidRDefault="00575E00">
      <w:pPr>
        <w:pStyle w:val="TOC2"/>
        <w:rPr>
          <w:rFonts w:asciiTheme="minorHAnsi" w:eastAsiaTheme="minorEastAsia" w:hAnsiTheme="minorHAnsi" w:cstheme="minorBidi"/>
          <w:sz w:val="22"/>
          <w:lang w:eastAsia="en-AU"/>
        </w:rPr>
      </w:pPr>
      <w:hyperlink w:anchor="_Toc55998355" w:history="1">
        <w:r w:rsidR="006F187D" w:rsidRPr="00E9324F">
          <w:rPr>
            <w:rStyle w:val="Hyperlink"/>
          </w:rPr>
          <w:t>Our regulatory approach</w:t>
        </w:r>
        <w:r w:rsidR="006F187D">
          <w:rPr>
            <w:webHidden/>
          </w:rPr>
          <w:tab/>
        </w:r>
        <w:r w:rsidR="006F187D">
          <w:rPr>
            <w:webHidden/>
          </w:rPr>
          <w:fldChar w:fldCharType="begin"/>
        </w:r>
        <w:r w:rsidR="006F187D">
          <w:rPr>
            <w:webHidden/>
          </w:rPr>
          <w:instrText xml:space="preserve"> PAGEREF _Toc55998355 \h </w:instrText>
        </w:r>
        <w:r w:rsidR="006F187D">
          <w:rPr>
            <w:webHidden/>
          </w:rPr>
        </w:r>
        <w:r w:rsidR="006F187D">
          <w:rPr>
            <w:webHidden/>
          </w:rPr>
          <w:fldChar w:fldCharType="separate"/>
        </w:r>
        <w:r w:rsidR="006F187D">
          <w:rPr>
            <w:webHidden/>
          </w:rPr>
          <w:t>7</w:t>
        </w:r>
        <w:r w:rsidR="006F187D">
          <w:rPr>
            <w:webHidden/>
          </w:rPr>
          <w:fldChar w:fldCharType="end"/>
        </w:r>
      </w:hyperlink>
    </w:p>
    <w:p w14:paraId="7DA18E4B" w14:textId="1E72D832" w:rsidR="006F187D" w:rsidRDefault="00575E00">
      <w:pPr>
        <w:pStyle w:val="TOC1"/>
        <w:rPr>
          <w:rFonts w:asciiTheme="minorHAnsi" w:eastAsiaTheme="minorEastAsia" w:hAnsiTheme="minorHAnsi" w:cstheme="minorBidi"/>
          <w:b w:val="0"/>
          <w:noProof/>
          <w:sz w:val="22"/>
          <w:lang w:eastAsia="en-AU"/>
        </w:rPr>
      </w:pPr>
      <w:hyperlink w:anchor="_Toc55998356" w:history="1">
        <w:r w:rsidR="006F187D" w:rsidRPr="00E9324F">
          <w:rPr>
            <w:rStyle w:val="Hyperlink"/>
            <w:noProof/>
          </w:rPr>
          <w:t>Our performance</w:t>
        </w:r>
        <w:r w:rsidR="006F187D">
          <w:rPr>
            <w:noProof/>
            <w:webHidden/>
          </w:rPr>
          <w:tab/>
        </w:r>
        <w:r w:rsidR="006F187D">
          <w:rPr>
            <w:noProof/>
            <w:webHidden/>
          </w:rPr>
          <w:fldChar w:fldCharType="begin"/>
        </w:r>
        <w:r w:rsidR="006F187D">
          <w:rPr>
            <w:noProof/>
            <w:webHidden/>
          </w:rPr>
          <w:instrText xml:space="preserve"> PAGEREF _Toc55998356 \h </w:instrText>
        </w:r>
        <w:r w:rsidR="006F187D">
          <w:rPr>
            <w:noProof/>
            <w:webHidden/>
          </w:rPr>
        </w:r>
        <w:r w:rsidR="006F187D">
          <w:rPr>
            <w:noProof/>
            <w:webHidden/>
          </w:rPr>
          <w:fldChar w:fldCharType="separate"/>
        </w:r>
        <w:r w:rsidR="006F187D">
          <w:rPr>
            <w:noProof/>
            <w:webHidden/>
          </w:rPr>
          <w:t>9</w:t>
        </w:r>
        <w:r w:rsidR="006F187D">
          <w:rPr>
            <w:noProof/>
            <w:webHidden/>
          </w:rPr>
          <w:fldChar w:fldCharType="end"/>
        </w:r>
      </w:hyperlink>
    </w:p>
    <w:p w14:paraId="39DCCC68" w14:textId="2D1E4FB2" w:rsidR="006F187D" w:rsidRDefault="00575E00">
      <w:pPr>
        <w:pStyle w:val="TOC1"/>
        <w:rPr>
          <w:rFonts w:asciiTheme="minorHAnsi" w:eastAsiaTheme="minorEastAsia" w:hAnsiTheme="minorHAnsi" w:cstheme="minorBidi"/>
          <w:b w:val="0"/>
          <w:noProof/>
          <w:sz w:val="22"/>
          <w:lang w:eastAsia="en-AU"/>
        </w:rPr>
      </w:pPr>
      <w:hyperlink w:anchor="_Toc55998357" w:history="1">
        <w:r w:rsidR="006F187D" w:rsidRPr="00E9324F">
          <w:rPr>
            <w:rStyle w:val="Hyperlink"/>
            <w:noProof/>
          </w:rPr>
          <w:t>Our achievements</w:t>
        </w:r>
        <w:r w:rsidR="006F187D">
          <w:rPr>
            <w:noProof/>
            <w:webHidden/>
          </w:rPr>
          <w:tab/>
        </w:r>
        <w:r w:rsidR="006F187D">
          <w:rPr>
            <w:noProof/>
            <w:webHidden/>
          </w:rPr>
          <w:fldChar w:fldCharType="begin"/>
        </w:r>
        <w:r w:rsidR="006F187D">
          <w:rPr>
            <w:noProof/>
            <w:webHidden/>
          </w:rPr>
          <w:instrText xml:space="preserve"> PAGEREF _Toc55998357 \h </w:instrText>
        </w:r>
        <w:r w:rsidR="006F187D">
          <w:rPr>
            <w:noProof/>
            <w:webHidden/>
          </w:rPr>
        </w:r>
        <w:r w:rsidR="006F187D">
          <w:rPr>
            <w:noProof/>
            <w:webHidden/>
          </w:rPr>
          <w:fldChar w:fldCharType="separate"/>
        </w:r>
        <w:r w:rsidR="006F187D">
          <w:rPr>
            <w:noProof/>
            <w:webHidden/>
          </w:rPr>
          <w:t>11</w:t>
        </w:r>
        <w:r w:rsidR="006F187D">
          <w:rPr>
            <w:noProof/>
            <w:webHidden/>
          </w:rPr>
          <w:fldChar w:fldCharType="end"/>
        </w:r>
      </w:hyperlink>
    </w:p>
    <w:p w14:paraId="669A80AE" w14:textId="7135EF2D" w:rsidR="006F187D" w:rsidRDefault="00575E00">
      <w:pPr>
        <w:pStyle w:val="TOC2"/>
        <w:rPr>
          <w:rFonts w:asciiTheme="minorHAnsi" w:eastAsiaTheme="minorEastAsia" w:hAnsiTheme="minorHAnsi" w:cstheme="minorBidi"/>
          <w:sz w:val="22"/>
          <w:lang w:eastAsia="en-AU"/>
        </w:rPr>
      </w:pPr>
      <w:hyperlink w:anchor="_Toc55998358" w:history="1">
        <w:r w:rsidR="006F187D" w:rsidRPr="00E9324F">
          <w:rPr>
            <w:rStyle w:val="Hyperlink"/>
          </w:rPr>
          <w:t>Outcome 1 – Businesses comply with consumer laws</w:t>
        </w:r>
        <w:r w:rsidR="006F187D">
          <w:rPr>
            <w:webHidden/>
          </w:rPr>
          <w:tab/>
        </w:r>
        <w:r w:rsidR="006F187D">
          <w:rPr>
            <w:webHidden/>
          </w:rPr>
          <w:fldChar w:fldCharType="begin"/>
        </w:r>
        <w:r w:rsidR="006F187D">
          <w:rPr>
            <w:webHidden/>
          </w:rPr>
          <w:instrText xml:space="preserve"> PAGEREF _Toc55998358 \h </w:instrText>
        </w:r>
        <w:r w:rsidR="006F187D">
          <w:rPr>
            <w:webHidden/>
          </w:rPr>
        </w:r>
        <w:r w:rsidR="006F187D">
          <w:rPr>
            <w:webHidden/>
          </w:rPr>
          <w:fldChar w:fldCharType="separate"/>
        </w:r>
        <w:r w:rsidR="006F187D">
          <w:rPr>
            <w:webHidden/>
          </w:rPr>
          <w:t>11</w:t>
        </w:r>
        <w:r w:rsidR="006F187D">
          <w:rPr>
            <w:webHidden/>
          </w:rPr>
          <w:fldChar w:fldCharType="end"/>
        </w:r>
      </w:hyperlink>
    </w:p>
    <w:p w14:paraId="50477751" w14:textId="6E032F51" w:rsidR="006F187D" w:rsidRDefault="00575E00">
      <w:pPr>
        <w:pStyle w:val="TOC2"/>
        <w:rPr>
          <w:rFonts w:asciiTheme="minorHAnsi" w:eastAsiaTheme="minorEastAsia" w:hAnsiTheme="minorHAnsi" w:cstheme="minorBidi"/>
          <w:sz w:val="22"/>
          <w:lang w:eastAsia="en-AU"/>
        </w:rPr>
      </w:pPr>
      <w:hyperlink w:anchor="_Toc55998359" w:history="1">
        <w:r w:rsidR="006F187D" w:rsidRPr="00E9324F">
          <w:rPr>
            <w:rStyle w:val="Hyperlink"/>
          </w:rPr>
          <w:t>Outcome 2 – Victorians exercise their consumer rights</w:t>
        </w:r>
        <w:r w:rsidR="006F187D">
          <w:rPr>
            <w:webHidden/>
          </w:rPr>
          <w:tab/>
        </w:r>
        <w:r w:rsidR="006F187D">
          <w:rPr>
            <w:webHidden/>
          </w:rPr>
          <w:fldChar w:fldCharType="begin"/>
        </w:r>
        <w:r w:rsidR="006F187D">
          <w:rPr>
            <w:webHidden/>
          </w:rPr>
          <w:instrText xml:space="preserve"> PAGEREF _Toc55998359 \h </w:instrText>
        </w:r>
        <w:r w:rsidR="006F187D">
          <w:rPr>
            <w:webHidden/>
          </w:rPr>
        </w:r>
        <w:r w:rsidR="006F187D">
          <w:rPr>
            <w:webHidden/>
          </w:rPr>
          <w:fldChar w:fldCharType="separate"/>
        </w:r>
        <w:r w:rsidR="006F187D">
          <w:rPr>
            <w:webHidden/>
          </w:rPr>
          <w:t>18</w:t>
        </w:r>
        <w:r w:rsidR="006F187D">
          <w:rPr>
            <w:webHidden/>
          </w:rPr>
          <w:fldChar w:fldCharType="end"/>
        </w:r>
      </w:hyperlink>
    </w:p>
    <w:p w14:paraId="60B92BAD" w14:textId="3662E778" w:rsidR="006F187D" w:rsidRDefault="00575E00">
      <w:pPr>
        <w:pStyle w:val="TOC2"/>
        <w:rPr>
          <w:rFonts w:asciiTheme="minorHAnsi" w:eastAsiaTheme="minorEastAsia" w:hAnsiTheme="minorHAnsi" w:cstheme="minorBidi"/>
          <w:sz w:val="22"/>
          <w:lang w:eastAsia="en-AU"/>
        </w:rPr>
      </w:pPr>
      <w:hyperlink w:anchor="_Toc55998360" w:history="1">
        <w:r w:rsidR="006F187D" w:rsidRPr="00E9324F">
          <w:rPr>
            <w:rStyle w:val="Hyperlink"/>
          </w:rPr>
          <w:t>Outcome 3 – A fair and safe rental market</w:t>
        </w:r>
        <w:r w:rsidR="006F187D">
          <w:rPr>
            <w:webHidden/>
          </w:rPr>
          <w:tab/>
        </w:r>
        <w:r w:rsidR="006F187D">
          <w:rPr>
            <w:webHidden/>
          </w:rPr>
          <w:fldChar w:fldCharType="begin"/>
        </w:r>
        <w:r w:rsidR="006F187D">
          <w:rPr>
            <w:webHidden/>
          </w:rPr>
          <w:instrText xml:space="preserve"> PAGEREF _Toc55998360 \h </w:instrText>
        </w:r>
        <w:r w:rsidR="006F187D">
          <w:rPr>
            <w:webHidden/>
          </w:rPr>
        </w:r>
        <w:r w:rsidR="006F187D">
          <w:rPr>
            <w:webHidden/>
          </w:rPr>
          <w:fldChar w:fldCharType="separate"/>
        </w:r>
        <w:r w:rsidR="006F187D">
          <w:rPr>
            <w:webHidden/>
          </w:rPr>
          <w:t>21</w:t>
        </w:r>
        <w:r w:rsidR="006F187D">
          <w:rPr>
            <w:webHidden/>
          </w:rPr>
          <w:fldChar w:fldCharType="end"/>
        </w:r>
      </w:hyperlink>
    </w:p>
    <w:p w14:paraId="3ACD701A" w14:textId="21F78FB6" w:rsidR="006F187D" w:rsidRDefault="00575E00">
      <w:pPr>
        <w:pStyle w:val="TOC1"/>
        <w:rPr>
          <w:rFonts w:asciiTheme="minorHAnsi" w:eastAsiaTheme="minorEastAsia" w:hAnsiTheme="minorHAnsi" w:cstheme="minorBidi"/>
          <w:b w:val="0"/>
          <w:noProof/>
          <w:sz w:val="22"/>
          <w:lang w:eastAsia="en-AU"/>
        </w:rPr>
      </w:pPr>
      <w:hyperlink w:anchor="_Toc55998361" w:history="1">
        <w:r w:rsidR="006F187D" w:rsidRPr="00E9324F">
          <w:rPr>
            <w:rStyle w:val="Hyperlink"/>
            <w:noProof/>
          </w:rPr>
          <w:t>Trust funds managed by Consumer Affairs Victoria</w:t>
        </w:r>
        <w:r w:rsidR="006F187D">
          <w:rPr>
            <w:noProof/>
            <w:webHidden/>
          </w:rPr>
          <w:tab/>
        </w:r>
        <w:r w:rsidR="006F187D">
          <w:rPr>
            <w:noProof/>
            <w:webHidden/>
          </w:rPr>
          <w:fldChar w:fldCharType="begin"/>
        </w:r>
        <w:r w:rsidR="006F187D">
          <w:rPr>
            <w:noProof/>
            <w:webHidden/>
          </w:rPr>
          <w:instrText xml:space="preserve"> PAGEREF _Toc55998361 \h </w:instrText>
        </w:r>
        <w:r w:rsidR="006F187D">
          <w:rPr>
            <w:noProof/>
            <w:webHidden/>
          </w:rPr>
        </w:r>
        <w:r w:rsidR="006F187D">
          <w:rPr>
            <w:noProof/>
            <w:webHidden/>
          </w:rPr>
          <w:fldChar w:fldCharType="separate"/>
        </w:r>
        <w:r w:rsidR="006F187D">
          <w:rPr>
            <w:noProof/>
            <w:webHidden/>
          </w:rPr>
          <w:t>25</w:t>
        </w:r>
        <w:r w:rsidR="006F187D">
          <w:rPr>
            <w:noProof/>
            <w:webHidden/>
          </w:rPr>
          <w:fldChar w:fldCharType="end"/>
        </w:r>
      </w:hyperlink>
    </w:p>
    <w:p w14:paraId="765270A1" w14:textId="4DAEFC84" w:rsidR="006F187D" w:rsidRDefault="00575E00">
      <w:pPr>
        <w:pStyle w:val="TOC1"/>
        <w:rPr>
          <w:rFonts w:asciiTheme="minorHAnsi" w:eastAsiaTheme="minorEastAsia" w:hAnsiTheme="minorHAnsi" w:cstheme="minorBidi"/>
          <w:b w:val="0"/>
          <w:noProof/>
          <w:sz w:val="22"/>
          <w:lang w:eastAsia="en-AU"/>
        </w:rPr>
      </w:pPr>
      <w:hyperlink w:anchor="_Toc55998362" w:history="1">
        <w:r w:rsidR="006F187D" w:rsidRPr="00E9324F">
          <w:rPr>
            <w:rStyle w:val="Hyperlink"/>
            <w:noProof/>
          </w:rPr>
          <w:t>Reducing red tape</w:t>
        </w:r>
        <w:r w:rsidR="006F187D">
          <w:rPr>
            <w:noProof/>
            <w:webHidden/>
          </w:rPr>
          <w:tab/>
        </w:r>
        <w:r w:rsidR="006F187D">
          <w:rPr>
            <w:noProof/>
            <w:webHidden/>
          </w:rPr>
          <w:fldChar w:fldCharType="begin"/>
        </w:r>
        <w:r w:rsidR="006F187D">
          <w:rPr>
            <w:noProof/>
            <w:webHidden/>
          </w:rPr>
          <w:instrText xml:space="preserve"> PAGEREF _Toc55998362 \h </w:instrText>
        </w:r>
        <w:r w:rsidR="006F187D">
          <w:rPr>
            <w:noProof/>
            <w:webHidden/>
          </w:rPr>
        </w:r>
        <w:r w:rsidR="006F187D">
          <w:rPr>
            <w:noProof/>
            <w:webHidden/>
          </w:rPr>
          <w:fldChar w:fldCharType="separate"/>
        </w:r>
        <w:r w:rsidR="006F187D">
          <w:rPr>
            <w:noProof/>
            <w:webHidden/>
          </w:rPr>
          <w:t>26</w:t>
        </w:r>
        <w:r w:rsidR="006F187D">
          <w:rPr>
            <w:noProof/>
            <w:webHidden/>
          </w:rPr>
          <w:fldChar w:fldCharType="end"/>
        </w:r>
      </w:hyperlink>
    </w:p>
    <w:p w14:paraId="53B7D2DD" w14:textId="262D7E9F" w:rsidR="006F187D" w:rsidRDefault="00575E00">
      <w:pPr>
        <w:pStyle w:val="TOC2"/>
        <w:rPr>
          <w:rFonts w:asciiTheme="minorHAnsi" w:eastAsiaTheme="minorEastAsia" w:hAnsiTheme="minorHAnsi" w:cstheme="minorBidi"/>
          <w:sz w:val="22"/>
          <w:lang w:eastAsia="en-AU"/>
        </w:rPr>
      </w:pPr>
      <w:hyperlink w:anchor="_Toc55998363" w:history="1">
        <w:r w:rsidR="006F187D" w:rsidRPr="00E9324F">
          <w:rPr>
            <w:rStyle w:val="Hyperlink"/>
          </w:rPr>
          <w:t>Improved timeliness</w:t>
        </w:r>
        <w:r w:rsidR="006F187D">
          <w:rPr>
            <w:webHidden/>
          </w:rPr>
          <w:tab/>
        </w:r>
        <w:r w:rsidR="006F187D">
          <w:rPr>
            <w:webHidden/>
          </w:rPr>
          <w:fldChar w:fldCharType="begin"/>
        </w:r>
        <w:r w:rsidR="006F187D">
          <w:rPr>
            <w:webHidden/>
          </w:rPr>
          <w:instrText xml:space="preserve"> PAGEREF _Toc55998363 \h </w:instrText>
        </w:r>
        <w:r w:rsidR="006F187D">
          <w:rPr>
            <w:webHidden/>
          </w:rPr>
        </w:r>
        <w:r w:rsidR="006F187D">
          <w:rPr>
            <w:webHidden/>
          </w:rPr>
          <w:fldChar w:fldCharType="separate"/>
        </w:r>
        <w:r w:rsidR="006F187D">
          <w:rPr>
            <w:webHidden/>
          </w:rPr>
          <w:t>26</w:t>
        </w:r>
        <w:r w:rsidR="006F187D">
          <w:rPr>
            <w:webHidden/>
          </w:rPr>
          <w:fldChar w:fldCharType="end"/>
        </w:r>
      </w:hyperlink>
    </w:p>
    <w:p w14:paraId="4E214439" w14:textId="6E53AC45" w:rsidR="006F187D" w:rsidRDefault="00575E00">
      <w:pPr>
        <w:pStyle w:val="TOC2"/>
        <w:rPr>
          <w:rFonts w:asciiTheme="minorHAnsi" w:eastAsiaTheme="minorEastAsia" w:hAnsiTheme="minorHAnsi" w:cstheme="minorBidi"/>
          <w:sz w:val="22"/>
          <w:lang w:eastAsia="en-AU"/>
        </w:rPr>
      </w:pPr>
      <w:hyperlink w:anchor="_Toc55998364" w:history="1">
        <w:r w:rsidR="006F187D" w:rsidRPr="00E9324F">
          <w:rPr>
            <w:rStyle w:val="Hyperlink"/>
          </w:rPr>
          <w:t>Risk-based strategies</w:t>
        </w:r>
        <w:r w:rsidR="006F187D">
          <w:rPr>
            <w:webHidden/>
          </w:rPr>
          <w:tab/>
        </w:r>
        <w:r w:rsidR="006F187D">
          <w:rPr>
            <w:webHidden/>
          </w:rPr>
          <w:fldChar w:fldCharType="begin"/>
        </w:r>
        <w:r w:rsidR="006F187D">
          <w:rPr>
            <w:webHidden/>
          </w:rPr>
          <w:instrText xml:space="preserve"> PAGEREF _Toc55998364 \h </w:instrText>
        </w:r>
        <w:r w:rsidR="006F187D">
          <w:rPr>
            <w:webHidden/>
          </w:rPr>
        </w:r>
        <w:r w:rsidR="006F187D">
          <w:rPr>
            <w:webHidden/>
          </w:rPr>
          <w:fldChar w:fldCharType="separate"/>
        </w:r>
        <w:r w:rsidR="006F187D">
          <w:rPr>
            <w:webHidden/>
          </w:rPr>
          <w:t>26</w:t>
        </w:r>
        <w:r w:rsidR="006F187D">
          <w:rPr>
            <w:webHidden/>
          </w:rPr>
          <w:fldChar w:fldCharType="end"/>
        </w:r>
      </w:hyperlink>
    </w:p>
    <w:p w14:paraId="6D4313AC" w14:textId="310FD035" w:rsidR="006F187D" w:rsidRDefault="00575E00">
      <w:pPr>
        <w:pStyle w:val="TOC2"/>
        <w:rPr>
          <w:rFonts w:asciiTheme="minorHAnsi" w:eastAsiaTheme="minorEastAsia" w:hAnsiTheme="minorHAnsi" w:cstheme="minorBidi"/>
          <w:sz w:val="22"/>
          <w:lang w:eastAsia="en-AU"/>
        </w:rPr>
      </w:pPr>
      <w:hyperlink w:anchor="_Toc55998365" w:history="1">
        <w:r w:rsidR="006F187D" w:rsidRPr="00E9324F">
          <w:rPr>
            <w:rStyle w:val="Hyperlink"/>
          </w:rPr>
          <w:t>Compliance related assistance and advice</w:t>
        </w:r>
        <w:r w:rsidR="006F187D">
          <w:rPr>
            <w:webHidden/>
          </w:rPr>
          <w:tab/>
        </w:r>
        <w:r w:rsidR="006F187D">
          <w:rPr>
            <w:webHidden/>
          </w:rPr>
          <w:fldChar w:fldCharType="begin"/>
        </w:r>
        <w:r w:rsidR="006F187D">
          <w:rPr>
            <w:webHidden/>
          </w:rPr>
          <w:instrText xml:space="preserve"> PAGEREF _Toc55998365 \h </w:instrText>
        </w:r>
        <w:r w:rsidR="006F187D">
          <w:rPr>
            <w:webHidden/>
          </w:rPr>
        </w:r>
        <w:r w:rsidR="006F187D">
          <w:rPr>
            <w:webHidden/>
          </w:rPr>
          <w:fldChar w:fldCharType="separate"/>
        </w:r>
        <w:r w:rsidR="006F187D">
          <w:rPr>
            <w:webHidden/>
          </w:rPr>
          <w:t>26</w:t>
        </w:r>
        <w:r w:rsidR="006F187D">
          <w:rPr>
            <w:webHidden/>
          </w:rPr>
          <w:fldChar w:fldCharType="end"/>
        </w:r>
      </w:hyperlink>
    </w:p>
    <w:p w14:paraId="4156ACF0" w14:textId="0EA4E7DD" w:rsidR="006F187D" w:rsidRDefault="00575E00">
      <w:pPr>
        <w:pStyle w:val="TOC1"/>
        <w:rPr>
          <w:rFonts w:asciiTheme="minorHAnsi" w:eastAsiaTheme="minorEastAsia" w:hAnsiTheme="minorHAnsi" w:cstheme="minorBidi"/>
          <w:b w:val="0"/>
          <w:noProof/>
          <w:sz w:val="22"/>
          <w:lang w:eastAsia="en-AU"/>
        </w:rPr>
      </w:pPr>
      <w:hyperlink w:anchor="_Toc55998366" w:history="1">
        <w:r w:rsidR="006F187D" w:rsidRPr="00E9324F">
          <w:rPr>
            <w:rStyle w:val="Hyperlink"/>
            <w:noProof/>
          </w:rPr>
          <w:t>Financial information 2019–20</w:t>
        </w:r>
        <w:r w:rsidR="006F187D">
          <w:rPr>
            <w:noProof/>
            <w:webHidden/>
          </w:rPr>
          <w:tab/>
        </w:r>
        <w:r w:rsidR="006F187D">
          <w:rPr>
            <w:noProof/>
            <w:webHidden/>
          </w:rPr>
          <w:fldChar w:fldCharType="begin"/>
        </w:r>
        <w:r w:rsidR="006F187D">
          <w:rPr>
            <w:noProof/>
            <w:webHidden/>
          </w:rPr>
          <w:instrText xml:space="preserve"> PAGEREF _Toc55998366 \h </w:instrText>
        </w:r>
        <w:r w:rsidR="006F187D">
          <w:rPr>
            <w:noProof/>
            <w:webHidden/>
          </w:rPr>
        </w:r>
        <w:r w:rsidR="006F187D">
          <w:rPr>
            <w:noProof/>
            <w:webHidden/>
          </w:rPr>
          <w:fldChar w:fldCharType="separate"/>
        </w:r>
        <w:r w:rsidR="006F187D">
          <w:rPr>
            <w:noProof/>
            <w:webHidden/>
          </w:rPr>
          <w:t>27</w:t>
        </w:r>
        <w:r w:rsidR="006F187D">
          <w:rPr>
            <w:noProof/>
            <w:webHidden/>
          </w:rPr>
          <w:fldChar w:fldCharType="end"/>
        </w:r>
      </w:hyperlink>
    </w:p>
    <w:p w14:paraId="35354BFA" w14:textId="624268FE" w:rsidR="006F187D" w:rsidRDefault="00575E00">
      <w:pPr>
        <w:pStyle w:val="TOC1"/>
        <w:rPr>
          <w:rFonts w:asciiTheme="minorHAnsi" w:eastAsiaTheme="minorEastAsia" w:hAnsiTheme="minorHAnsi" w:cstheme="minorBidi"/>
          <w:b w:val="0"/>
          <w:noProof/>
          <w:sz w:val="22"/>
          <w:lang w:eastAsia="en-AU"/>
        </w:rPr>
      </w:pPr>
      <w:hyperlink w:anchor="_Toc55998367" w:history="1">
        <w:r w:rsidR="006F187D" w:rsidRPr="00E9324F">
          <w:rPr>
            <w:rStyle w:val="Hyperlink"/>
            <w:noProof/>
          </w:rPr>
          <w:t>Acts and regulations administered by CAV: passed, commenced and revoked in 2019–20</w:t>
        </w:r>
        <w:r w:rsidR="006F187D">
          <w:rPr>
            <w:noProof/>
            <w:webHidden/>
          </w:rPr>
          <w:tab/>
        </w:r>
        <w:r w:rsidR="006F187D">
          <w:rPr>
            <w:noProof/>
            <w:webHidden/>
          </w:rPr>
          <w:fldChar w:fldCharType="begin"/>
        </w:r>
        <w:r w:rsidR="006F187D">
          <w:rPr>
            <w:noProof/>
            <w:webHidden/>
          </w:rPr>
          <w:instrText xml:space="preserve"> PAGEREF _Toc55998367 \h </w:instrText>
        </w:r>
        <w:r w:rsidR="006F187D">
          <w:rPr>
            <w:noProof/>
            <w:webHidden/>
          </w:rPr>
        </w:r>
        <w:r w:rsidR="006F187D">
          <w:rPr>
            <w:noProof/>
            <w:webHidden/>
          </w:rPr>
          <w:fldChar w:fldCharType="separate"/>
        </w:r>
        <w:r w:rsidR="006F187D">
          <w:rPr>
            <w:noProof/>
            <w:webHidden/>
          </w:rPr>
          <w:t>28</w:t>
        </w:r>
        <w:r w:rsidR="006F187D">
          <w:rPr>
            <w:noProof/>
            <w:webHidden/>
          </w:rPr>
          <w:fldChar w:fldCharType="end"/>
        </w:r>
      </w:hyperlink>
    </w:p>
    <w:p w14:paraId="58B09906" w14:textId="5BD58048" w:rsidR="006F187D" w:rsidRDefault="00575E00">
      <w:pPr>
        <w:pStyle w:val="TOC2"/>
        <w:rPr>
          <w:rFonts w:asciiTheme="minorHAnsi" w:eastAsiaTheme="minorEastAsia" w:hAnsiTheme="minorHAnsi" w:cstheme="minorBidi"/>
          <w:sz w:val="22"/>
          <w:lang w:eastAsia="en-AU"/>
        </w:rPr>
      </w:pPr>
      <w:hyperlink w:anchor="_Toc55998368" w:history="1">
        <w:r w:rsidR="006F187D" w:rsidRPr="00E9324F">
          <w:rPr>
            <w:rStyle w:val="Hyperlink"/>
          </w:rPr>
          <w:t>Acts passed</w:t>
        </w:r>
        <w:r w:rsidR="006F187D">
          <w:rPr>
            <w:webHidden/>
          </w:rPr>
          <w:tab/>
        </w:r>
        <w:r w:rsidR="006F187D">
          <w:rPr>
            <w:webHidden/>
          </w:rPr>
          <w:fldChar w:fldCharType="begin"/>
        </w:r>
        <w:r w:rsidR="006F187D">
          <w:rPr>
            <w:webHidden/>
          </w:rPr>
          <w:instrText xml:space="preserve"> PAGEREF _Toc55998368 \h </w:instrText>
        </w:r>
        <w:r w:rsidR="006F187D">
          <w:rPr>
            <w:webHidden/>
          </w:rPr>
        </w:r>
        <w:r w:rsidR="006F187D">
          <w:rPr>
            <w:webHidden/>
          </w:rPr>
          <w:fldChar w:fldCharType="separate"/>
        </w:r>
        <w:r w:rsidR="006F187D">
          <w:rPr>
            <w:webHidden/>
          </w:rPr>
          <w:t>28</w:t>
        </w:r>
        <w:r w:rsidR="006F187D">
          <w:rPr>
            <w:webHidden/>
          </w:rPr>
          <w:fldChar w:fldCharType="end"/>
        </w:r>
      </w:hyperlink>
    </w:p>
    <w:p w14:paraId="09EB67E7" w14:textId="195D4027" w:rsidR="006F187D" w:rsidRDefault="00575E00">
      <w:pPr>
        <w:pStyle w:val="TOC2"/>
        <w:rPr>
          <w:rFonts w:asciiTheme="minorHAnsi" w:eastAsiaTheme="minorEastAsia" w:hAnsiTheme="minorHAnsi" w:cstheme="minorBidi"/>
          <w:sz w:val="22"/>
          <w:lang w:eastAsia="en-AU"/>
        </w:rPr>
      </w:pPr>
      <w:hyperlink w:anchor="_Toc55998369" w:history="1">
        <w:r w:rsidR="006F187D" w:rsidRPr="00E9324F">
          <w:rPr>
            <w:rStyle w:val="Hyperlink"/>
          </w:rPr>
          <w:t>Regulations commenced</w:t>
        </w:r>
        <w:r w:rsidR="006F187D">
          <w:rPr>
            <w:webHidden/>
          </w:rPr>
          <w:tab/>
        </w:r>
        <w:r w:rsidR="006F187D">
          <w:rPr>
            <w:webHidden/>
          </w:rPr>
          <w:fldChar w:fldCharType="begin"/>
        </w:r>
        <w:r w:rsidR="006F187D">
          <w:rPr>
            <w:webHidden/>
          </w:rPr>
          <w:instrText xml:space="preserve"> PAGEREF _Toc55998369 \h </w:instrText>
        </w:r>
        <w:r w:rsidR="006F187D">
          <w:rPr>
            <w:webHidden/>
          </w:rPr>
        </w:r>
        <w:r w:rsidR="006F187D">
          <w:rPr>
            <w:webHidden/>
          </w:rPr>
          <w:fldChar w:fldCharType="separate"/>
        </w:r>
        <w:r w:rsidR="006F187D">
          <w:rPr>
            <w:webHidden/>
          </w:rPr>
          <w:t>28</w:t>
        </w:r>
        <w:r w:rsidR="006F187D">
          <w:rPr>
            <w:webHidden/>
          </w:rPr>
          <w:fldChar w:fldCharType="end"/>
        </w:r>
      </w:hyperlink>
    </w:p>
    <w:p w14:paraId="26FDD1E6" w14:textId="32B4710B" w:rsidR="006F187D" w:rsidRDefault="00575E00">
      <w:pPr>
        <w:pStyle w:val="TOC2"/>
        <w:rPr>
          <w:rFonts w:asciiTheme="minorHAnsi" w:eastAsiaTheme="minorEastAsia" w:hAnsiTheme="minorHAnsi" w:cstheme="minorBidi"/>
          <w:sz w:val="22"/>
          <w:lang w:eastAsia="en-AU"/>
        </w:rPr>
      </w:pPr>
      <w:hyperlink w:anchor="_Toc55998370" w:history="1">
        <w:r w:rsidR="006F187D" w:rsidRPr="00E9324F">
          <w:rPr>
            <w:rStyle w:val="Hyperlink"/>
          </w:rPr>
          <w:t>Regulations revoked</w:t>
        </w:r>
        <w:r w:rsidR="006F187D">
          <w:rPr>
            <w:webHidden/>
          </w:rPr>
          <w:tab/>
        </w:r>
        <w:r w:rsidR="006F187D">
          <w:rPr>
            <w:webHidden/>
          </w:rPr>
          <w:fldChar w:fldCharType="begin"/>
        </w:r>
        <w:r w:rsidR="006F187D">
          <w:rPr>
            <w:webHidden/>
          </w:rPr>
          <w:instrText xml:space="preserve"> PAGEREF _Toc55998370 \h </w:instrText>
        </w:r>
        <w:r w:rsidR="006F187D">
          <w:rPr>
            <w:webHidden/>
          </w:rPr>
        </w:r>
        <w:r w:rsidR="006F187D">
          <w:rPr>
            <w:webHidden/>
          </w:rPr>
          <w:fldChar w:fldCharType="separate"/>
        </w:r>
        <w:r w:rsidR="006F187D">
          <w:rPr>
            <w:webHidden/>
          </w:rPr>
          <w:t>28</w:t>
        </w:r>
        <w:r w:rsidR="006F187D">
          <w:rPr>
            <w:webHidden/>
          </w:rPr>
          <w:fldChar w:fldCharType="end"/>
        </w:r>
      </w:hyperlink>
    </w:p>
    <w:p w14:paraId="726A3B3E" w14:textId="64F1D7D5" w:rsidR="006F187D" w:rsidRDefault="00575E00">
      <w:pPr>
        <w:pStyle w:val="TOC1"/>
        <w:rPr>
          <w:rFonts w:asciiTheme="minorHAnsi" w:eastAsiaTheme="minorEastAsia" w:hAnsiTheme="minorHAnsi" w:cstheme="minorBidi"/>
          <w:b w:val="0"/>
          <w:noProof/>
          <w:sz w:val="22"/>
          <w:lang w:eastAsia="en-AU"/>
        </w:rPr>
      </w:pPr>
      <w:hyperlink w:anchor="_Toc55998371" w:history="1">
        <w:r w:rsidR="006F187D" w:rsidRPr="00E9324F">
          <w:rPr>
            <w:rStyle w:val="Hyperlink"/>
            <w:noProof/>
          </w:rPr>
          <w:t>Appendix</w:t>
        </w:r>
        <w:r w:rsidR="006F187D">
          <w:rPr>
            <w:noProof/>
            <w:webHidden/>
          </w:rPr>
          <w:tab/>
        </w:r>
        <w:r w:rsidR="006F187D">
          <w:rPr>
            <w:noProof/>
            <w:webHidden/>
          </w:rPr>
          <w:fldChar w:fldCharType="begin"/>
        </w:r>
        <w:r w:rsidR="006F187D">
          <w:rPr>
            <w:noProof/>
            <w:webHidden/>
          </w:rPr>
          <w:instrText xml:space="preserve"> PAGEREF _Toc55998371 \h </w:instrText>
        </w:r>
        <w:r w:rsidR="006F187D">
          <w:rPr>
            <w:noProof/>
            <w:webHidden/>
          </w:rPr>
        </w:r>
        <w:r w:rsidR="006F187D">
          <w:rPr>
            <w:noProof/>
            <w:webHidden/>
          </w:rPr>
          <w:fldChar w:fldCharType="separate"/>
        </w:r>
        <w:r w:rsidR="006F187D">
          <w:rPr>
            <w:noProof/>
            <w:webHidden/>
          </w:rPr>
          <w:t>29</w:t>
        </w:r>
        <w:r w:rsidR="006F187D">
          <w:rPr>
            <w:noProof/>
            <w:webHidden/>
          </w:rPr>
          <w:fldChar w:fldCharType="end"/>
        </w:r>
      </w:hyperlink>
    </w:p>
    <w:p w14:paraId="706FBFCB" w14:textId="330D001C" w:rsidR="006F187D" w:rsidRDefault="00575E00">
      <w:pPr>
        <w:pStyle w:val="TOC1"/>
        <w:rPr>
          <w:rFonts w:asciiTheme="minorHAnsi" w:eastAsiaTheme="minorEastAsia" w:hAnsiTheme="minorHAnsi" w:cstheme="minorBidi"/>
          <w:b w:val="0"/>
          <w:noProof/>
          <w:sz w:val="22"/>
          <w:lang w:eastAsia="en-AU"/>
        </w:rPr>
      </w:pPr>
      <w:hyperlink w:anchor="_Toc55998372" w:history="1">
        <w:r w:rsidR="006F187D" w:rsidRPr="00E9324F">
          <w:rPr>
            <w:rStyle w:val="Hyperlink"/>
            <w:noProof/>
          </w:rPr>
          <w:t>Accessibility</w:t>
        </w:r>
        <w:r w:rsidR="006F187D">
          <w:rPr>
            <w:noProof/>
            <w:webHidden/>
          </w:rPr>
          <w:tab/>
        </w:r>
        <w:r w:rsidR="006F187D">
          <w:rPr>
            <w:noProof/>
            <w:webHidden/>
          </w:rPr>
          <w:fldChar w:fldCharType="begin"/>
        </w:r>
        <w:r w:rsidR="006F187D">
          <w:rPr>
            <w:noProof/>
            <w:webHidden/>
          </w:rPr>
          <w:instrText xml:space="preserve"> PAGEREF _Toc55998372 \h </w:instrText>
        </w:r>
        <w:r w:rsidR="006F187D">
          <w:rPr>
            <w:noProof/>
            <w:webHidden/>
          </w:rPr>
        </w:r>
        <w:r w:rsidR="006F187D">
          <w:rPr>
            <w:noProof/>
            <w:webHidden/>
          </w:rPr>
          <w:fldChar w:fldCharType="separate"/>
        </w:r>
        <w:r w:rsidR="006F187D">
          <w:rPr>
            <w:noProof/>
            <w:webHidden/>
          </w:rPr>
          <w:t>31</w:t>
        </w:r>
        <w:r w:rsidR="006F187D">
          <w:rPr>
            <w:noProof/>
            <w:webHidden/>
          </w:rPr>
          <w:fldChar w:fldCharType="end"/>
        </w:r>
      </w:hyperlink>
    </w:p>
    <w:p w14:paraId="0A1DBBC5" w14:textId="64A345AF" w:rsidR="006F187D" w:rsidRDefault="00575E00">
      <w:pPr>
        <w:pStyle w:val="TOC1"/>
        <w:rPr>
          <w:rFonts w:asciiTheme="minorHAnsi" w:eastAsiaTheme="minorEastAsia" w:hAnsiTheme="minorHAnsi" w:cstheme="minorBidi"/>
          <w:b w:val="0"/>
          <w:noProof/>
          <w:sz w:val="22"/>
          <w:lang w:eastAsia="en-AU"/>
        </w:rPr>
      </w:pPr>
      <w:hyperlink w:anchor="_Toc55998373" w:history="1">
        <w:r w:rsidR="006F187D" w:rsidRPr="00E9324F">
          <w:rPr>
            <w:rStyle w:val="Hyperlink"/>
            <w:noProof/>
          </w:rPr>
          <w:t>Consumer Affairs Victoria</w:t>
        </w:r>
        <w:r w:rsidR="006F187D">
          <w:rPr>
            <w:noProof/>
            <w:webHidden/>
          </w:rPr>
          <w:tab/>
        </w:r>
        <w:r w:rsidR="006F187D">
          <w:rPr>
            <w:noProof/>
            <w:webHidden/>
          </w:rPr>
          <w:fldChar w:fldCharType="begin"/>
        </w:r>
        <w:r w:rsidR="006F187D">
          <w:rPr>
            <w:noProof/>
            <w:webHidden/>
          </w:rPr>
          <w:instrText xml:space="preserve"> PAGEREF _Toc55998373 \h </w:instrText>
        </w:r>
        <w:r w:rsidR="006F187D">
          <w:rPr>
            <w:noProof/>
            <w:webHidden/>
          </w:rPr>
        </w:r>
        <w:r w:rsidR="006F187D">
          <w:rPr>
            <w:noProof/>
            <w:webHidden/>
          </w:rPr>
          <w:fldChar w:fldCharType="separate"/>
        </w:r>
        <w:r w:rsidR="006F187D">
          <w:rPr>
            <w:noProof/>
            <w:webHidden/>
          </w:rPr>
          <w:t>32</w:t>
        </w:r>
        <w:r w:rsidR="006F187D">
          <w:rPr>
            <w:noProof/>
            <w:webHidden/>
          </w:rPr>
          <w:fldChar w:fldCharType="end"/>
        </w:r>
      </w:hyperlink>
    </w:p>
    <w:p w14:paraId="6779D866" w14:textId="31B93322" w:rsidR="008E1660" w:rsidRDefault="009569B2" w:rsidP="008E1660">
      <w:pPr>
        <w:pStyle w:val="BodyText"/>
      </w:pPr>
      <w:r>
        <w:fldChar w:fldCharType="end"/>
      </w:r>
    </w:p>
    <w:p w14:paraId="7CB5E86D" w14:textId="77777777" w:rsidR="00D31BFE" w:rsidRDefault="00D31BFE" w:rsidP="00D31BFE">
      <w:pPr>
        <w:pStyle w:val="Heading2"/>
      </w:pPr>
      <w:bookmarkStart w:id="1" w:name="_Toc55998348"/>
      <w:r>
        <w:lastRenderedPageBreak/>
        <w:t>Letter to the Minister</w:t>
      </w:r>
      <w:bookmarkEnd w:id="1"/>
    </w:p>
    <w:p w14:paraId="69A29F39" w14:textId="6E4DD1C8" w:rsidR="00D31BFE" w:rsidRDefault="00187474" w:rsidP="00D31BFE">
      <w:pPr>
        <w:pStyle w:val="BodyText"/>
      </w:pPr>
      <w:r>
        <w:rPr>
          <w:noProof/>
        </w:rPr>
        <w:drawing>
          <wp:inline distT="0" distB="0" distL="0" distR="0" wp14:anchorId="3A75E183" wp14:editId="742EC352">
            <wp:extent cx="1800000" cy="1804680"/>
            <wp:effectExtent l="0" t="0" r="0" b="5080"/>
            <wp:docPr id="2" name="Picture 2" descr="The Hon. Melissa Horne 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Hon. Melissa Horne MP"/>
                    <pic:cNvPicPr/>
                  </pic:nvPicPr>
                  <pic:blipFill>
                    <a:blip r:embed="rId13">
                      <a:extLst>
                        <a:ext uri="{28A0092B-C50C-407E-A947-70E740481C1C}">
                          <a14:useLocalDpi xmlns:a14="http://schemas.microsoft.com/office/drawing/2010/main" val="0"/>
                        </a:ext>
                      </a:extLst>
                    </a:blip>
                    <a:stretch>
                      <a:fillRect/>
                    </a:stretch>
                  </pic:blipFill>
                  <pic:spPr>
                    <a:xfrm>
                      <a:off x="0" y="0"/>
                      <a:ext cx="1800000" cy="1804680"/>
                    </a:xfrm>
                    <a:prstGeom prst="rect">
                      <a:avLst/>
                    </a:prstGeom>
                  </pic:spPr>
                </pic:pic>
              </a:graphicData>
            </a:graphic>
          </wp:inline>
        </w:drawing>
      </w:r>
    </w:p>
    <w:p w14:paraId="1EC330D7" w14:textId="77777777" w:rsidR="00D31BFE" w:rsidRDefault="00D31BFE" w:rsidP="004D56A7">
      <w:pPr>
        <w:pStyle w:val="BodyText"/>
        <w:spacing w:before="40" w:after="40"/>
        <w:rPr>
          <w:rStyle w:val="Strong"/>
        </w:rPr>
      </w:pPr>
      <w:r w:rsidRPr="00347F6C">
        <w:rPr>
          <w:rStyle w:val="Strong"/>
        </w:rPr>
        <w:t>The Hon. Melissa Horne MP</w:t>
      </w:r>
    </w:p>
    <w:p w14:paraId="4135677F" w14:textId="77777777" w:rsidR="00D31BFE" w:rsidRPr="00347F6C" w:rsidRDefault="00D31BFE" w:rsidP="004D56A7">
      <w:pPr>
        <w:pStyle w:val="BodyText"/>
        <w:spacing w:before="40" w:after="40"/>
      </w:pPr>
      <w:r w:rsidRPr="00347F6C">
        <w:t xml:space="preserve">Minister for Consumer Affairs, </w:t>
      </w:r>
      <w:r w:rsidRPr="00347F6C">
        <w:br/>
        <w:t>Gaming and Liquor Regulation</w:t>
      </w:r>
    </w:p>
    <w:p w14:paraId="38D0403D" w14:textId="77777777" w:rsidR="00D31BFE" w:rsidRPr="00347F6C" w:rsidRDefault="00D31BFE" w:rsidP="004D56A7">
      <w:pPr>
        <w:pStyle w:val="BodyText"/>
        <w:spacing w:before="40" w:after="40"/>
      </w:pPr>
      <w:r w:rsidRPr="00347F6C">
        <w:t>Minister for Ports and Freights</w:t>
      </w:r>
    </w:p>
    <w:p w14:paraId="283D3A7B" w14:textId="77777777" w:rsidR="00D31BFE" w:rsidRPr="00347F6C" w:rsidRDefault="00D31BFE" w:rsidP="004D56A7">
      <w:pPr>
        <w:pStyle w:val="BodyText"/>
        <w:spacing w:before="40" w:after="40"/>
      </w:pPr>
      <w:r w:rsidRPr="00347F6C">
        <w:t>Minister for Fishing and Boating</w:t>
      </w:r>
    </w:p>
    <w:p w14:paraId="4FF93DC0" w14:textId="77777777" w:rsidR="00D31BFE" w:rsidRDefault="00D31BFE" w:rsidP="00187474">
      <w:pPr>
        <w:pStyle w:val="BodyText"/>
        <w:spacing w:before="1000"/>
      </w:pPr>
      <w:r>
        <w:t>Dear Minister,</w:t>
      </w:r>
    </w:p>
    <w:p w14:paraId="27C2CA04" w14:textId="68A23DAD" w:rsidR="00D31BFE" w:rsidRDefault="00D31BFE" w:rsidP="00D31BFE">
      <w:pPr>
        <w:pStyle w:val="BodyText"/>
      </w:pPr>
      <w:r>
        <w:t xml:space="preserve">In accordance with the </w:t>
      </w:r>
      <w:r w:rsidRPr="009F0D4B">
        <w:rPr>
          <w:rStyle w:val="Emphasis"/>
        </w:rPr>
        <w:t xml:space="preserve">Australian Consumer Law and </w:t>
      </w:r>
      <w:proofErr w:type="gramStart"/>
      <w:r w:rsidRPr="009F0D4B">
        <w:rPr>
          <w:rStyle w:val="Emphasis"/>
        </w:rPr>
        <w:t>Fair Trading</w:t>
      </w:r>
      <w:proofErr w:type="gramEnd"/>
      <w:r w:rsidRPr="009F0D4B">
        <w:rPr>
          <w:rStyle w:val="Emphasis"/>
        </w:rPr>
        <w:t xml:space="preserve"> Act 2012</w:t>
      </w:r>
      <w:r>
        <w:t xml:space="preserve">, the </w:t>
      </w:r>
      <w:r w:rsidRPr="009F0D4B">
        <w:rPr>
          <w:rStyle w:val="Emphasis"/>
        </w:rPr>
        <w:t>Credit (Administration) Act 1984</w:t>
      </w:r>
      <w:r>
        <w:t xml:space="preserve"> and the </w:t>
      </w:r>
      <w:r w:rsidRPr="009F0D4B">
        <w:rPr>
          <w:rStyle w:val="Emphasis"/>
        </w:rPr>
        <w:t>Veterans Act 2005</w:t>
      </w:r>
      <w:r>
        <w:t>, I am pleased to present the Consumer Affairs</w:t>
      </w:r>
      <w:r w:rsidR="00D51FF2">
        <w:t> </w:t>
      </w:r>
      <w:r>
        <w:t>Victoria Annual Report for the year ending 30 June 2020.</w:t>
      </w:r>
    </w:p>
    <w:p w14:paraId="76CCB811" w14:textId="77777777" w:rsidR="00D31BFE" w:rsidRDefault="00D31BFE" w:rsidP="00D31BFE">
      <w:pPr>
        <w:pStyle w:val="BodyText"/>
      </w:pPr>
      <w:r>
        <w:t>Yours sincerely,</w:t>
      </w:r>
    </w:p>
    <w:p w14:paraId="26BE625B" w14:textId="0BB22065" w:rsidR="00D31BFE" w:rsidRDefault="00F16268" w:rsidP="00F16268">
      <w:pPr>
        <w:pStyle w:val="BodyText"/>
        <w:spacing w:after="80"/>
      </w:pPr>
      <w:r>
        <w:rPr>
          <w:noProof/>
        </w:rPr>
        <w:drawing>
          <wp:inline distT="0" distB="0" distL="0" distR="0" wp14:anchorId="4B91689B" wp14:editId="14693FEB">
            <wp:extent cx="847725" cy="333375"/>
            <wp:effectExtent l="0" t="0" r="9525" b="9525"/>
            <wp:docPr id="8" name="Picture 8" descr="Nicole Rich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Nicole Rich signature"/>
                    <pic:cNvPicPr/>
                  </pic:nvPicPr>
                  <pic:blipFill>
                    <a:blip r:embed="rId14">
                      <a:extLst>
                        <a:ext uri="{28A0092B-C50C-407E-A947-70E740481C1C}">
                          <a14:useLocalDpi xmlns:a14="http://schemas.microsoft.com/office/drawing/2010/main" val="0"/>
                        </a:ext>
                      </a:extLst>
                    </a:blip>
                    <a:stretch>
                      <a:fillRect/>
                    </a:stretch>
                  </pic:blipFill>
                  <pic:spPr>
                    <a:xfrm>
                      <a:off x="0" y="0"/>
                      <a:ext cx="847725" cy="333375"/>
                    </a:xfrm>
                    <a:prstGeom prst="rect">
                      <a:avLst/>
                    </a:prstGeom>
                  </pic:spPr>
                </pic:pic>
              </a:graphicData>
            </a:graphic>
          </wp:inline>
        </w:drawing>
      </w:r>
    </w:p>
    <w:p w14:paraId="70D01266" w14:textId="77777777" w:rsidR="00D31BFE" w:rsidRDefault="00D31BFE" w:rsidP="00880587">
      <w:pPr>
        <w:pStyle w:val="BodyText"/>
        <w:spacing w:before="60"/>
      </w:pPr>
      <w:r w:rsidRPr="00D31BFE">
        <w:rPr>
          <w:rStyle w:val="Strong"/>
        </w:rPr>
        <w:t>Nicole Rich</w:t>
      </w:r>
      <w:r>
        <w:br/>
        <w:t>Executive Director, Regulatory Services &amp;</w:t>
      </w:r>
      <w:r>
        <w:br/>
        <w:t>Director, Consumer Affairs Victoria</w:t>
      </w:r>
    </w:p>
    <w:p w14:paraId="795ECEFC" w14:textId="77777777" w:rsidR="00D31BFE" w:rsidRDefault="00D31BFE" w:rsidP="00D31BFE">
      <w:pPr>
        <w:pStyle w:val="Heading2"/>
      </w:pPr>
      <w:bookmarkStart w:id="2" w:name="_Toc55998349"/>
      <w:r>
        <w:lastRenderedPageBreak/>
        <w:t>Director’s foreword</w:t>
      </w:r>
      <w:bookmarkEnd w:id="2"/>
    </w:p>
    <w:p w14:paraId="4537842B" w14:textId="64C3047C" w:rsidR="00D31BFE" w:rsidRDefault="00F16268" w:rsidP="00D31BFE">
      <w:pPr>
        <w:pStyle w:val="BodyText"/>
      </w:pPr>
      <w:r>
        <w:rPr>
          <w:noProof/>
        </w:rPr>
        <w:drawing>
          <wp:inline distT="0" distB="0" distL="0" distR="0" wp14:anchorId="288FF9F7" wp14:editId="735E4873">
            <wp:extent cx="1800000" cy="1804680"/>
            <wp:effectExtent l="0" t="0" r="0" b="5080"/>
            <wp:docPr id="11" name="Picture 11" descr="Nicole 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Nicole Rich"/>
                    <pic:cNvPicPr/>
                  </pic:nvPicPr>
                  <pic:blipFill>
                    <a:blip r:embed="rId15">
                      <a:extLst>
                        <a:ext uri="{28A0092B-C50C-407E-A947-70E740481C1C}">
                          <a14:useLocalDpi xmlns:a14="http://schemas.microsoft.com/office/drawing/2010/main" val="0"/>
                        </a:ext>
                      </a:extLst>
                    </a:blip>
                    <a:stretch>
                      <a:fillRect/>
                    </a:stretch>
                  </pic:blipFill>
                  <pic:spPr>
                    <a:xfrm>
                      <a:off x="0" y="0"/>
                      <a:ext cx="1800000" cy="1804680"/>
                    </a:xfrm>
                    <a:prstGeom prst="rect">
                      <a:avLst/>
                    </a:prstGeom>
                  </pic:spPr>
                </pic:pic>
              </a:graphicData>
            </a:graphic>
          </wp:inline>
        </w:drawing>
      </w:r>
    </w:p>
    <w:p w14:paraId="7DD651BD" w14:textId="0429571E" w:rsidR="00D31BFE" w:rsidRDefault="00D31BFE" w:rsidP="00D31BFE">
      <w:pPr>
        <w:pStyle w:val="BodyText"/>
        <w:rPr>
          <w:szCs w:val="20"/>
        </w:rPr>
      </w:pPr>
      <w:r>
        <w:rPr>
          <w:szCs w:val="20"/>
        </w:rPr>
        <w:t>Consumer Affairs Victoria’s work in 2019–20 has been underpinned by our focus on achieving our</w:t>
      </w:r>
      <w:r w:rsidR="000965E1">
        <w:rPr>
          <w:szCs w:val="20"/>
        </w:rPr>
        <w:t> </w:t>
      </w:r>
      <w:r>
        <w:rPr>
          <w:szCs w:val="20"/>
        </w:rPr>
        <w:t xml:space="preserve">vision of a fair and competitive marketplace in </w:t>
      </w:r>
      <w:proofErr w:type="gramStart"/>
      <w:r>
        <w:rPr>
          <w:szCs w:val="20"/>
        </w:rPr>
        <w:t>Victoria, and</w:t>
      </w:r>
      <w:proofErr w:type="gramEnd"/>
      <w:r>
        <w:rPr>
          <w:szCs w:val="20"/>
        </w:rPr>
        <w:t xml:space="preserve"> delivering key outcomes for the community.</w:t>
      </w:r>
    </w:p>
    <w:p w14:paraId="220AC3FC" w14:textId="77777777" w:rsidR="00D31BFE" w:rsidRDefault="00D31BFE" w:rsidP="00D31BFE">
      <w:pPr>
        <w:pStyle w:val="BodyText"/>
        <w:rPr>
          <w:szCs w:val="20"/>
        </w:rPr>
      </w:pPr>
      <w:r>
        <w:rPr>
          <w:szCs w:val="20"/>
        </w:rPr>
        <w:t xml:space="preserve">With the onset of the coronavirus (COVID-19) crisis, CAV responded quickly to support the community in a time of uncertainty and distress. The </w:t>
      </w:r>
      <w:r w:rsidRPr="009F0D4B">
        <w:rPr>
          <w:rStyle w:val="Emphasis"/>
        </w:rPr>
        <w:t>COVID-19 Omnibus (Emergency Measures) Act 2020</w:t>
      </w:r>
      <w:r>
        <w:rPr>
          <w:szCs w:val="20"/>
        </w:rPr>
        <w:t xml:space="preserve"> introduced new measures to protect Victorian tenants and landlords from the economic impact of the pandemic, and CAV has played a key role in implementing the measures and helping Victorians navigate the new business landscape. In particular, together with our colleagues in the Department of Justice and Community Safety we quickly established and ran the Residential Tenancies Dispute Resolution Scheme, helping tens of thousands of Victorians reach agreements on reduced rent and access various relief schemes.</w:t>
      </w:r>
    </w:p>
    <w:p w14:paraId="120D6BFF" w14:textId="38F3CDE8" w:rsidR="00D31BFE" w:rsidRDefault="00D31BFE" w:rsidP="00D31BFE">
      <w:pPr>
        <w:pStyle w:val="BodyText"/>
        <w:rPr>
          <w:szCs w:val="20"/>
        </w:rPr>
      </w:pPr>
      <w:r>
        <w:rPr>
          <w:szCs w:val="20"/>
        </w:rPr>
        <w:t>Despite the shift to remote working practices and the establishment of the new Residential Tenancies Dispute Resolution Scheme, we continued to deliver our functions to enable a competitive and fair marketplace for business and consumers, although we needed to restrict some consumer and business phone services from March as a result. We enforced regulations to protect consumers by</w:t>
      </w:r>
      <w:r w:rsidR="000965E1">
        <w:rPr>
          <w:szCs w:val="20"/>
        </w:rPr>
        <w:t> </w:t>
      </w:r>
      <w:r>
        <w:rPr>
          <w:szCs w:val="20"/>
        </w:rPr>
        <w:t>ensuring businesses complied with consumer laws. In 2019–20, CAV undertook a range of enforcement actions against businesses for unfair practices, across a broad range of industries. We</w:t>
      </w:r>
      <w:r w:rsidR="000965E1">
        <w:rPr>
          <w:szCs w:val="20"/>
        </w:rPr>
        <w:t> </w:t>
      </w:r>
      <w:r>
        <w:rPr>
          <w:szCs w:val="20"/>
        </w:rPr>
        <w:t>achieved significant court outcomes in matters involving sale of land, retirement village administration, and motor car trading.</w:t>
      </w:r>
    </w:p>
    <w:p w14:paraId="27F4DA1F" w14:textId="77777777" w:rsidR="00D31BFE" w:rsidRDefault="00D31BFE" w:rsidP="00D31BFE">
      <w:pPr>
        <w:pStyle w:val="BodyText"/>
        <w:rPr>
          <w:szCs w:val="20"/>
        </w:rPr>
      </w:pPr>
      <w:r>
        <w:rPr>
          <w:szCs w:val="20"/>
        </w:rPr>
        <w:t>We expanded our financial counselling program to provide support to Victorians impacted by bushfires during the unprecedented 2019–20 fire season and responded to the Royal Commission into Family Violence by adding specialist roles to provide specialised family violence financial counselling.</w:t>
      </w:r>
    </w:p>
    <w:p w14:paraId="7760B1D9" w14:textId="77777777" w:rsidR="00D31BFE" w:rsidRDefault="00D31BFE" w:rsidP="00D31BFE">
      <w:pPr>
        <w:pStyle w:val="BodyText"/>
        <w:rPr>
          <w:szCs w:val="20"/>
        </w:rPr>
      </w:pPr>
      <w:r>
        <w:rPr>
          <w:szCs w:val="20"/>
        </w:rPr>
        <w:t>We also commenced implementing the Victorian Government’s important reforms to the Victorian rental market, to strengthen the rights of renters in houses, caravan parks and crisis accommodation across the state. While the health crisis put a temporary halt to the broader rental reform implementation, significant progress was made in the first half of the year, including the passing of legislation making it easier for tenants to keep pets in their homes.</w:t>
      </w:r>
    </w:p>
    <w:p w14:paraId="5393C2D3" w14:textId="77777777" w:rsidR="00D31BFE" w:rsidRDefault="00D31BFE" w:rsidP="00D31BFE">
      <w:pPr>
        <w:pStyle w:val="BodyText"/>
        <w:rPr>
          <w:szCs w:val="20"/>
        </w:rPr>
      </w:pPr>
      <w:r>
        <w:rPr>
          <w:szCs w:val="20"/>
        </w:rPr>
        <w:t>The projects and work highlighted in this year’s annual report reflect the commitment of our people to regulatory excellence and achieving positive outcomes for the Victorian community. I would like to take this opportunity to recognise their integral role in our achievements over the past 12 months.</w:t>
      </w:r>
    </w:p>
    <w:p w14:paraId="66A5EF31" w14:textId="77777777" w:rsidR="00D31BFE" w:rsidRDefault="00D31BFE" w:rsidP="00D31BFE">
      <w:pPr>
        <w:pStyle w:val="BodyText"/>
        <w:rPr>
          <w:szCs w:val="20"/>
        </w:rPr>
      </w:pPr>
      <w:r>
        <w:rPr>
          <w:szCs w:val="20"/>
        </w:rPr>
        <w:lastRenderedPageBreak/>
        <w:t>I acknowledge the leadership and contribution of my predecessors Sam Jenkin and Michelle Osborne, during a uniquely challenging year. Sam and Michelle spearheaded key CAV initiatives and led CAV through the challenging times of the onset of the COVID-19 crisis, ensuring CAV was able to retain most of its core functions and also mobilise quickly and efficiently to launch new programs in response to the pandemic, most notably the Residential Tenancies Dispute Resolution Scheme.</w:t>
      </w:r>
    </w:p>
    <w:p w14:paraId="06D62324" w14:textId="77777777" w:rsidR="00D31BFE" w:rsidRDefault="00D31BFE" w:rsidP="00D31BFE">
      <w:pPr>
        <w:pStyle w:val="BodyText"/>
        <w:rPr>
          <w:szCs w:val="20"/>
        </w:rPr>
      </w:pPr>
      <w:r>
        <w:rPr>
          <w:szCs w:val="20"/>
        </w:rPr>
        <w:t>As we move through the health crisis, we will need approaches and reforms that continue to ensure safety and fairness in the marketplace for consumers and tenants while supporting businesses and community groups recover and contribute to the economy and community. Looking ahead to 2020–21, CAV is committed to playing this important part in the government’s efforts to reenergise the economy and our community.</w:t>
      </w:r>
    </w:p>
    <w:p w14:paraId="2D9131B8" w14:textId="77777777" w:rsidR="00F16268" w:rsidRDefault="00F16268" w:rsidP="00F16268">
      <w:pPr>
        <w:pStyle w:val="BodyText"/>
        <w:spacing w:after="80"/>
      </w:pPr>
      <w:r>
        <w:rPr>
          <w:noProof/>
        </w:rPr>
        <w:drawing>
          <wp:inline distT="0" distB="0" distL="0" distR="0" wp14:anchorId="362D3483" wp14:editId="7F44692A">
            <wp:extent cx="847725" cy="333375"/>
            <wp:effectExtent l="0" t="0" r="9525" b="9525"/>
            <wp:docPr id="9" name="Picture 9" descr="Nicole Rich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Nicole Rich signature"/>
                    <pic:cNvPicPr/>
                  </pic:nvPicPr>
                  <pic:blipFill>
                    <a:blip r:embed="rId14">
                      <a:extLst>
                        <a:ext uri="{28A0092B-C50C-407E-A947-70E740481C1C}">
                          <a14:useLocalDpi xmlns:a14="http://schemas.microsoft.com/office/drawing/2010/main" val="0"/>
                        </a:ext>
                      </a:extLst>
                    </a:blip>
                    <a:stretch>
                      <a:fillRect/>
                    </a:stretch>
                  </pic:blipFill>
                  <pic:spPr>
                    <a:xfrm>
                      <a:off x="0" y="0"/>
                      <a:ext cx="847725" cy="333375"/>
                    </a:xfrm>
                    <a:prstGeom prst="rect">
                      <a:avLst/>
                    </a:prstGeom>
                  </pic:spPr>
                </pic:pic>
              </a:graphicData>
            </a:graphic>
          </wp:inline>
        </w:drawing>
      </w:r>
    </w:p>
    <w:p w14:paraId="6D7AF554" w14:textId="2A1A71E4" w:rsidR="00D31BFE" w:rsidRDefault="00D31BFE" w:rsidP="00880587">
      <w:pPr>
        <w:pStyle w:val="BodyText"/>
        <w:spacing w:before="60"/>
      </w:pPr>
      <w:r w:rsidRPr="00347F6C">
        <w:rPr>
          <w:rStyle w:val="Strong"/>
        </w:rPr>
        <w:t>Nicole Rich</w:t>
      </w:r>
      <w:r w:rsidR="00F16268">
        <w:rPr>
          <w:rStyle w:val="Strong"/>
        </w:rPr>
        <w:br/>
      </w:r>
      <w:r>
        <w:t>Executive Director, Regulatory Services &amp;</w:t>
      </w:r>
      <w:r>
        <w:br/>
        <w:t>Director, Consumer Affairs Victoria</w:t>
      </w:r>
    </w:p>
    <w:p w14:paraId="1A12615F" w14:textId="77777777" w:rsidR="00D31BFE" w:rsidRDefault="00D31BFE" w:rsidP="00D31BFE">
      <w:pPr>
        <w:pStyle w:val="Heading2"/>
      </w:pPr>
      <w:bookmarkStart w:id="3" w:name="_Toc55998350"/>
      <w:r>
        <w:lastRenderedPageBreak/>
        <w:t>About us</w:t>
      </w:r>
      <w:bookmarkEnd w:id="3"/>
    </w:p>
    <w:p w14:paraId="4E2E38AD" w14:textId="322A1961" w:rsidR="00D31BFE" w:rsidRDefault="00D31BFE" w:rsidP="00D31BFE">
      <w:pPr>
        <w:pStyle w:val="BodyText"/>
      </w:pPr>
      <w:r>
        <w:t>We are Victoria’s consumer affairs regulator, operating within the national consumer protection framework. We are part of the Regulation, Legal and Integrity Group of the Department of Justice and</w:t>
      </w:r>
      <w:r w:rsidR="000965E1">
        <w:t> </w:t>
      </w:r>
      <w:r>
        <w:t>Community Safety (DJCS).</w:t>
      </w:r>
    </w:p>
    <w:p w14:paraId="5E412368" w14:textId="77777777" w:rsidR="00D31BFE" w:rsidRDefault="00D31BFE" w:rsidP="00D31BFE">
      <w:pPr>
        <w:pStyle w:val="Heading3"/>
      </w:pPr>
      <w:bookmarkStart w:id="4" w:name="_Toc55998351"/>
      <w:r>
        <w:t>Our values</w:t>
      </w:r>
      <w:bookmarkEnd w:id="4"/>
    </w:p>
    <w:p w14:paraId="03F82F77" w14:textId="77777777" w:rsidR="00D31BFE" w:rsidRDefault="00D31BFE" w:rsidP="00D51FF2">
      <w:pPr>
        <w:pStyle w:val="BodyText"/>
      </w:pPr>
      <w:r>
        <w:t>As part of DJCS, we promote and embrace the department’s values of:</w:t>
      </w:r>
    </w:p>
    <w:p w14:paraId="6341A42C" w14:textId="77777777" w:rsidR="00D31BFE" w:rsidRDefault="00D31BFE" w:rsidP="00D31BFE">
      <w:pPr>
        <w:pStyle w:val="ListBullet"/>
      </w:pPr>
      <w:r>
        <w:t>working together</w:t>
      </w:r>
    </w:p>
    <w:p w14:paraId="684411CF" w14:textId="77777777" w:rsidR="00D31BFE" w:rsidRDefault="00D31BFE" w:rsidP="00D31BFE">
      <w:pPr>
        <w:pStyle w:val="ListBullet"/>
      </w:pPr>
      <w:r>
        <w:t>making it happen</w:t>
      </w:r>
    </w:p>
    <w:p w14:paraId="166C2CA3" w14:textId="77777777" w:rsidR="00D31BFE" w:rsidRDefault="00D31BFE" w:rsidP="00D31BFE">
      <w:pPr>
        <w:pStyle w:val="ListBullet"/>
      </w:pPr>
      <w:r>
        <w:t>respecting other people</w:t>
      </w:r>
    </w:p>
    <w:p w14:paraId="4EF9150C" w14:textId="77777777" w:rsidR="00D31BFE" w:rsidRDefault="00D31BFE" w:rsidP="00D31BFE">
      <w:pPr>
        <w:pStyle w:val="ListBullet"/>
      </w:pPr>
      <w:r>
        <w:t>serving the community</w:t>
      </w:r>
    </w:p>
    <w:p w14:paraId="44A9512A" w14:textId="77777777" w:rsidR="00D31BFE" w:rsidRDefault="00D31BFE" w:rsidP="00D31BFE">
      <w:pPr>
        <w:pStyle w:val="ListBullet"/>
      </w:pPr>
      <w:r>
        <w:t>acting with integrity.</w:t>
      </w:r>
    </w:p>
    <w:p w14:paraId="2E9B9000" w14:textId="77777777" w:rsidR="00D31BFE" w:rsidRDefault="00D31BFE" w:rsidP="00D31BFE">
      <w:pPr>
        <w:pStyle w:val="BodyText"/>
      </w:pPr>
      <w:r>
        <w:t>These values inform the way we do business and are demonstrated every day through the actions of our staff.</w:t>
      </w:r>
    </w:p>
    <w:p w14:paraId="20F01E61" w14:textId="77777777" w:rsidR="00D31BFE" w:rsidRDefault="00D31BFE" w:rsidP="00D31BFE">
      <w:pPr>
        <w:pStyle w:val="Heading3"/>
      </w:pPr>
      <w:bookmarkStart w:id="5" w:name="_Toc55998352"/>
      <w:r>
        <w:t>Our vision</w:t>
      </w:r>
      <w:bookmarkEnd w:id="5"/>
    </w:p>
    <w:p w14:paraId="36CA2291" w14:textId="77777777" w:rsidR="00D31BFE" w:rsidRDefault="00D31BFE" w:rsidP="00D31BFE">
      <w:pPr>
        <w:pStyle w:val="BodyText"/>
      </w:pPr>
      <w:r>
        <w:t>A fair and competitive marketplace in Victoria.</w:t>
      </w:r>
    </w:p>
    <w:p w14:paraId="039CD86A" w14:textId="77777777" w:rsidR="00D31BFE" w:rsidRDefault="00D31BFE" w:rsidP="00D31BFE">
      <w:pPr>
        <w:pStyle w:val="Heading3"/>
      </w:pPr>
      <w:bookmarkStart w:id="6" w:name="_Toc55998353"/>
      <w:r>
        <w:t>Our outcomes</w:t>
      </w:r>
      <w:bookmarkEnd w:id="6"/>
    </w:p>
    <w:p w14:paraId="332715C7" w14:textId="77777777" w:rsidR="00D31BFE" w:rsidRDefault="00D31BFE" w:rsidP="00D31BFE">
      <w:pPr>
        <w:pStyle w:val="ListBullet"/>
      </w:pPr>
      <w:r>
        <w:t>Businesses comply with consumer laws.</w:t>
      </w:r>
    </w:p>
    <w:p w14:paraId="7D7B40C4" w14:textId="77777777" w:rsidR="00D31BFE" w:rsidRDefault="00D31BFE" w:rsidP="00D31BFE">
      <w:pPr>
        <w:pStyle w:val="ListBullet"/>
      </w:pPr>
      <w:r>
        <w:t>Victorians exercise their consumer rights.</w:t>
      </w:r>
    </w:p>
    <w:p w14:paraId="7C70985C" w14:textId="77777777" w:rsidR="00D31BFE" w:rsidRDefault="00D31BFE" w:rsidP="00D31BFE">
      <w:pPr>
        <w:pStyle w:val="ListBullet"/>
      </w:pPr>
      <w:r>
        <w:t>A fair and safe rental market for Victorians.</w:t>
      </w:r>
    </w:p>
    <w:p w14:paraId="0691F6B0" w14:textId="77777777" w:rsidR="00D31BFE" w:rsidRDefault="00D31BFE" w:rsidP="00D31BFE">
      <w:pPr>
        <w:pStyle w:val="Heading3"/>
      </w:pPr>
      <w:bookmarkStart w:id="7" w:name="_Toc55998354"/>
      <w:r>
        <w:t>Our functions</w:t>
      </w:r>
      <w:bookmarkEnd w:id="7"/>
    </w:p>
    <w:p w14:paraId="28B17BC1" w14:textId="77777777" w:rsidR="00D31BFE" w:rsidRDefault="00D31BFE" w:rsidP="00D31BFE">
      <w:pPr>
        <w:pStyle w:val="BodyText"/>
      </w:pPr>
      <w:r>
        <w:t>We help Victorians to be responsible and informed businesses and consumers. To do this we:</w:t>
      </w:r>
    </w:p>
    <w:p w14:paraId="3BE56F55" w14:textId="77777777" w:rsidR="00D31BFE" w:rsidRDefault="00D31BFE" w:rsidP="00D31BFE">
      <w:pPr>
        <w:pStyle w:val="ListBullet"/>
      </w:pPr>
      <w:r>
        <w:t>provide information and advice to consumers, renters, businesses and rental providers about their rights, responsibilities and changes to relevant laws</w:t>
      </w:r>
    </w:p>
    <w:p w14:paraId="6BECF002" w14:textId="77777777" w:rsidR="00D31BFE" w:rsidRDefault="00D31BFE" w:rsidP="00D31BFE">
      <w:pPr>
        <w:pStyle w:val="ListBullet"/>
      </w:pPr>
      <w:r>
        <w:t>register and license certain businesses and occupations</w:t>
      </w:r>
    </w:p>
    <w:p w14:paraId="7BC07EA6" w14:textId="77777777" w:rsidR="00D31BFE" w:rsidRDefault="00D31BFE" w:rsidP="00D31BFE">
      <w:pPr>
        <w:pStyle w:val="ListBullet"/>
      </w:pPr>
      <w:r>
        <w:t>enforce compliance with consumer laws</w:t>
      </w:r>
    </w:p>
    <w:p w14:paraId="22C7A54F" w14:textId="77777777" w:rsidR="00D31BFE" w:rsidRDefault="00D31BFE" w:rsidP="00D31BFE">
      <w:pPr>
        <w:pStyle w:val="ListBullet"/>
      </w:pPr>
      <w:r>
        <w:t xml:space="preserve">review and advise the Victorian Government on the consumer </w:t>
      </w:r>
      <w:proofErr w:type="gramStart"/>
      <w:r>
        <w:t>protection  framework</w:t>
      </w:r>
      <w:proofErr w:type="gramEnd"/>
      <w:r>
        <w:t>.</w:t>
      </w:r>
    </w:p>
    <w:p w14:paraId="601D9D0A" w14:textId="77777777" w:rsidR="00D31BFE" w:rsidRDefault="00D31BFE" w:rsidP="00D31BFE">
      <w:pPr>
        <w:pStyle w:val="BodyText"/>
      </w:pPr>
      <w:r>
        <w:t>We also provide administrative support to several statutory offices and bodies. These include the:</w:t>
      </w:r>
    </w:p>
    <w:p w14:paraId="6B1E8490" w14:textId="77777777" w:rsidR="00D31BFE" w:rsidRDefault="00D31BFE" w:rsidP="00D31BFE">
      <w:pPr>
        <w:pStyle w:val="ListBullet"/>
      </w:pPr>
      <w:r>
        <w:t>Business Licensing Authority</w:t>
      </w:r>
    </w:p>
    <w:p w14:paraId="0CD072CA" w14:textId="77777777" w:rsidR="00D31BFE" w:rsidRDefault="00D31BFE" w:rsidP="00D31BFE">
      <w:pPr>
        <w:pStyle w:val="ListBullet"/>
      </w:pPr>
      <w:r>
        <w:t>Estate Agents Council</w:t>
      </w:r>
    </w:p>
    <w:p w14:paraId="33D06735" w14:textId="77777777" w:rsidR="00D31BFE" w:rsidRDefault="00D31BFE" w:rsidP="00D31BFE">
      <w:pPr>
        <w:pStyle w:val="ListBullet"/>
      </w:pPr>
      <w:r>
        <w:t>Motor Car Traders Claims Committee</w:t>
      </w:r>
    </w:p>
    <w:p w14:paraId="5D141C17" w14:textId="77777777" w:rsidR="00D31BFE" w:rsidRDefault="00D31BFE" w:rsidP="00D31BFE">
      <w:pPr>
        <w:pStyle w:val="ListBullet"/>
      </w:pPr>
      <w:r>
        <w:t>Residential Tenancies Bond Authority.</w:t>
      </w:r>
    </w:p>
    <w:p w14:paraId="1E69A15C" w14:textId="77777777" w:rsidR="004D56A7" w:rsidRPr="004D56A7" w:rsidRDefault="004D56A7" w:rsidP="004D56A7">
      <w:pPr>
        <w:pStyle w:val="BodyText"/>
      </w:pPr>
      <w:r w:rsidRPr="004D56A7">
        <w:br w:type="page"/>
      </w:r>
    </w:p>
    <w:p w14:paraId="67869544" w14:textId="0071878B" w:rsidR="00D31BFE" w:rsidRDefault="00D31BFE" w:rsidP="00D31BFE">
      <w:pPr>
        <w:pStyle w:val="Heading3"/>
      </w:pPr>
      <w:bookmarkStart w:id="8" w:name="_Toc55998355"/>
      <w:r>
        <w:lastRenderedPageBreak/>
        <w:t>Our regulatory approach</w:t>
      </w:r>
      <w:bookmarkEnd w:id="8"/>
    </w:p>
    <w:p w14:paraId="311935A9" w14:textId="21CD393C" w:rsidR="00D31BFE" w:rsidRDefault="00D31BFE" w:rsidP="00D31BFE">
      <w:pPr>
        <w:pStyle w:val="BodyText"/>
      </w:pPr>
      <w:r>
        <w:t>Our regulatory approach is intelligence-led, risk-based and outcome-focused. This enables us to</w:t>
      </w:r>
      <w:r w:rsidR="000965E1">
        <w:t> </w:t>
      </w:r>
      <w:r>
        <w:t>target the conduct posing the highest risk to Victorians, making the best use of our available resources. Our compliance operating model ensures the approach is embedded in our day-to-day work.</w:t>
      </w:r>
    </w:p>
    <w:p w14:paraId="2F2C53B6" w14:textId="77777777" w:rsidR="00D31BFE" w:rsidRDefault="00D31BFE" w:rsidP="00D31BFE">
      <w:pPr>
        <w:pStyle w:val="Heading4"/>
      </w:pPr>
      <w:r>
        <w:t>Intelligence-led</w:t>
      </w:r>
    </w:p>
    <w:p w14:paraId="52943340" w14:textId="59197A5A" w:rsidR="00D31BFE" w:rsidRDefault="00D31BFE" w:rsidP="00D31BFE">
      <w:pPr>
        <w:pStyle w:val="BodyText"/>
      </w:pPr>
      <w:r>
        <w:t xml:space="preserve">A core element of our regulatory approach is the effective use of intelligence to inform </w:t>
      </w:r>
      <w:r w:rsidR="000965E1">
        <w:br/>
      </w:r>
      <w:r>
        <w:t>decision-making.</w:t>
      </w:r>
    </w:p>
    <w:p w14:paraId="1A7EF8B1" w14:textId="77777777" w:rsidR="00D31BFE" w:rsidRDefault="00D31BFE" w:rsidP="00D31BFE">
      <w:pPr>
        <w:pStyle w:val="BodyText"/>
      </w:pPr>
      <w:r>
        <w:t>Intelligence gathered in the course of our regulatory operations is supplemented by other sources, including:</w:t>
      </w:r>
    </w:p>
    <w:p w14:paraId="14175AFF" w14:textId="77777777" w:rsidR="00D31BFE" w:rsidRDefault="00D31BFE" w:rsidP="00D31BFE">
      <w:pPr>
        <w:pStyle w:val="ListBullet"/>
      </w:pPr>
      <w:r>
        <w:t>national information shared among Australian Consumer Law (ACL) regulators</w:t>
      </w:r>
    </w:p>
    <w:p w14:paraId="5F0AA10E" w14:textId="77777777" w:rsidR="00D31BFE" w:rsidRDefault="00D31BFE" w:rsidP="00D31BFE">
      <w:pPr>
        <w:pStyle w:val="ListBullet"/>
      </w:pPr>
      <w:r>
        <w:t>local councils</w:t>
      </w:r>
    </w:p>
    <w:p w14:paraId="35D18DAC" w14:textId="77777777" w:rsidR="00D31BFE" w:rsidRDefault="00D31BFE" w:rsidP="00D31BFE">
      <w:pPr>
        <w:pStyle w:val="ListBullet"/>
      </w:pPr>
      <w:r>
        <w:t>law enforcement organisations</w:t>
      </w:r>
    </w:p>
    <w:p w14:paraId="4334D56D" w14:textId="77777777" w:rsidR="00D31BFE" w:rsidRDefault="00D31BFE" w:rsidP="00D31BFE">
      <w:pPr>
        <w:pStyle w:val="ListBullet"/>
      </w:pPr>
      <w:r>
        <w:t>industry stakeholders</w:t>
      </w:r>
    </w:p>
    <w:p w14:paraId="5CEC9D8C" w14:textId="77777777" w:rsidR="00D31BFE" w:rsidRDefault="00D31BFE" w:rsidP="00D31BFE">
      <w:pPr>
        <w:pStyle w:val="ListBullet"/>
      </w:pPr>
      <w:r>
        <w:t>online forums and social media</w:t>
      </w:r>
    </w:p>
    <w:p w14:paraId="7C64F3B9" w14:textId="77777777" w:rsidR="00D31BFE" w:rsidRDefault="00D31BFE" w:rsidP="00D31BFE">
      <w:pPr>
        <w:pStyle w:val="ListBullet"/>
      </w:pPr>
      <w:r>
        <w:t>business reporting requirements.</w:t>
      </w:r>
    </w:p>
    <w:p w14:paraId="47E707AD" w14:textId="77777777" w:rsidR="00D31BFE" w:rsidRDefault="00D31BFE" w:rsidP="00D31BFE">
      <w:pPr>
        <w:pStyle w:val="BodyText"/>
      </w:pPr>
      <w:r>
        <w:t>For example, information provided from auditors’ reports on estate agent trust accounts alerts us to businesses that may have problematic practices, allowing us to prioritise inspection activity.</w:t>
      </w:r>
    </w:p>
    <w:p w14:paraId="051E6147" w14:textId="77777777" w:rsidR="00D31BFE" w:rsidRDefault="00D31BFE" w:rsidP="00D31BFE">
      <w:pPr>
        <w:pStyle w:val="BodyText"/>
      </w:pPr>
      <w:r>
        <w:t>We also receive reports from consumers and their representatives about business conduct or potential breaches of the law. While we do not pursue all of these individually, we use them as an important source of intelligence to help assess risks and take action as appropriate.</w:t>
      </w:r>
    </w:p>
    <w:p w14:paraId="798683B5" w14:textId="77777777" w:rsidR="00D31BFE" w:rsidRDefault="00D31BFE" w:rsidP="00D31BFE">
      <w:pPr>
        <w:pStyle w:val="Heading4"/>
      </w:pPr>
      <w:bookmarkStart w:id="9" w:name="_Risk-based"/>
      <w:bookmarkStart w:id="10" w:name="_Ref55931252"/>
      <w:bookmarkEnd w:id="9"/>
      <w:r>
        <w:t>Risk-based</w:t>
      </w:r>
      <w:bookmarkEnd w:id="10"/>
    </w:p>
    <w:p w14:paraId="3877A952" w14:textId="77777777" w:rsidR="00D31BFE" w:rsidRDefault="00D31BFE" w:rsidP="00D31BFE">
      <w:pPr>
        <w:pStyle w:val="BodyText"/>
      </w:pPr>
      <w:r>
        <w:t>Where possible, we aim to identify and treat risks before they lead to actual consumer harm.</w:t>
      </w:r>
    </w:p>
    <w:p w14:paraId="61A77E49" w14:textId="77777777" w:rsidR="00D31BFE" w:rsidRDefault="00D31BFE" w:rsidP="00D31BFE">
      <w:pPr>
        <w:pStyle w:val="BodyText"/>
      </w:pPr>
      <w:r>
        <w:t>Regulatory risks are market behaviours that:</w:t>
      </w:r>
    </w:p>
    <w:p w14:paraId="71A4AC01" w14:textId="77777777" w:rsidR="00D31BFE" w:rsidRDefault="00D31BFE" w:rsidP="00D31BFE">
      <w:pPr>
        <w:pStyle w:val="ListBullet"/>
      </w:pPr>
      <w:r>
        <w:t>represent non-compliance with the laws we administer</w:t>
      </w:r>
    </w:p>
    <w:p w14:paraId="55679B5F" w14:textId="77777777" w:rsidR="00D31BFE" w:rsidRDefault="00D31BFE" w:rsidP="00D31BFE">
      <w:pPr>
        <w:pStyle w:val="ListBullet"/>
      </w:pPr>
      <w:r>
        <w:t>present potential or realised consumer harm</w:t>
      </w:r>
    </w:p>
    <w:p w14:paraId="02C072D8" w14:textId="77777777" w:rsidR="00D31BFE" w:rsidRDefault="00D31BFE" w:rsidP="00D31BFE">
      <w:pPr>
        <w:pStyle w:val="ListBullet"/>
      </w:pPr>
      <w:r>
        <w:t>impact on our ability to be an effective regulator</w:t>
      </w:r>
    </w:p>
    <w:p w14:paraId="2C026817" w14:textId="77777777" w:rsidR="00D31BFE" w:rsidRDefault="00D31BFE" w:rsidP="00D31BFE">
      <w:pPr>
        <w:pStyle w:val="ListBullet"/>
      </w:pPr>
      <w:r>
        <w:t>require a regulatory response due to public concern.</w:t>
      </w:r>
    </w:p>
    <w:p w14:paraId="736006DB" w14:textId="77777777" w:rsidR="00D31BFE" w:rsidRDefault="00D31BFE" w:rsidP="00D31BFE">
      <w:pPr>
        <w:pStyle w:val="BodyText"/>
      </w:pPr>
      <w:r>
        <w:t>We monitor markets and use evidence to shape a targeted compliance program, focusing on those issues that pose the highest risk to Victorians. Risks can be posed by:</w:t>
      </w:r>
    </w:p>
    <w:p w14:paraId="45F401DC" w14:textId="77777777" w:rsidR="00D31BFE" w:rsidRDefault="00D31BFE" w:rsidP="00D31BFE">
      <w:pPr>
        <w:pStyle w:val="ListBullet"/>
      </w:pPr>
      <w:r>
        <w:t>a product</w:t>
      </w:r>
    </w:p>
    <w:p w14:paraId="3CF829F7" w14:textId="77777777" w:rsidR="00D31BFE" w:rsidRDefault="00D31BFE" w:rsidP="00D31BFE">
      <w:pPr>
        <w:pStyle w:val="ListBullet"/>
      </w:pPr>
      <w:r>
        <w:t>a business’s conduct</w:t>
      </w:r>
    </w:p>
    <w:p w14:paraId="176EC8CB" w14:textId="77777777" w:rsidR="00D31BFE" w:rsidRDefault="00D31BFE" w:rsidP="00D31BFE">
      <w:pPr>
        <w:pStyle w:val="ListBullet"/>
      </w:pPr>
      <w:r>
        <w:t>a new or emerging business practice</w:t>
      </w:r>
    </w:p>
    <w:p w14:paraId="1019C1FB" w14:textId="77777777" w:rsidR="00D31BFE" w:rsidRDefault="00D31BFE" w:rsidP="00D31BFE">
      <w:pPr>
        <w:pStyle w:val="ListBullet"/>
      </w:pPr>
      <w:r>
        <w:t>the conduct or business model of an entire industry.</w:t>
      </w:r>
    </w:p>
    <w:p w14:paraId="4733706E" w14:textId="77777777" w:rsidR="00D31BFE" w:rsidRDefault="00D31BFE" w:rsidP="00D31BFE">
      <w:pPr>
        <w:pStyle w:val="Heading4"/>
      </w:pPr>
      <w:r>
        <w:lastRenderedPageBreak/>
        <w:t>Outcome-focused</w:t>
      </w:r>
    </w:p>
    <w:p w14:paraId="1B6D1949" w14:textId="77777777" w:rsidR="00D31BFE" w:rsidRDefault="00D31BFE" w:rsidP="00D31BFE">
      <w:pPr>
        <w:pStyle w:val="BodyText"/>
      </w:pPr>
      <w:r>
        <w:t>We use a range of compliance tools, underpinned by a compliance strategy that ultimately seeks to affect market outcomes. We make decisions on compliance actions to achieve outcomes that deter unlawful conduct and promote future compliance.</w:t>
      </w:r>
    </w:p>
    <w:p w14:paraId="436FB985" w14:textId="77777777" w:rsidR="00D31BFE" w:rsidRDefault="00D31BFE" w:rsidP="00D31BFE">
      <w:pPr>
        <w:pStyle w:val="BodyText"/>
      </w:pPr>
      <w:r>
        <w:t>We take enforcement action to serve the public interest. We exercise discretion, focusing on actions that benefit all consumers. We do not take action on behalf of individuals to obtain redress.</w:t>
      </w:r>
    </w:p>
    <w:p w14:paraId="302CFF68" w14:textId="77777777" w:rsidR="00D31BFE" w:rsidRDefault="00D31BFE" w:rsidP="00D31BFE">
      <w:pPr>
        <w:pStyle w:val="BodyText"/>
      </w:pPr>
      <w:r>
        <w:t>The nature of the problem and the desired outcome determine which compliance and enforcement approach we use. Where appropriate, we seek voluntary compliance.</w:t>
      </w:r>
    </w:p>
    <w:p w14:paraId="494EF553" w14:textId="77777777" w:rsidR="00D31BFE" w:rsidRDefault="00D31BFE" w:rsidP="00D31BFE">
      <w:pPr>
        <w:pStyle w:val="BodyText"/>
      </w:pPr>
      <w:r>
        <w:t>Importantly, we have a full range of tools, including civil and criminal actions, infringements and public warnings to protect the Victorian community by holding businesses accountable for unlawful conduct.</w:t>
      </w:r>
    </w:p>
    <w:p w14:paraId="752641FF" w14:textId="77777777" w:rsidR="00D31BFE" w:rsidRDefault="00D31BFE" w:rsidP="00D31BFE">
      <w:pPr>
        <w:pStyle w:val="Heading2"/>
      </w:pPr>
      <w:bookmarkStart w:id="11" w:name="_Toc55998356"/>
      <w:r>
        <w:lastRenderedPageBreak/>
        <w:t>Our performance</w:t>
      </w:r>
      <w:bookmarkEnd w:id="11"/>
    </w:p>
    <w:p w14:paraId="57BED377" w14:textId="77777777" w:rsidR="00D31BFE" w:rsidRDefault="00D31BFE" w:rsidP="00D31BFE">
      <w:pPr>
        <w:pStyle w:val="BodyText"/>
      </w:pPr>
      <w:r>
        <w:t>The coronavirus (COVID-19) pandemic changed the Victorian landscape and impacted the services we delivered in 2019–20.</w:t>
      </w:r>
    </w:p>
    <w:p w14:paraId="4EC35193" w14:textId="77777777" w:rsidR="00D31BFE" w:rsidRDefault="00D31BFE" w:rsidP="00D31BFE">
      <w:pPr>
        <w:pStyle w:val="BodyText"/>
      </w:pPr>
      <w:r>
        <w:t>Some of our performance measures, which are demand-driven and vary across business activity levels, decreased accordingly. We focused our efforts to provide services which were crucial to Victorians during the crisis and protected the rights of vulnerable groups during a time of upheaval.</w:t>
      </w:r>
    </w:p>
    <w:p w14:paraId="361D49F9" w14:textId="77777777" w:rsidR="00D31BFE" w:rsidRDefault="00D31BFE" w:rsidP="00D31BFE">
      <w:pPr>
        <w:pStyle w:val="BodyText"/>
      </w:pPr>
      <w:r>
        <w:t>We provided increased support for financial counselling to family violence victims during a period when the risk of family violence was heightened.</w:t>
      </w:r>
    </w:p>
    <w:p w14:paraId="1CAB9992" w14:textId="77777777" w:rsidR="00D31BFE" w:rsidRDefault="00D31BFE" w:rsidP="00D31BFE">
      <w:pPr>
        <w:pStyle w:val="BodyText"/>
      </w:pPr>
      <w:r>
        <w:t>We enabled tens of thousands of Victorians to reach reduced rent agreements and therefore avoid evictions which would have had devastating impacts on both tenants and landlords.</w:t>
      </w:r>
    </w:p>
    <w:p w14:paraId="7E2F2DC8" w14:textId="77777777" w:rsidR="00D31BFE" w:rsidRDefault="00D31BFE" w:rsidP="00D31BFE">
      <w:pPr>
        <w:pStyle w:val="BodyText"/>
      </w:pPr>
      <w:r>
        <w:t>We continued to deliver thousands of licensing and registration services and, where required, compliance and enforcement activities.</w:t>
      </w:r>
    </w:p>
    <w:p w14:paraId="72FC5740" w14:textId="77777777" w:rsidR="00D31BFE" w:rsidRDefault="00D31BFE" w:rsidP="00D31BFE">
      <w:pPr>
        <w:pStyle w:val="BodyText"/>
      </w:pPr>
      <w:r>
        <w:t>We updated our key community interface, the consumer.vic.gov.au website, to provide important information and advice during a time of great uncertainty.</w:t>
      </w:r>
    </w:p>
    <w:p w14:paraId="55AC2D5B" w14:textId="77777777" w:rsidR="00D31BFE" w:rsidRDefault="00D31BFE" w:rsidP="00D31BFE">
      <w:pPr>
        <w:pStyle w:val="BodyText"/>
      </w:pPr>
      <w:r>
        <w:t>We are proud to have mobilised quickly and efficiently to provide Victorians with the necessary support and protections required during our time of crisis.</w:t>
      </w:r>
    </w:p>
    <w:p w14:paraId="4954E6AE" w14:textId="77777777" w:rsidR="00D31BFE" w:rsidRDefault="00D31BFE" w:rsidP="00D31BFE">
      <w:pPr>
        <w:pStyle w:val="BodyText"/>
      </w:pPr>
      <w:r>
        <w:t xml:space="preserve">This year, our performance was measured against target outputs specified in Budget Paper 3 </w:t>
      </w:r>
      <w:r>
        <w:br/>
        <w:t>2019–20.</w:t>
      </w:r>
    </w:p>
    <w:p w14:paraId="59228D42" w14:textId="77777777" w:rsidR="00D31BFE" w:rsidRDefault="00D31BFE" w:rsidP="00D31BFE">
      <w:pPr>
        <w:pStyle w:val="BodyText"/>
      </w:pPr>
      <w:r>
        <w:t>Outputs are those goods and services provided to government by departments, agencies and statutory bodies, and through funding provided to others, such as community agencies.</w:t>
      </w:r>
    </w:p>
    <w:p w14:paraId="1D91F3F9" w14:textId="77777777" w:rsidR="00D31BFE" w:rsidRPr="000F504E" w:rsidRDefault="00D31BFE" w:rsidP="00D31BFE">
      <w:pPr>
        <w:pStyle w:val="BodyText"/>
      </w:pPr>
      <w:r w:rsidRPr="000F504E">
        <w:br w:type="page"/>
      </w:r>
    </w:p>
    <w:p w14:paraId="03494684" w14:textId="77777777" w:rsidR="00D31BFE" w:rsidRDefault="00D31BFE" w:rsidP="00D31BFE">
      <w:pPr>
        <w:pStyle w:val="Caption"/>
      </w:pPr>
      <w:r>
        <w:lastRenderedPageBreak/>
        <w:t>Table 1: Performance against targets for output measures</w:t>
      </w:r>
    </w:p>
    <w:tbl>
      <w:tblPr>
        <w:tblStyle w:val="TableGrid"/>
        <w:tblW w:w="9072" w:type="dxa"/>
        <w:tblLayout w:type="fixed"/>
        <w:tblLook w:val="06A0" w:firstRow="1" w:lastRow="0" w:firstColumn="1" w:lastColumn="0" w:noHBand="1" w:noVBand="1"/>
      </w:tblPr>
      <w:tblGrid>
        <w:gridCol w:w="3854"/>
        <w:gridCol w:w="1134"/>
        <w:gridCol w:w="1021"/>
        <w:gridCol w:w="1021"/>
        <w:gridCol w:w="1021"/>
        <w:gridCol w:w="1021"/>
      </w:tblGrid>
      <w:tr w:rsidR="00D31BFE" w14:paraId="21D87FD5" w14:textId="77777777" w:rsidTr="009229EE">
        <w:trPr>
          <w:cnfStyle w:val="100000000000" w:firstRow="1" w:lastRow="0" w:firstColumn="0" w:lastColumn="0" w:oddVBand="0" w:evenVBand="0" w:oddHBand="0" w:evenHBand="0" w:firstRowFirstColumn="0" w:firstRowLastColumn="0" w:lastRowFirstColumn="0" w:lastRowLastColumn="0"/>
          <w:trHeight w:val="68"/>
          <w:tblHeader/>
        </w:trPr>
        <w:tc>
          <w:tcPr>
            <w:tcW w:w="3856" w:type="dxa"/>
          </w:tcPr>
          <w:p w14:paraId="2D22EC21" w14:textId="77777777" w:rsidR="00D31BFE" w:rsidRDefault="00D31BFE" w:rsidP="002255C8">
            <w:pPr>
              <w:pStyle w:val="TableColHead"/>
              <w:spacing w:before="60"/>
            </w:pPr>
          </w:p>
        </w:tc>
        <w:tc>
          <w:tcPr>
            <w:tcW w:w="1134" w:type="dxa"/>
          </w:tcPr>
          <w:p w14:paraId="2FC96DFB" w14:textId="77777777" w:rsidR="00D31BFE" w:rsidRDefault="00D31BFE" w:rsidP="002255C8">
            <w:pPr>
              <w:pStyle w:val="TableColHead"/>
              <w:spacing w:before="60"/>
            </w:pPr>
            <w:r>
              <w:t>Unit of measure</w:t>
            </w:r>
          </w:p>
        </w:tc>
        <w:tc>
          <w:tcPr>
            <w:tcW w:w="1021" w:type="dxa"/>
          </w:tcPr>
          <w:p w14:paraId="5D8D054E" w14:textId="77777777" w:rsidR="00D31BFE" w:rsidRDefault="00D31BFE" w:rsidP="002255C8">
            <w:pPr>
              <w:pStyle w:val="TableColHeadRight"/>
              <w:spacing w:before="60"/>
            </w:pPr>
            <w:r>
              <w:t>2017–18 actual</w:t>
            </w:r>
          </w:p>
        </w:tc>
        <w:tc>
          <w:tcPr>
            <w:tcW w:w="1021" w:type="dxa"/>
          </w:tcPr>
          <w:p w14:paraId="06117A59" w14:textId="77777777" w:rsidR="00D31BFE" w:rsidRDefault="00D31BFE" w:rsidP="002255C8">
            <w:pPr>
              <w:pStyle w:val="TableColHeadRight"/>
              <w:spacing w:before="60"/>
            </w:pPr>
            <w:r>
              <w:t>2018–19 actual</w:t>
            </w:r>
          </w:p>
        </w:tc>
        <w:tc>
          <w:tcPr>
            <w:tcW w:w="1021" w:type="dxa"/>
          </w:tcPr>
          <w:p w14:paraId="678F6938" w14:textId="77777777" w:rsidR="00D31BFE" w:rsidRDefault="00D31BFE" w:rsidP="002255C8">
            <w:pPr>
              <w:pStyle w:val="TableColHeadRight"/>
              <w:spacing w:before="60"/>
            </w:pPr>
            <w:r>
              <w:t>2019–20 target</w:t>
            </w:r>
          </w:p>
        </w:tc>
        <w:tc>
          <w:tcPr>
            <w:tcW w:w="1021" w:type="dxa"/>
          </w:tcPr>
          <w:p w14:paraId="03C46EBA" w14:textId="77777777" w:rsidR="00D31BFE" w:rsidRDefault="00D31BFE" w:rsidP="002255C8">
            <w:pPr>
              <w:pStyle w:val="TableColHeadRight"/>
              <w:spacing w:before="60"/>
            </w:pPr>
            <w:r>
              <w:t>2019–20 actual</w:t>
            </w:r>
          </w:p>
        </w:tc>
      </w:tr>
      <w:tr w:rsidR="00D31BFE" w14:paraId="462522BE" w14:textId="77777777" w:rsidTr="009229EE">
        <w:trPr>
          <w:trHeight w:val="68"/>
        </w:trPr>
        <w:tc>
          <w:tcPr>
            <w:tcW w:w="3856" w:type="dxa"/>
            <w:gridSpan w:val="6"/>
            <w:shd w:val="clear" w:color="auto" w:fill="B2D5F0"/>
          </w:tcPr>
          <w:p w14:paraId="09ACD2F1" w14:textId="77777777" w:rsidR="00D31BFE" w:rsidRDefault="00D31BFE" w:rsidP="002255C8">
            <w:pPr>
              <w:pStyle w:val="TableTextBold"/>
              <w:spacing w:before="60"/>
            </w:pPr>
            <w:r>
              <w:rPr>
                <w:w w:val="110"/>
              </w:rPr>
              <w:t>Quantity</w:t>
            </w:r>
          </w:p>
        </w:tc>
      </w:tr>
      <w:tr w:rsidR="00D31BFE" w14:paraId="676D7143" w14:textId="77777777" w:rsidTr="009229EE">
        <w:trPr>
          <w:trHeight w:val="68"/>
        </w:trPr>
        <w:tc>
          <w:tcPr>
            <w:tcW w:w="3856" w:type="dxa"/>
          </w:tcPr>
          <w:p w14:paraId="19B2BFE6" w14:textId="77777777" w:rsidR="00D31BFE" w:rsidRDefault="00D31BFE" w:rsidP="002255C8">
            <w:pPr>
              <w:pStyle w:val="TableText"/>
              <w:spacing w:before="60"/>
            </w:pPr>
            <w:r>
              <w:t>Information and advice provided to consumers, tenants and businesses: through telephone service</w:t>
            </w:r>
            <w:r>
              <w:rPr>
                <w:vertAlign w:val="superscript"/>
              </w:rPr>
              <w:footnoteReference w:id="2"/>
            </w:r>
          </w:p>
        </w:tc>
        <w:tc>
          <w:tcPr>
            <w:tcW w:w="1021" w:type="dxa"/>
          </w:tcPr>
          <w:p w14:paraId="79788B1B" w14:textId="77777777" w:rsidR="00D31BFE" w:rsidRDefault="00D31BFE" w:rsidP="002255C8">
            <w:pPr>
              <w:pStyle w:val="TableText"/>
              <w:spacing w:before="60"/>
            </w:pPr>
            <w:r>
              <w:t>number</w:t>
            </w:r>
          </w:p>
        </w:tc>
        <w:tc>
          <w:tcPr>
            <w:tcW w:w="1021" w:type="dxa"/>
          </w:tcPr>
          <w:p w14:paraId="207D7FA0" w14:textId="77777777" w:rsidR="00D31BFE" w:rsidRDefault="00D31BFE" w:rsidP="002255C8">
            <w:pPr>
              <w:pStyle w:val="TableTextRight"/>
              <w:spacing w:before="60"/>
            </w:pPr>
            <w:r>
              <w:t>304,048</w:t>
            </w:r>
          </w:p>
        </w:tc>
        <w:tc>
          <w:tcPr>
            <w:tcW w:w="1021" w:type="dxa"/>
          </w:tcPr>
          <w:p w14:paraId="0995D77F" w14:textId="77777777" w:rsidR="00D31BFE" w:rsidRDefault="00D31BFE" w:rsidP="002255C8">
            <w:pPr>
              <w:pStyle w:val="TableTextRight"/>
              <w:spacing w:before="60"/>
            </w:pPr>
            <w:r>
              <w:t>295,955</w:t>
            </w:r>
          </w:p>
        </w:tc>
        <w:tc>
          <w:tcPr>
            <w:tcW w:w="1021" w:type="dxa"/>
          </w:tcPr>
          <w:p w14:paraId="5478E9B8" w14:textId="77777777" w:rsidR="00D31BFE" w:rsidRDefault="00D31BFE" w:rsidP="002255C8">
            <w:pPr>
              <w:pStyle w:val="TableTextRight"/>
              <w:spacing w:before="60"/>
            </w:pPr>
            <w:r>
              <w:t>302,900</w:t>
            </w:r>
          </w:p>
        </w:tc>
        <w:tc>
          <w:tcPr>
            <w:tcW w:w="1021" w:type="dxa"/>
          </w:tcPr>
          <w:p w14:paraId="3DAB15BB" w14:textId="77777777" w:rsidR="00D31BFE" w:rsidRDefault="00D31BFE" w:rsidP="002255C8">
            <w:pPr>
              <w:pStyle w:val="TableTextRight"/>
              <w:spacing w:before="60"/>
            </w:pPr>
            <w:r>
              <w:t>234,623</w:t>
            </w:r>
          </w:p>
        </w:tc>
      </w:tr>
      <w:tr w:rsidR="00D31BFE" w14:paraId="153DB34E" w14:textId="77777777" w:rsidTr="009229EE">
        <w:trPr>
          <w:trHeight w:val="68"/>
        </w:trPr>
        <w:tc>
          <w:tcPr>
            <w:tcW w:w="3856" w:type="dxa"/>
          </w:tcPr>
          <w:p w14:paraId="6C9EF85F" w14:textId="330EF0C0" w:rsidR="00D31BFE" w:rsidRDefault="00D31BFE" w:rsidP="002255C8">
            <w:pPr>
              <w:pStyle w:val="TableText"/>
              <w:spacing w:before="60"/>
            </w:pPr>
            <w:r>
              <w:t>Information and advice provided to consumers, tenants and businesses: through other services including written correspondence, face-to-face and dispute assistance</w:t>
            </w:r>
            <w:r>
              <w:rPr>
                <w:vertAlign w:val="superscript"/>
              </w:rPr>
              <w:footnoteReference w:id="3"/>
            </w:r>
          </w:p>
        </w:tc>
        <w:tc>
          <w:tcPr>
            <w:tcW w:w="1021" w:type="dxa"/>
          </w:tcPr>
          <w:p w14:paraId="29AB36F8" w14:textId="77777777" w:rsidR="00D31BFE" w:rsidRDefault="00D31BFE" w:rsidP="002255C8">
            <w:pPr>
              <w:pStyle w:val="TableText"/>
              <w:spacing w:before="60"/>
            </w:pPr>
            <w:r>
              <w:t>number</w:t>
            </w:r>
          </w:p>
        </w:tc>
        <w:tc>
          <w:tcPr>
            <w:tcW w:w="1021" w:type="dxa"/>
          </w:tcPr>
          <w:p w14:paraId="286895A5" w14:textId="77777777" w:rsidR="00D31BFE" w:rsidRDefault="00D31BFE" w:rsidP="002255C8">
            <w:pPr>
              <w:pStyle w:val="TableTextRight"/>
              <w:spacing w:before="60"/>
            </w:pPr>
            <w:r>
              <w:t>118,309</w:t>
            </w:r>
          </w:p>
        </w:tc>
        <w:tc>
          <w:tcPr>
            <w:tcW w:w="1021" w:type="dxa"/>
          </w:tcPr>
          <w:p w14:paraId="4F41B4B4" w14:textId="77777777" w:rsidR="00D31BFE" w:rsidRDefault="00D31BFE" w:rsidP="002255C8">
            <w:pPr>
              <w:pStyle w:val="TableTextRight"/>
              <w:spacing w:before="60"/>
            </w:pPr>
            <w:r>
              <w:t>115,216</w:t>
            </w:r>
          </w:p>
        </w:tc>
        <w:tc>
          <w:tcPr>
            <w:tcW w:w="1021" w:type="dxa"/>
          </w:tcPr>
          <w:p w14:paraId="26BE4E76" w14:textId="77777777" w:rsidR="00D31BFE" w:rsidRDefault="00D31BFE" w:rsidP="002255C8">
            <w:pPr>
              <w:pStyle w:val="TableTextRight"/>
              <w:spacing w:before="60"/>
            </w:pPr>
            <w:r>
              <w:t>115,700</w:t>
            </w:r>
          </w:p>
        </w:tc>
        <w:tc>
          <w:tcPr>
            <w:tcW w:w="1021" w:type="dxa"/>
          </w:tcPr>
          <w:p w14:paraId="6DD4BC03" w14:textId="77777777" w:rsidR="00D31BFE" w:rsidRDefault="00D31BFE" w:rsidP="002255C8">
            <w:pPr>
              <w:pStyle w:val="TableTextRight"/>
              <w:spacing w:before="60"/>
            </w:pPr>
            <w:r>
              <w:t>142,695</w:t>
            </w:r>
          </w:p>
        </w:tc>
      </w:tr>
      <w:tr w:rsidR="00D31BFE" w14:paraId="6D135EC0" w14:textId="77777777" w:rsidTr="009229EE">
        <w:trPr>
          <w:trHeight w:val="68"/>
        </w:trPr>
        <w:tc>
          <w:tcPr>
            <w:tcW w:w="3856" w:type="dxa"/>
          </w:tcPr>
          <w:p w14:paraId="7B1486AF" w14:textId="6D10A821" w:rsidR="00D31BFE" w:rsidRDefault="00D31BFE" w:rsidP="002255C8">
            <w:pPr>
              <w:pStyle w:val="TableText"/>
              <w:spacing w:before="60"/>
            </w:pPr>
            <w:r>
              <w:t>Number of court and administrative actions</w:t>
            </w:r>
            <w:r>
              <w:rPr>
                <w:vertAlign w:val="superscript"/>
              </w:rPr>
              <w:footnoteReference w:id="4"/>
            </w:r>
          </w:p>
        </w:tc>
        <w:tc>
          <w:tcPr>
            <w:tcW w:w="1021" w:type="dxa"/>
          </w:tcPr>
          <w:p w14:paraId="5D7FCF20" w14:textId="77777777" w:rsidR="00D31BFE" w:rsidRDefault="00D31BFE" w:rsidP="002255C8">
            <w:pPr>
              <w:pStyle w:val="TableText"/>
              <w:spacing w:before="60"/>
            </w:pPr>
            <w:r>
              <w:t>number</w:t>
            </w:r>
          </w:p>
        </w:tc>
        <w:tc>
          <w:tcPr>
            <w:tcW w:w="1021" w:type="dxa"/>
          </w:tcPr>
          <w:p w14:paraId="0B39D9AB" w14:textId="77777777" w:rsidR="00D31BFE" w:rsidRDefault="00D31BFE" w:rsidP="002255C8">
            <w:pPr>
              <w:pStyle w:val="NoParagraphStyle"/>
              <w:spacing w:before="60" w:line="240" w:lineRule="auto"/>
              <w:textAlignment w:val="auto"/>
              <w:rPr>
                <w:rFonts w:ascii="VIC-SemiBold" w:hAnsi="VIC-SemiBold" w:cstheme="minorBidi"/>
                <w:color w:val="auto"/>
                <w:lang w:val="en-AU"/>
              </w:rPr>
            </w:pPr>
          </w:p>
        </w:tc>
        <w:tc>
          <w:tcPr>
            <w:tcW w:w="1021" w:type="dxa"/>
          </w:tcPr>
          <w:p w14:paraId="45601CD5" w14:textId="77777777" w:rsidR="00D31BFE" w:rsidRDefault="00D31BFE" w:rsidP="002255C8">
            <w:pPr>
              <w:pStyle w:val="TableTextRight"/>
              <w:spacing w:before="60"/>
            </w:pPr>
            <w:r>
              <w:t>1,309</w:t>
            </w:r>
          </w:p>
        </w:tc>
        <w:tc>
          <w:tcPr>
            <w:tcW w:w="1021" w:type="dxa"/>
          </w:tcPr>
          <w:p w14:paraId="133EFB90" w14:textId="77777777" w:rsidR="00D31BFE" w:rsidRDefault="00D31BFE" w:rsidP="002255C8">
            <w:pPr>
              <w:pStyle w:val="TableTextRight"/>
              <w:spacing w:before="60"/>
            </w:pPr>
            <w:r>
              <w:t>850</w:t>
            </w:r>
          </w:p>
        </w:tc>
        <w:tc>
          <w:tcPr>
            <w:tcW w:w="1021" w:type="dxa"/>
          </w:tcPr>
          <w:p w14:paraId="7245712A" w14:textId="77777777" w:rsidR="00D31BFE" w:rsidRDefault="00D31BFE" w:rsidP="002255C8">
            <w:pPr>
              <w:pStyle w:val="TableTextRight"/>
              <w:spacing w:before="60"/>
            </w:pPr>
            <w:r>
              <w:t>1,061</w:t>
            </w:r>
          </w:p>
        </w:tc>
      </w:tr>
      <w:tr w:rsidR="00D31BFE" w14:paraId="4A7299C3" w14:textId="77777777" w:rsidTr="009229EE">
        <w:trPr>
          <w:trHeight w:val="68"/>
        </w:trPr>
        <w:tc>
          <w:tcPr>
            <w:tcW w:w="3856" w:type="dxa"/>
          </w:tcPr>
          <w:p w14:paraId="1B26EDC1" w14:textId="77777777" w:rsidR="00D31BFE" w:rsidRDefault="00D31BFE" w:rsidP="002255C8">
            <w:pPr>
              <w:pStyle w:val="TableText"/>
              <w:spacing w:before="60"/>
            </w:pPr>
            <w:r>
              <w:t xml:space="preserve">Transactions </w:t>
            </w:r>
            <w:proofErr w:type="gramStart"/>
            <w:r>
              <w:t>undertaken:</w:t>
            </w:r>
            <w:proofErr w:type="gramEnd"/>
            <w:r>
              <w:t xml:space="preserve"> registration and licensing</w:t>
            </w:r>
          </w:p>
        </w:tc>
        <w:tc>
          <w:tcPr>
            <w:tcW w:w="1021" w:type="dxa"/>
          </w:tcPr>
          <w:p w14:paraId="3F7BBE49" w14:textId="77777777" w:rsidR="00D31BFE" w:rsidRDefault="00D31BFE" w:rsidP="002255C8">
            <w:pPr>
              <w:pStyle w:val="TableText"/>
              <w:spacing w:before="60"/>
            </w:pPr>
            <w:r>
              <w:t>number</w:t>
            </w:r>
          </w:p>
        </w:tc>
        <w:tc>
          <w:tcPr>
            <w:tcW w:w="1021" w:type="dxa"/>
          </w:tcPr>
          <w:p w14:paraId="093FC0B4" w14:textId="77777777" w:rsidR="00D31BFE" w:rsidRDefault="00D31BFE" w:rsidP="002255C8">
            <w:pPr>
              <w:pStyle w:val="TableTextRight"/>
              <w:spacing w:before="60"/>
            </w:pPr>
            <w:r>
              <w:t>93,186</w:t>
            </w:r>
          </w:p>
        </w:tc>
        <w:tc>
          <w:tcPr>
            <w:tcW w:w="1021" w:type="dxa"/>
          </w:tcPr>
          <w:p w14:paraId="6DD0661F" w14:textId="77777777" w:rsidR="00D31BFE" w:rsidRDefault="00D31BFE" w:rsidP="002255C8">
            <w:pPr>
              <w:pStyle w:val="TableTextRight"/>
              <w:spacing w:before="60"/>
            </w:pPr>
            <w:r>
              <w:t>94,826</w:t>
            </w:r>
          </w:p>
        </w:tc>
        <w:tc>
          <w:tcPr>
            <w:tcW w:w="1021" w:type="dxa"/>
          </w:tcPr>
          <w:p w14:paraId="6EEA9DF5" w14:textId="77777777" w:rsidR="00D31BFE" w:rsidRDefault="00D31BFE" w:rsidP="002255C8">
            <w:pPr>
              <w:pStyle w:val="TableTextRight"/>
              <w:spacing w:before="60"/>
            </w:pPr>
            <w:r>
              <w:t>95,500</w:t>
            </w:r>
          </w:p>
        </w:tc>
        <w:tc>
          <w:tcPr>
            <w:tcW w:w="1021" w:type="dxa"/>
          </w:tcPr>
          <w:p w14:paraId="39BAB305" w14:textId="77777777" w:rsidR="00D31BFE" w:rsidRDefault="00D31BFE" w:rsidP="002255C8">
            <w:pPr>
              <w:pStyle w:val="TableTextRight"/>
              <w:spacing w:before="60"/>
            </w:pPr>
            <w:r>
              <w:t>91,637</w:t>
            </w:r>
          </w:p>
        </w:tc>
      </w:tr>
      <w:tr w:rsidR="00D31BFE" w14:paraId="058F7828" w14:textId="77777777" w:rsidTr="009229EE">
        <w:trPr>
          <w:trHeight w:val="68"/>
        </w:trPr>
        <w:tc>
          <w:tcPr>
            <w:tcW w:w="3856" w:type="dxa"/>
          </w:tcPr>
          <w:p w14:paraId="2981AA9A" w14:textId="77777777" w:rsidR="00D31BFE" w:rsidRDefault="00D31BFE" w:rsidP="002255C8">
            <w:pPr>
              <w:pStyle w:val="TableText"/>
              <w:spacing w:before="60"/>
            </w:pPr>
            <w:r>
              <w:t>Transactions undertaken: Residential Tenancies Bond Authority (RTBA)</w:t>
            </w:r>
          </w:p>
        </w:tc>
        <w:tc>
          <w:tcPr>
            <w:tcW w:w="1021" w:type="dxa"/>
          </w:tcPr>
          <w:p w14:paraId="6E7AAAD6" w14:textId="77777777" w:rsidR="00D31BFE" w:rsidRDefault="00D31BFE" w:rsidP="002255C8">
            <w:pPr>
              <w:pStyle w:val="TableText"/>
              <w:spacing w:before="60"/>
            </w:pPr>
            <w:r>
              <w:t>number</w:t>
            </w:r>
          </w:p>
        </w:tc>
        <w:tc>
          <w:tcPr>
            <w:tcW w:w="1021" w:type="dxa"/>
          </w:tcPr>
          <w:p w14:paraId="72F8CC39" w14:textId="77777777" w:rsidR="00D31BFE" w:rsidRDefault="00D31BFE" w:rsidP="002255C8">
            <w:pPr>
              <w:pStyle w:val="TableTextRight"/>
              <w:spacing w:before="60"/>
            </w:pPr>
            <w:r>
              <w:t>461,137</w:t>
            </w:r>
          </w:p>
        </w:tc>
        <w:tc>
          <w:tcPr>
            <w:tcW w:w="1021" w:type="dxa"/>
          </w:tcPr>
          <w:p w14:paraId="4DBFA9E8" w14:textId="77777777" w:rsidR="00D31BFE" w:rsidRDefault="00D31BFE" w:rsidP="002255C8">
            <w:pPr>
              <w:pStyle w:val="TableTextRight"/>
              <w:spacing w:before="60"/>
            </w:pPr>
            <w:r>
              <w:t>467,431</w:t>
            </w:r>
          </w:p>
        </w:tc>
        <w:tc>
          <w:tcPr>
            <w:tcW w:w="1021" w:type="dxa"/>
          </w:tcPr>
          <w:p w14:paraId="4CE60538" w14:textId="77777777" w:rsidR="00D31BFE" w:rsidRDefault="00D31BFE" w:rsidP="002255C8">
            <w:pPr>
              <w:pStyle w:val="TableTextRight"/>
              <w:spacing w:before="60"/>
            </w:pPr>
            <w:r>
              <w:t>476,000</w:t>
            </w:r>
          </w:p>
        </w:tc>
        <w:tc>
          <w:tcPr>
            <w:tcW w:w="1021" w:type="dxa"/>
          </w:tcPr>
          <w:p w14:paraId="2F630A50" w14:textId="77777777" w:rsidR="00D31BFE" w:rsidRDefault="00D31BFE" w:rsidP="002255C8">
            <w:pPr>
              <w:pStyle w:val="TableTextRight"/>
              <w:spacing w:before="60"/>
            </w:pPr>
            <w:r>
              <w:t>492,822</w:t>
            </w:r>
          </w:p>
        </w:tc>
      </w:tr>
      <w:tr w:rsidR="00D31BFE" w14:paraId="1F88777F" w14:textId="77777777" w:rsidTr="009229EE">
        <w:trPr>
          <w:trHeight w:val="68"/>
        </w:trPr>
        <w:tc>
          <w:tcPr>
            <w:tcW w:w="3856" w:type="dxa"/>
          </w:tcPr>
          <w:p w14:paraId="6C0148E1" w14:textId="77777777" w:rsidR="00D31BFE" w:rsidRDefault="00D31BFE" w:rsidP="002255C8">
            <w:pPr>
              <w:pStyle w:val="TableText"/>
              <w:spacing w:before="60"/>
            </w:pPr>
            <w:r>
              <w:t>Victims of family violence assisted with financial counselling</w:t>
            </w:r>
            <w:r>
              <w:rPr>
                <w:vertAlign w:val="superscript"/>
              </w:rPr>
              <w:footnoteReference w:id="5"/>
            </w:r>
          </w:p>
        </w:tc>
        <w:tc>
          <w:tcPr>
            <w:tcW w:w="1021" w:type="dxa"/>
          </w:tcPr>
          <w:p w14:paraId="0855E258" w14:textId="77777777" w:rsidR="00D31BFE" w:rsidRDefault="00D31BFE" w:rsidP="002255C8">
            <w:pPr>
              <w:pStyle w:val="TableText"/>
              <w:spacing w:before="60"/>
            </w:pPr>
            <w:r>
              <w:t>number</w:t>
            </w:r>
          </w:p>
        </w:tc>
        <w:tc>
          <w:tcPr>
            <w:tcW w:w="1021" w:type="dxa"/>
          </w:tcPr>
          <w:p w14:paraId="61D8EE28" w14:textId="77777777" w:rsidR="00D31BFE" w:rsidRDefault="00D31BFE" w:rsidP="002255C8">
            <w:pPr>
              <w:pStyle w:val="TableTextRight"/>
              <w:spacing w:before="60"/>
            </w:pPr>
            <w:r>
              <w:t>2,421</w:t>
            </w:r>
          </w:p>
        </w:tc>
        <w:tc>
          <w:tcPr>
            <w:tcW w:w="1021" w:type="dxa"/>
          </w:tcPr>
          <w:p w14:paraId="5A356A78" w14:textId="77777777" w:rsidR="00D31BFE" w:rsidRDefault="00D31BFE" w:rsidP="002255C8">
            <w:pPr>
              <w:pStyle w:val="TableTextRight"/>
              <w:spacing w:before="60"/>
            </w:pPr>
            <w:r>
              <w:t>3,024</w:t>
            </w:r>
          </w:p>
        </w:tc>
        <w:tc>
          <w:tcPr>
            <w:tcW w:w="1021" w:type="dxa"/>
          </w:tcPr>
          <w:p w14:paraId="4E4253B0" w14:textId="77777777" w:rsidR="00D31BFE" w:rsidRDefault="00D31BFE" w:rsidP="002255C8">
            <w:pPr>
              <w:pStyle w:val="TableTextRight"/>
              <w:spacing w:before="60"/>
            </w:pPr>
            <w:r>
              <w:t>3,750</w:t>
            </w:r>
          </w:p>
        </w:tc>
        <w:tc>
          <w:tcPr>
            <w:tcW w:w="1021" w:type="dxa"/>
          </w:tcPr>
          <w:p w14:paraId="61915576" w14:textId="77777777" w:rsidR="00D31BFE" w:rsidRDefault="00D31BFE" w:rsidP="002255C8">
            <w:pPr>
              <w:pStyle w:val="TableTextRight"/>
              <w:spacing w:before="60"/>
            </w:pPr>
            <w:r>
              <w:t>3,439</w:t>
            </w:r>
          </w:p>
        </w:tc>
      </w:tr>
      <w:tr w:rsidR="00D31BFE" w14:paraId="553D3A41" w14:textId="77777777" w:rsidTr="009229EE">
        <w:trPr>
          <w:trHeight w:val="68"/>
        </w:trPr>
        <w:tc>
          <w:tcPr>
            <w:tcW w:w="3856" w:type="dxa"/>
          </w:tcPr>
          <w:p w14:paraId="515CFEA1" w14:textId="77777777" w:rsidR="00D31BFE" w:rsidRDefault="00D31BFE" w:rsidP="002255C8">
            <w:pPr>
              <w:pStyle w:val="TableText"/>
              <w:spacing w:before="60"/>
            </w:pPr>
            <w:r>
              <w:t>Dispute resolution services provided by Domestic Building Dispute Resolution Victoria</w:t>
            </w:r>
            <w:r>
              <w:rPr>
                <w:vertAlign w:val="superscript"/>
              </w:rPr>
              <w:footnoteReference w:id="6"/>
            </w:r>
          </w:p>
        </w:tc>
        <w:tc>
          <w:tcPr>
            <w:tcW w:w="1021" w:type="dxa"/>
          </w:tcPr>
          <w:p w14:paraId="77A148DE" w14:textId="77777777" w:rsidR="00D31BFE" w:rsidRDefault="00D31BFE" w:rsidP="002255C8">
            <w:pPr>
              <w:pStyle w:val="TableText"/>
              <w:spacing w:before="60"/>
            </w:pPr>
            <w:r>
              <w:t>number</w:t>
            </w:r>
          </w:p>
        </w:tc>
        <w:tc>
          <w:tcPr>
            <w:tcW w:w="1021" w:type="dxa"/>
          </w:tcPr>
          <w:p w14:paraId="01755973" w14:textId="77777777" w:rsidR="00D31BFE" w:rsidRDefault="00D31BFE" w:rsidP="002255C8">
            <w:pPr>
              <w:pStyle w:val="TableTextRight"/>
              <w:spacing w:before="60"/>
            </w:pPr>
            <w:r>
              <w:t>5,981</w:t>
            </w:r>
          </w:p>
        </w:tc>
        <w:tc>
          <w:tcPr>
            <w:tcW w:w="1021" w:type="dxa"/>
          </w:tcPr>
          <w:p w14:paraId="0DF53A5E" w14:textId="77777777" w:rsidR="00D31BFE" w:rsidRDefault="00D31BFE" w:rsidP="002255C8">
            <w:pPr>
              <w:pStyle w:val="TableTextRight"/>
              <w:spacing w:before="60"/>
            </w:pPr>
            <w:r>
              <w:t>6,003</w:t>
            </w:r>
          </w:p>
        </w:tc>
        <w:tc>
          <w:tcPr>
            <w:tcW w:w="1021" w:type="dxa"/>
          </w:tcPr>
          <w:p w14:paraId="13CCD45C" w14:textId="77777777" w:rsidR="00D31BFE" w:rsidRDefault="00D31BFE" w:rsidP="002255C8">
            <w:pPr>
              <w:pStyle w:val="TableTextRight"/>
              <w:spacing w:before="60"/>
            </w:pPr>
            <w:r>
              <w:t>6,000</w:t>
            </w:r>
          </w:p>
        </w:tc>
        <w:tc>
          <w:tcPr>
            <w:tcW w:w="1021" w:type="dxa"/>
          </w:tcPr>
          <w:p w14:paraId="33FB92D8" w14:textId="77777777" w:rsidR="00D31BFE" w:rsidRDefault="00D31BFE" w:rsidP="002255C8">
            <w:pPr>
              <w:pStyle w:val="TableTextRight"/>
              <w:spacing w:before="60"/>
            </w:pPr>
            <w:r>
              <w:t>6,619</w:t>
            </w:r>
          </w:p>
        </w:tc>
      </w:tr>
      <w:tr w:rsidR="00D31BFE" w14:paraId="324178B2" w14:textId="77777777" w:rsidTr="009229EE">
        <w:trPr>
          <w:trHeight w:val="68"/>
        </w:trPr>
        <w:tc>
          <w:tcPr>
            <w:tcW w:w="3856" w:type="dxa"/>
            <w:gridSpan w:val="6"/>
            <w:shd w:val="clear" w:color="auto" w:fill="B2D5F0"/>
          </w:tcPr>
          <w:p w14:paraId="28F0A046" w14:textId="77777777" w:rsidR="00D31BFE" w:rsidRDefault="00D31BFE" w:rsidP="002255C8">
            <w:pPr>
              <w:pStyle w:val="TableTextBold"/>
              <w:spacing w:before="60"/>
            </w:pPr>
            <w:r>
              <w:t>Quality</w:t>
            </w:r>
          </w:p>
        </w:tc>
      </w:tr>
      <w:tr w:rsidR="00D31BFE" w14:paraId="6EC9F68C" w14:textId="77777777" w:rsidTr="009229EE">
        <w:trPr>
          <w:trHeight w:val="68"/>
        </w:trPr>
        <w:tc>
          <w:tcPr>
            <w:tcW w:w="3856" w:type="dxa"/>
          </w:tcPr>
          <w:p w14:paraId="14C00149" w14:textId="77777777" w:rsidR="00D31BFE" w:rsidRDefault="00D31BFE" w:rsidP="002255C8">
            <w:pPr>
              <w:pStyle w:val="TableText"/>
              <w:spacing w:before="60"/>
            </w:pPr>
            <w:r>
              <w:t>Rate of compliance with key consumer laws</w:t>
            </w:r>
            <w:r>
              <w:rPr>
                <w:vertAlign w:val="superscript"/>
              </w:rPr>
              <w:footnoteReference w:id="7"/>
            </w:r>
            <w:r>
              <w:t xml:space="preserve"> </w:t>
            </w:r>
          </w:p>
        </w:tc>
        <w:tc>
          <w:tcPr>
            <w:tcW w:w="1021" w:type="dxa"/>
          </w:tcPr>
          <w:p w14:paraId="24FDFEF9" w14:textId="77777777" w:rsidR="00D31BFE" w:rsidRDefault="00D31BFE" w:rsidP="002255C8">
            <w:pPr>
              <w:pStyle w:val="TableText"/>
              <w:spacing w:before="60"/>
            </w:pPr>
            <w:r>
              <w:t>per cent</w:t>
            </w:r>
          </w:p>
        </w:tc>
        <w:tc>
          <w:tcPr>
            <w:tcW w:w="1021" w:type="dxa"/>
          </w:tcPr>
          <w:p w14:paraId="3F2B6BCD" w14:textId="77777777" w:rsidR="00D31BFE" w:rsidRDefault="00D31BFE" w:rsidP="002255C8">
            <w:pPr>
              <w:pStyle w:val="TableTextRight"/>
              <w:spacing w:before="60"/>
            </w:pPr>
            <w:r>
              <w:t>99.3</w:t>
            </w:r>
          </w:p>
        </w:tc>
        <w:tc>
          <w:tcPr>
            <w:tcW w:w="1021" w:type="dxa"/>
          </w:tcPr>
          <w:p w14:paraId="7FD36D0A" w14:textId="77777777" w:rsidR="00D31BFE" w:rsidRDefault="00D31BFE" w:rsidP="002255C8">
            <w:pPr>
              <w:pStyle w:val="TableTextRight"/>
              <w:spacing w:before="60"/>
            </w:pPr>
            <w:r>
              <w:t>91.5</w:t>
            </w:r>
          </w:p>
        </w:tc>
        <w:tc>
          <w:tcPr>
            <w:tcW w:w="1021" w:type="dxa"/>
          </w:tcPr>
          <w:p w14:paraId="6D0B031A" w14:textId="77777777" w:rsidR="00D31BFE" w:rsidRDefault="00D31BFE" w:rsidP="002255C8">
            <w:pPr>
              <w:pStyle w:val="TableTextRight"/>
              <w:spacing w:before="60"/>
            </w:pPr>
            <w:r>
              <w:t>95</w:t>
            </w:r>
          </w:p>
        </w:tc>
        <w:tc>
          <w:tcPr>
            <w:tcW w:w="1021" w:type="dxa"/>
          </w:tcPr>
          <w:p w14:paraId="5A8300FE" w14:textId="77777777" w:rsidR="00D31BFE" w:rsidRDefault="00D31BFE" w:rsidP="002255C8">
            <w:pPr>
              <w:pStyle w:val="TableTextRight"/>
              <w:spacing w:before="60"/>
            </w:pPr>
            <w:r>
              <w:t>94.5</w:t>
            </w:r>
          </w:p>
        </w:tc>
      </w:tr>
      <w:tr w:rsidR="00D31BFE" w14:paraId="2280707F" w14:textId="77777777" w:rsidTr="009229EE">
        <w:trPr>
          <w:trHeight w:val="68"/>
        </w:trPr>
        <w:tc>
          <w:tcPr>
            <w:tcW w:w="3856" w:type="dxa"/>
            <w:gridSpan w:val="6"/>
            <w:shd w:val="clear" w:color="auto" w:fill="B2D5F0"/>
          </w:tcPr>
          <w:p w14:paraId="550456BD" w14:textId="77777777" w:rsidR="00D31BFE" w:rsidRDefault="00D31BFE" w:rsidP="002255C8">
            <w:pPr>
              <w:pStyle w:val="TableTextBold"/>
              <w:spacing w:before="60"/>
            </w:pPr>
            <w:r>
              <w:t>Timeliness</w:t>
            </w:r>
          </w:p>
        </w:tc>
      </w:tr>
      <w:tr w:rsidR="00D31BFE" w14:paraId="043C73C2" w14:textId="77777777" w:rsidTr="009229EE">
        <w:trPr>
          <w:trHeight w:val="68"/>
        </w:trPr>
        <w:tc>
          <w:tcPr>
            <w:tcW w:w="3856" w:type="dxa"/>
          </w:tcPr>
          <w:p w14:paraId="346877D4" w14:textId="77777777" w:rsidR="00D31BFE" w:rsidRDefault="00D31BFE" w:rsidP="002255C8">
            <w:pPr>
              <w:pStyle w:val="TableText"/>
              <w:spacing w:before="60"/>
            </w:pPr>
            <w:r>
              <w:t>Regulatory functions delivered within agreed time frames</w:t>
            </w:r>
            <w:r>
              <w:rPr>
                <w:vertAlign w:val="superscript"/>
              </w:rPr>
              <w:footnoteReference w:id="8"/>
            </w:r>
            <w:r>
              <w:t xml:space="preserve"> </w:t>
            </w:r>
          </w:p>
        </w:tc>
        <w:tc>
          <w:tcPr>
            <w:tcW w:w="1021" w:type="dxa"/>
          </w:tcPr>
          <w:p w14:paraId="26C9C2A1" w14:textId="77777777" w:rsidR="00D31BFE" w:rsidRDefault="00D31BFE" w:rsidP="002255C8">
            <w:pPr>
              <w:pStyle w:val="TableText"/>
              <w:spacing w:before="60"/>
            </w:pPr>
            <w:r>
              <w:t>per cent</w:t>
            </w:r>
          </w:p>
        </w:tc>
        <w:tc>
          <w:tcPr>
            <w:tcW w:w="1021" w:type="dxa"/>
          </w:tcPr>
          <w:p w14:paraId="253C6053" w14:textId="77777777" w:rsidR="00D31BFE" w:rsidRDefault="00D31BFE" w:rsidP="002255C8">
            <w:pPr>
              <w:pStyle w:val="TableTextRight"/>
              <w:spacing w:before="60"/>
            </w:pPr>
            <w:r>
              <w:t>97.7</w:t>
            </w:r>
          </w:p>
        </w:tc>
        <w:tc>
          <w:tcPr>
            <w:tcW w:w="1021" w:type="dxa"/>
          </w:tcPr>
          <w:p w14:paraId="18480EB8" w14:textId="77777777" w:rsidR="00D31BFE" w:rsidRDefault="00D31BFE" w:rsidP="002255C8">
            <w:pPr>
              <w:pStyle w:val="TableTextRight"/>
              <w:spacing w:before="60"/>
            </w:pPr>
            <w:r>
              <w:t>97.8</w:t>
            </w:r>
          </w:p>
        </w:tc>
        <w:tc>
          <w:tcPr>
            <w:tcW w:w="1021" w:type="dxa"/>
          </w:tcPr>
          <w:p w14:paraId="1F697606" w14:textId="77777777" w:rsidR="00D31BFE" w:rsidRDefault="00D31BFE" w:rsidP="002255C8">
            <w:pPr>
              <w:pStyle w:val="TableTextRight"/>
              <w:spacing w:before="60"/>
            </w:pPr>
            <w:r>
              <w:t>95</w:t>
            </w:r>
          </w:p>
        </w:tc>
        <w:tc>
          <w:tcPr>
            <w:tcW w:w="1021" w:type="dxa"/>
          </w:tcPr>
          <w:p w14:paraId="2BE17B1B" w14:textId="77777777" w:rsidR="00D31BFE" w:rsidRDefault="00D31BFE" w:rsidP="002255C8">
            <w:pPr>
              <w:pStyle w:val="TableTextRight"/>
              <w:spacing w:before="60"/>
            </w:pPr>
            <w:r>
              <w:t>94.4</w:t>
            </w:r>
          </w:p>
        </w:tc>
      </w:tr>
      <w:tr w:rsidR="00D31BFE" w14:paraId="19325FFC" w14:textId="77777777" w:rsidTr="009229EE">
        <w:trPr>
          <w:trHeight w:val="68"/>
        </w:trPr>
        <w:tc>
          <w:tcPr>
            <w:tcW w:w="3856" w:type="dxa"/>
          </w:tcPr>
          <w:p w14:paraId="1E318EC1" w14:textId="77777777" w:rsidR="00D31BFE" w:rsidRDefault="00D31BFE" w:rsidP="002255C8">
            <w:pPr>
              <w:pStyle w:val="TableText"/>
              <w:spacing w:before="60"/>
            </w:pPr>
            <w:r>
              <w:t>Proportion of high priority breaches resulting in regulatory response</w:t>
            </w:r>
          </w:p>
        </w:tc>
        <w:tc>
          <w:tcPr>
            <w:tcW w:w="1021" w:type="dxa"/>
          </w:tcPr>
          <w:p w14:paraId="6E3E3B35" w14:textId="77777777" w:rsidR="00D31BFE" w:rsidRDefault="00D31BFE" w:rsidP="002255C8">
            <w:pPr>
              <w:pStyle w:val="TableText"/>
              <w:spacing w:before="60"/>
            </w:pPr>
            <w:r>
              <w:t>per cent</w:t>
            </w:r>
          </w:p>
        </w:tc>
        <w:tc>
          <w:tcPr>
            <w:tcW w:w="1021" w:type="dxa"/>
          </w:tcPr>
          <w:p w14:paraId="647249D3" w14:textId="77777777" w:rsidR="00D31BFE" w:rsidRDefault="00D31BFE" w:rsidP="002255C8">
            <w:pPr>
              <w:pStyle w:val="NoParagraphStyle"/>
              <w:spacing w:before="60" w:line="240" w:lineRule="auto"/>
              <w:textAlignment w:val="auto"/>
              <w:rPr>
                <w:rFonts w:ascii="VIC-SemiBold" w:hAnsi="VIC-SemiBold" w:cstheme="minorBidi"/>
                <w:color w:val="auto"/>
                <w:lang w:val="en-AU"/>
              </w:rPr>
            </w:pPr>
          </w:p>
        </w:tc>
        <w:tc>
          <w:tcPr>
            <w:tcW w:w="1021" w:type="dxa"/>
          </w:tcPr>
          <w:p w14:paraId="0F87214F" w14:textId="77777777" w:rsidR="00D31BFE" w:rsidRDefault="00D31BFE" w:rsidP="002255C8">
            <w:pPr>
              <w:pStyle w:val="TableTextRight"/>
              <w:spacing w:before="60"/>
            </w:pPr>
            <w:r>
              <w:t>100</w:t>
            </w:r>
          </w:p>
        </w:tc>
        <w:tc>
          <w:tcPr>
            <w:tcW w:w="1021" w:type="dxa"/>
          </w:tcPr>
          <w:p w14:paraId="4E159EA1" w14:textId="77777777" w:rsidR="00D31BFE" w:rsidRDefault="00D31BFE" w:rsidP="002255C8">
            <w:pPr>
              <w:pStyle w:val="TableTextRight"/>
              <w:spacing w:before="60"/>
            </w:pPr>
            <w:r>
              <w:t>100</w:t>
            </w:r>
          </w:p>
        </w:tc>
        <w:tc>
          <w:tcPr>
            <w:tcW w:w="1021" w:type="dxa"/>
          </w:tcPr>
          <w:p w14:paraId="2E73528B" w14:textId="77777777" w:rsidR="00D31BFE" w:rsidRDefault="00D31BFE" w:rsidP="002255C8">
            <w:pPr>
              <w:pStyle w:val="TableTextRight"/>
              <w:spacing w:before="60"/>
            </w:pPr>
            <w:r>
              <w:t>100</w:t>
            </w:r>
          </w:p>
        </w:tc>
      </w:tr>
      <w:tr w:rsidR="00D31BFE" w14:paraId="581217EE" w14:textId="77777777" w:rsidTr="009229EE">
        <w:trPr>
          <w:trHeight w:val="68"/>
        </w:trPr>
        <w:tc>
          <w:tcPr>
            <w:tcW w:w="3856" w:type="dxa"/>
            <w:gridSpan w:val="6"/>
            <w:shd w:val="clear" w:color="auto" w:fill="B2D5F0"/>
          </w:tcPr>
          <w:p w14:paraId="3C9916F2" w14:textId="77777777" w:rsidR="00D31BFE" w:rsidRDefault="00D31BFE" w:rsidP="002255C8">
            <w:pPr>
              <w:pStyle w:val="TableTextBold"/>
              <w:spacing w:before="60"/>
            </w:pPr>
            <w:r>
              <w:t>Cost</w:t>
            </w:r>
          </w:p>
        </w:tc>
      </w:tr>
      <w:tr w:rsidR="00D31BFE" w14:paraId="7F607007" w14:textId="77777777" w:rsidTr="009229EE">
        <w:trPr>
          <w:trHeight w:val="68"/>
        </w:trPr>
        <w:tc>
          <w:tcPr>
            <w:tcW w:w="3856" w:type="dxa"/>
          </w:tcPr>
          <w:p w14:paraId="492CF361" w14:textId="2DDE80E6" w:rsidR="00D31BFE" w:rsidRDefault="00D31BFE" w:rsidP="00DA50C0">
            <w:pPr>
              <w:pStyle w:val="TableText"/>
            </w:pPr>
            <w:r>
              <w:t>Total output cost</w:t>
            </w:r>
            <w:r w:rsidR="00E0324B">
              <w:rPr>
                <w:vertAlign w:val="superscript"/>
              </w:rPr>
              <w:footnoteReference w:id="9"/>
            </w:r>
          </w:p>
        </w:tc>
        <w:tc>
          <w:tcPr>
            <w:tcW w:w="1021" w:type="dxa"/>
          </w:tcPr>
          <w:p w14:paraId="5C81BBFC" w14:textId="77777777" w:rsidR="00D31BFE" w:rsidRDefault="00D31BFE" w:rsidP="00D51FF2">
            <w:pPr>
              <w:pStyle w:val="TableText"/>
            </w:pPr>
            <w:r>
              <w:t>$ million</w:t>
            </w:r>
          </w:p>
        </w:tc>
        <w:tc>
          <w:tcPr>
            <w:tcW w:w="1021" w:type="dxa"/>
          </w:tcPr>
          <w:p w14:paraId="78159407" w14:textId="0F40B1BE" w:rsidR="00D31BFE" w:rsidRDefault="00575E00" w:rsidP="00DA50C0">
            <w:pPr>
              <w:pStyle w:val="TableTextRight"/>
            </w:pPr>
            <w:r>
              <w:t>140.6</w:t>
            </w:r>
          </w:p>
        </w:tc>
        <w:tc>
          <w:tcPr>
            <w:tcW w:w="1021" w:type="dxa"/>
          </w:tcPr>
          <w:p w14:paraId="6EDCB671" w14:textId="77777777" w:rsidR="00D31BFE" w:rsidRDefault="00D31BFE" w:rsidP="00DA50C0">
            <w:pPr>
              <w:pStyle w:val="TableTextRight"/>
            </w:pPr>
            <w:r>
              <w:t>146.9</w:t>
            </w:r>
          </w:p>
        </w:tc>
        <w:tc>
          <w:tcPr>
            <w:tcW w:w="1021" w:type="dxa"/>
          </w:tcPr>
          <w:p w14:paraId="24500E74" w14:textId="2126998C" w:rsidR="00D31BFE" w:rsidRDefault="00575E00" w:rsidP="00DA50C0">
            <w:pPr>
              <w:pStyle w:val="TableTextRight"/>
            </w:pPr>
            <w:r>
              <w:t>155.1</w:t>
            </w:r>
          </w:p>
        </w:tc>
        <w:tc>
          <w:tcPr>
            <w:tcW w:w="1021" w:type="dxa"/>
          </w:tcPr>
          <w:p w14:paraId="2E47464B" w14:textId="77777777" w:rsidR="00D31BFE" w:rsidRDefault="00D31BFE" w:rsidP="00DA50C0">
            <w:pPr>
              <w:pStyle w:val="TableTextRight"/>
            </w:pPr>
            <w:r>
              <w:t>127.4</w:t>
            </w:r>
          </w:p>
        </w:tc>
      </w:tr>
    </w:tbl>
    <w:p w14:paraId="31B6B301" w14:textId="77777777" w:rsidR="00D31BFE" w:rsidRDefault="00D31BFE" w:rsidP="00D31BFE">
      <w:pPr>
        <w:pStyle w:val="Heading2"/>
      </w:pPr>
      <w:bookmarkStart w:id="12" w:name="_Toc55998357"/>
      <w:r>
        <w:lastRenderedPageBreak/>
        <w:t>Our achievements</w:t>
      </w:r>
      <w:bookmarkEnd w:id="12"/>
    </w:p>
    <w:p w14:paraId="48FE0DF2" w14:textId="77777777" w:rsidR="00D31BFE" w:rsidRDefault="00D31BFE" w:rsidP="00D31BFE">
      <w:pPr>
        <w:pStyle w:val="BodyText"/>
      </w:pPr>
      <w:r>
        <w:t xml:space="preserve">Our achievements are presented under each of our outcomes, including </w:t>
      </w:r>
      <w:r>
        <w:br/>
        <w:t>data on our outputs and case studies highlighting our work.</w:t>
      </w:r>
    </w:p>
    <w:p w14:paraId="5569DBEC" w14:textId="77777777" w:rsidR="00D31BFE" w:rsidRDefault="00D31BFE" w:rsidP="00D31BFE">
      <w:pPr>
        <w:pStyle w:val="Heading3"/>
      </w:pPr>
      <w:bookmarkStart w:id="13" w:name="_Toc55998358"/>
      <w:r>
        <w:t>Outcome 1 – Businesses comply with consumer laws</w:t>
      </w:r>
      <w:bookmarkEnd w:id="13"/>
    </w:p>
    <w:p w14:paraId="5926D2DC" w14:textId="77777777" w:rsidR="00D31BFE" w:rsidRDefault="00D31BFE" w:rsidP="00D31BFE">
      <w:pPr>
        <w:pStyle w:val="BodyText"/>
      </w:pPr>
      <w:r>
        <w:t>A key to achieving a fair and competitive marketplace is ensuring businesses comply with consumer laws. We focus on achieving high levels of business compliance by working with relevant industry bodies and other partners. We continue to support businesses to be compliant by giving them information and resources. Under our integrated, risk-based approach to compliance, we act quickly against businesses and organisations that are causing the most harm, to protect consumers before there is significant detriment.</w:t>
      </w:r>
    </w:p>
    <w:p w14:paraId="417431DD" w14:textId="77777777" w:rsidR="00D31BFE" w:rsidRDefault="00D31BFE" w:rsidP="00D31BFE">
      <w:pPr>
        <w:pStyle w:val="Caption"/>
      </w:pPr>
      <w:r>
        <w:t>Table 2: Compliance, registration and licensing activities</w:t>
      </w:r>
      <w:r>
        <w:rPr>
          <w:vertAlign w:val="superscript"/>
        </w:rPr>
        <w:footnoteReference w:id="10"/>
      </w:r>
    </w:p>
    <w:tbl>
      <w:tblPr>
        <w:tblStyle w:val="TableGrid"/>
        <w:tblW w:w="9072" w:type="dxa"/>
        <w:tblLayout w:type="fixed"/>
        <w:tblLook w:val="06A0" w:firstRow="1" w:lastRow="0" w:firstColumn="1" w:lastColumn="0" w:noHBand="1" w:noVBand="1"/>
      </w:tblPr>
      <w:tblGrid>
        <w:gridCol w:w="6009"/>
        <w:gridCol w:w="1021"/>
        <w:gridCol w:w="1021"/>
        <w:gridCol w:w="1021"/>
      </w:tblGrid>
      <w:tr w:rsidR="00D31BFE" w14:paraId="099DF5F0" w14:textId="77777777" w:rsidTr="002255C8">
        <w:trPr>
          <w:cnfStyle w:val="100000000000" w:firstRow="1" w:lastRow="0" w:firstColumn="0" w:lastColumn="0" w:oddVBand="0" w:evenVBand="0" w:oddHBand="0" w:evenHBand="0" w:firstRowFirstColumn="0" w:firstRowLastColumn="0" w:lastRowFirstColumn="0" w:lastRowLastColumn="0"/>
          <w:trHeight w:val="60"/>
          <w:tblHeader/>
        </w:trPr>
        <w:tc>
          <w:tcPr>
            <w:tcW w:w="6010" w:type="dxa"/>
          </w:tcPr>
          <w:p w14:paraId="21A9D35D" w14:textId="77777777" w:rsidR="00D31BFE" w:rsidRDefault="00D31BFE" w:rsidP="00DA50C0">
            <w:pPr>
              <w:pStyle w:val="TableColHead"/>
            </w:pPr>
          </w:p>
        </w:tc>
        <w:tc>
          <w:tcPr>
            <w:tcW w:w="1021" w:type="dxa"/>
          </w:tcPr>
          <w:p w14:paraId="0B1E55BA" w14:textId="77777777" w:rsidR="00D31BFE" w:rsidRDefault="00D31BFE" w:rsidP="00DA50C0">
            <w:pPr>
              <w:pStyle w:val="TableColHeadRight"/>
            </w:pPr>
            <w:r>
              <w:t>2017–18</w:t>
            </w:r>
          </w:p>
        </w:tc>
        <w:tc>
          <w:tcPr>
            <w:tcW w:w="1021" w:type="dxa"/>
          </w:tcPr>
          <w:p w14:paraId="25CB8A3A" w14:textId="77777777" w:rsidR="00D31BFE" w:rsidRDefault="00D31BFE" w:rsidP="00DA50C0">
            <w:pPr>
              <w:pStyle w:val="TableColHeadRight"/>
            </w:pPr>
            <w:r>
              <w:t>2018–19</w:t>
            </w:r>
          </w:p>
        </w:tc>
        <w:tc>
          <w:tcPr>
            <w:tcW w:w="1021" w:type="dxa"/>
          </w:tcPr>
          <w:p w14:paraId="0C829BC1" w14:textId="77777777" w:rsidR="00D31BFE" w:rsidRDefault="00D31BFE" w:rsidP="00DA50C0">
            <w:pPr>
              <w:pStyle w:val="TableColHeadRight"/>
            </w:pPr>
            <w:r>
              <w:t>2019–20</w:t>
            </w:r>
          </w:p>
        </w:tc>
      </w:tr>
      <w:tr w:rsidR="00D31BFE" w14:paraId="2897E5B8" w14:textId="77777777" w:rsidTr="002255C8">
        <w:trPr>
          <w:trHeight w:val="60"/>
        </w:trPr>
        <w:tc>
          <w:tcPr>
            <w:tcW w:w="6010" w:type="dxa"/>
            <w:gridSpan w:val="4"/>
            <w:shd w:val="clear" w:color="auto" w:fill="B2D5F0"/>
          </w:tcPr>
          <w:p w14:paraId="0BF09BDB" w14:textId="77777777" w:rsidR="00D31BFE" w:rsidRDefault="00D31BFE" w:rsidP="00DA50C0">
            <w:pPr>
              <w:pStyle w:val="TableTextBold"/>
            </w:pPr>
            <w:r>
              <w:t>Compliance</w:t>
            </w:r>
          </w:p>
        </w:tc>
      </w:tr>
      <w:tr w:rsidR="00D31BFE" w14:paraId="17058B56" w14:textId="77777777" w:rsidTr="002255C8">
        <w:trPr>
          <w:trHeight w:val="60"/>
        </w:trPr>
        <w:tc>
          <w:tcPr>
            <w:tcW w:w="6010" w:type="dxa"/>
          </w:tcPr>
          <w:p w14:paraId="6654906B" w14:textId="77777777" w:rsidR="00D31BFE" w:rsidRDefault="00D31BFE" w:rsidP="00DA50C0">
            <w:pPr>
              <w:pStyle w:val="TableText"/>
            </w:pPr>
            <w:r>
              <w:t>Inspections</w:t>
            </w:r>
            <w:r>
              <w:rPr>
                <w:vertAlign w:val="superscript"/>
              </w:rPr>
              <w:footnoteReference w:id="11"/>
            </w:r>
            <w:r>
              <w:t xml:space="preserve"> </w:t>
            </w:r>
          </w:p>
        </w:tc>
        <w:tc>
          <w:tcPr>
            <w:tcW w:w="1021" w:type="dxa"/>
          </w:tcPr>
          <w:p w14:paraId="55354B23" w14:textId="77777777" w:rsidR="00D31BFE" w:rsidRDefault="00D31BFE" w:rsidP="00DA50C0">
            <w:pPr>
              <w:pStyle w:val="TableTextRight"/>
            </w:pPr>
            <w:r>
              <w:t>5,972</w:t>
            </w:r>
          </w:p>
        </w:tc>
        <w:tc>
          <w:tcPr>
            <w:tcW w:w="1021" w:type="dxa"/>
          </w:tcPr>
          <w:p w14:paraId="789057A0" w14:textId="77777777" w:rsidR="00D31BFE" w:rsidRDefault="00D31BFE" w:rsidP="00DA50C0">
            <w:pPr>
              <w:pStyle w:val="TableTextRight"/>
            </w:pPr>
            <w:r>
              <w:t>4,324</w:t>
            </w:r>
          </w:p>
        </w:tc>
        <w:tc>
          <w:tcPr>
            <w:tcW w:w="1021" w:type="dxa"/>
          </w:tcPr>
          <w:p w14:paraId="547E9421" w14:textId="77777777" w:rsidR="00D31BFE" w:rsidRDefault="00D31BFE" w:rsidP="00DA50C0">
            <w:pPr>
              <w:pStyle w:val="TableTextRight"/>
            </w:pPr>
            <w:r>
              <w:t>1,929</w:t>
            </w:r>
          </w:p>
        </w:tc>
      </w:tr>
      <w:tr w:rsidR="00D31BFE" w14:paraId="61421DE2" w14:textId="77777777" w:rsidTr="002255C8">
        <w:trPr>
          <w:trHeight w:val="60"/>
        </w:trPr>
        <w:tc>
          <w:tcPr>
            <w:tcW w:w="6010" w:type="dxa"/>
          </w:tcPr>
          <w:p w14:paraId="4ABF1172" w14:textId="77777777" w:rsidR="00D31BFE" w:rsidRDefault="00D31BFE" w:rsidP="00DA50C0">
            <w:pPr>
              <w:pStyle w:val="TableText"/>
            </w:pPr>
            <w:r>
              <w:t>Investigations</w:t>
            </w:r>
          </w:p>
        </w:tc>
        <w:tc>
          <w:tcPr>
            <w:tcW w:w="1021" w:type="dxa"/>
          </w:tcPr>
          <w:p w14:paraId="1F0D2CE4" w14:textId="77777777" w:rsidR="00D31BFE" w:rsidRDefault="00D31BFE" w:rsidP="00DA50C0">
            <w:pPr>
              <w:pStyle w:val="TableTextRight"/>
            </w:pPr>
            <w:r>
              <w:t>71</w:t>
            </w:r>
          </w:p>
        </w:tc>
        <w:tc>
          <w:tcPr>
            <w:tcW w:w="1021" w:type="dxa"/>
          </w:tcPr>
          <w:p w14:paraId="577FDE93" w14:textId="77777777" w:rsidR="00D31BFE" w:rsidRDefault="00D31BFE" w:rsidP="00DA50C0">
            <w:pPr>
              <w:pStyle w:val="TableTextRight"/>
            </w:pPr>
            <w:r>
              <w:t>90</w:t>
            </w:r>
          </w:p>
        </w:tc>
        <w:tc>
          <w:tcPr>
            <w:tcW w:w="1021" w:type="dxa"/>
          </w:tcPr>
          <w:p w14:paraId="5F8A8CA2" w14:textId="77777777" w:rsidR="00D31BFE" w:rsidRDefault="00D31BFE" w:rsidP="00DA50C0">
            <w:pPr>
              <w:pStyle w:val="TableTextRight"/>
            </w:pPr>
            <w:r>
              <w:t>214</w:t>
            </w:r>
          </w:p>
        </w:tc>
      </w:tr>
      <w:tr w:rsidR="00D31BFE" w14:paraId="5748A86C" w14:textId="77777777" w:rsidTr="002255C8">
        <w:trPr>
          <w:trHeight w:val="60"/>
        </w:trPr>
        <w:tc>
          <w:tcPr>
            <w:tcW w:w="6010" w:type="dxa"/>
          </w:tcPr>
          <w:p w14:paraId="40814AAE" w14:textId="77777777" w:rsidR="00D31BFE" w:rsidRDefault="00D31BFE" w:rsidP="00DA50C0">
            <w:pPr>
              <w:pStyle w:val="TableText"/>
            </w:pPr>
            <w:r>
              <w:t>Parties to criminal proceedings, appeals and re-hearings</w:t>
            </w:r>
          </w:p>
        </w:tc>
        <w:tc>
          <w:tcPr>
            <w:tcW w:w="1021" w:type="dxa"/>
          </w:tcPr>
          <w:p w14:paraId="3B1ADE69" w14:textId="77777777" w:rsidR="00D31BFE" w:rsidRDefault="00D31BFE" w:rsidP="00DA50C0">
            <w:pPr>
              <w:pStyle w:val="TableTextRight"/>
            </w:pPr>
            <w:r>
              <w:t>6</w:t>
            </w:r>
          </w:p>
        </w:tc>
        <w:tc>
          <w:tcPr>
            <w:tcW w:w="1021" w:type="dxa"/>
          </w:tcPr>
          <w:p w14:paraId="10D33CE3" w14:textId="77777777" w:rsidR="00D31BFE" w:rsidRDefault="00D31BFE" w:rsidP="00DA50C0">
            <w:pPr>
              <w:pStyle w:val="TableTextRight"/>
            </w:pPr>
            <w:r>
              <w:t>9</w:t>
            </w:r>
          </w:p>
        </w:tc>
        <w:tc>
          <w:tcPr>
            <w:tcW w:w="1021" w:type="dxa"/>
          </w:tcPr>
          <w:p w14:paraId="12D382AB" w14:textId="77777777" w:rsidR="00D31BFE" w:rsidRDefault="00D31BFE" w:rsidP="00DA50C0">
            <w:pPr>
              <w:pStyle w:val="TableTextRight"/>
            </w:pPr>
            <w:r>
              <w:t>8</w:t>
            </w:r>
          </w:p>
        </w:tc>
      </w:tr>
      <w:tr w:rsidR="00D31BFE" w14:paraId="4982F828" w14:textId="77777777" w:rsidTr="002255C8">
        <w:trPr>
          <w:trHeight w:val="60"/>
        </w:trPr>
        <w:tc>
          <w:tcPr>
            <w:tcW w:w="6010" w:type="dxa"/>
          </w:tcPr>
          <w:p w14:paraId="197209F5" w14:textId="77777777" w:rsidR="00D31BFE" w:rsidRDefault="00D31BFE" w:rsidP="00DA50C0">
            <w:pPr>
              <w:pStyle w:val="TableText"/>
            </w:pPr>
            <w:r>
              <w:t>Parties to civil proceedings</w:t>
            </w:r>
          </w:p>
        </w:tc>
        <w:tc>
          <w:tcPr>
            <w:tcW w:w="1021" w:type="dxa"/>
          </w:tcPr>
          <w:p w14:paraId="46F4C3DC" w14:textId="77777777" w:rsidR="00D31BFE" w:rsidRDefault="00D31BFE" w:rsidP="00DA50C0">
            <w:pPr>
              <w:pStyle w:val="TableTextRight"/>
            </w:pPr>
            <w:r>
              <w:t>35</w:t>
            </w:r>
          </w:p>
        </w:tc>
        <w:tc>
          <w:tcPr>
            <w:tcW w:w="1021" w:type="dxa"/>
          </w:tcPr>
          <w:p w14:paraId="370AB02E" w14:textId="77777777" w:rsidR="00D31BFE" w:rsidRDefault="00D31BFE" w:rsidP="00DA50C0">
            <w:pPr>
              <w:pStyle w:val="TableTextRight"/>
            </w:pPr>
            <w:r>
              <w:t>19</w:t>
            </w:r>
          </w:p>
        </w:tc>
        <w:tc>
          <w:tcPr>
            <w:tcW w:w="1021" w:type="dxa"/>
          </w:tcPr>
          <w:p w14:paraId="3015A5B6" w14:textId="77777777" w:rsidR="00D31BFE" w:rsidRDefault="00D31BFE" w:rsidP="00DA50C0">
            <w:pPr>
              <w:pStyle w:val="TableTextRight"/>
            </w:pPr>
            <w:r>
              <w:t>16</w:t>
            </w:r>
          </w:p>
        </w:tc>
      </w:tr>
      <w:tr w:rsidR="00D31BFE" w14:paraId="4B7411CA" w14:textId="77777777" w:rsidTr="002255C8">
        <w:trPr>
          <w:trHeight w:val="60"/>
        </w:trPr>
        <w:tc>
          <w:tcPr>
            <w:tcW w:w="6010" w:type="dxa"/>
          </w:tcPr>
          <w:p w14:paraId="4076E37C" w14:textId="77777777" w:rsidR="00D31BFE" w:rsidRDefault="00D31BFE" w:rsidP="00DA50C0">
            <w:pPr>
              <w:pStyle w:val="TableText"/>
            </w:pPr>
            <w:r>
              <w:t>Parties signed to enforceable undertakings</w:t>
            </w:r>
          </w:p>
        </w:tc>
        <w:tc>
          <w:tcPr>
            <w:tcW w:w="1021" w:type="dxa"/>
          </w:tcPr>
          <w:p w14:paraId="2C01D46E" w14:textId="77777777" w:rsidR="00D31BFE" w:rsidRDefault="00D31BFE" w:rsidP="00DA50C0">
            <w:pPr>
              <w:pStyle w:val="TableTextRight"/>
            </w:pPr>
            <w:r>
              <w:t>8</w:t>
            </w:r>
          </w:p>
        </w:tc>
        <w:tc>
          <w:tcPr>
            <w:tcW w:w="1021" w:type="dxa"/>
          </w:tcPr>
          <w:p w14:paraId="5D3F4545" w14:textId="77777777" w:rsidR="00D31BFE" w:rsidRDefault="00D31BFE" w:rsidP="00DA50C0">
            <w:pPr>
              <w:pStyle w:val="TableTextRight"/>
            </w:pPr>
            <w:r>
              <w:t>5</w:t>
            </w:r>
          </w:p>
        </w:tc>
        <w:tc>
          <w:tcPr>
            <w:tcW w:w="1021" w:type="dxa"/>
          </w:tcPr>
          <w:p w14:paraId="5F514294" w14:textId="77777777" w:rsidR="00D31BFE" w:rsidRDefault="00D31BFE" w:rsidP="00DA50C0">
            <w:pPr>
              <w:pStyle w:val="TableTextRight"/>
            </w:pPr>
            <w:r>
              <w:t>1</w:t>
            </w:r>
          </w:p>
        </w:tc>
      </w:tr>
      <w:tr w:rsidR="00D31BFE" w14:paraId="7191B94A" w14:textId="77777777" w:rsidTr="002255C8">
        <w:trPr>
          <w:trHeight w:val="60"/>
        </w:trPr>
        <w:tc>
          <w:tcPr>
            <w:tcW w:w="6010" w:type="dxa"/>
          </w:tcPr>
          <w:p w14:paraId="3EDB4D0C" w14:textId="77777777" w:rsidR="00D31BFE" w:rsidRDefault="00D31BFE" w:rsidP="00DA50C0">
            <w:pPr>
              <w:pStyle w:val="TableText"/>
            </w:pPr>
            <w:r>
              <w:t>Official warnings and infringement notices issued</w:t>
            </w:r>
            <w:r>
              <w:rPr>
                <w:vertAlign w:val="superscript"/>
              </w:rPr>
              <w:footnoteReference w:id="12"/>
            </w:r>
          </w:p>
        </w:tc>
        <w:tc>
          <w:tcPr>
            <w:tcW w:w="1021" w:type="dxa"/>
          </w:tcPr>
          <w:p w14:paraId="7E2796F4" w14:textId="77777777" w:rsidR="00D31BFE" w:rsidRDefault="00D31BFE" w:rsidP="00DA50C0">
            <w:pPr>
              <w:pStyle w:val="NoParagraphStyle"/>
              <w:spacing w:line="240" w:lineRule="auto"/>
              <w:textAlignment w:val="auto"/>
              <w:rPr>
                <w:rFonts w:ascii="VIC-SemiBold" w:hAnsi="VIC-SemiBold" w:cstheme="minorBidi"/>
                <w:color w:val="auto"/>
                <w:lang w:val="en-AU"/>
              </w:rPr>
            </w:pPr>
          </w:p>
        </w:tc>
        <w:tc>
          <w:tcPr>
            <w:tcW w:w="1021" w:type="dxa"/>
          </w:tcPr>
          <w:p w14:paraId="4FD7076D" w14:textId="77777777" w:rsidR="00D31BFE" w:rsidRDefault="00D31BFE" w:rsidP="00DA50C0">
            <w:pPr>
              <w:pStyle w:val="TableTextRight"/>
            </w:pPr>
            <w:r>
              <w:t>1,145</w:t>
            </w:r>
          </w:p>
        </w:tc>
        <w:tc>
          <w:tcPr>
            <w:tcW w:w="1021" w:type="dxa"/>
          </w:tcPr>
          <w:p w14:paraId="0744B2F3" w14:textId="77777777" w:rsidR="00D31BFE" w:rsidRDefault="00D31BFE" w:rsidP="00DA50C0">
            <w:pPr>
              <w:pStyle w:val="TableTextRight"/>
            </w:pPr>
            <w:r>
              <w:t>948</w:t>
            </w:r>
          </w:p>
        </w:tc>
      </w:tr>
      <w:tr w:rsidR="00D31BFE" w14:paraId="4CAD0B96" w14:textId="77777777" w:rsidTr="002255C8">
        <w:trPr>
          <w:trHeight w:val="60"/>
        </w:trPr>
        <w:tc>
          <w:tcPr>
            <w:tcW w:w="6010" w:type="dxa"/>
            <w:gridSpan w:val="4"/>
            <w:shd w:val="clear" w:color="auto" w:fill="B2D5F0"/>
          </w:tcPr>
          <w:p w14:paraId="7E7E41BE" w14:textId="77777777" w:rsidR="00D31BFE" w:rsidRDefault="00D31BFE" w:rsidP="00DA50C0">
            <w:pPr>
              <w:pStyle w:val="TableTextBold"/>
            </w:pPr>
            <w:r>
              <w:t>Registration and licensing</w:t>
            </w:r>
          </w:p>
        </w:tc>
      </w:tr>
      <w:tr w:rsidR="00D31BFE" w14:paraId="293FDB5B" w14:textId="77777777" w:rsidTr="002255C8">
        <w:trPr>
          <w:trHeight w:val="60"/>
        </w:trPr>
        <w:tc>
          <w:tcPr>
            <w:tcW w:w="6010" w:type="dxa"/>
          </w:tcPr>
          <w:p w14:paraId="25A2532F" w14:textId="77777777" w:rsidR="00D31BFE" w:rsidRDefault="00D31BFE" w:rsidP="00DA50C0">
            <w:pPr>
              <w:pStyle w:val="TableText"/>
            </w:pPr>
            <w:r>
              <w:t>Annual returns, updates or cancellations processed for incorporated associations, fundraisers and co-operatives</w:t>
            </w:r>
          </w:p>
        </w:tc>
        <w:tc>
          <w:tcPr>
            <w:tcW w:w="1021" w:type="dxa"/>
          </w:tcPr>
          <w:p w14:paraId="5F5DF5CF" w14:textId="77777777" w:rsidR="00D31BFE" w:rsidRDefault="00D31BFE" w:rsidP="00DA50C0">
            <w:pPr>
              <w:pStyle w:val="TableTextRight"/>
            </w:pPr>
            <w:r>
              <w:t>55,217</w:t>
            </w:r>
          </w:p>
        </w:tc>
        <w:tc>
          <w:tcPr>
            <w:tcW w:w="1021" w:type="dxa"/>
          </w:tcPr>
          <w:p w14:paraId="32ABE7D5" w14:textId="77777777" w:rsidR="00D31BFE" w:rsidRDefault="00D31BFE" w:rsidP="00DA50C0">
            <w:pPr>
              <w:pStyle w:val="TableTextRight"/>
            </w:pPr>
            <w:r>
              <w:t>54,786</w:t>
            </w:r>
          </w:p>
        </w:tc>
        <w:tc>
          <w:tcPr>
            <w:tcW w:w="1021" w:type="dxa"/>
          </w:tcPr>
          <w:p w14:paraId="07E9A3DC" w14:textId="77777777" w:rsidR="00D31BFE" w:rsidRDefault="00D31BFE" w:rsidP="00DA50C0">
            <w:pPr>
              <w:pStyle w:val="TableTextRight"/>
            </w:pPr>
            <w:r>
              <w:t>53,451</w:t>
            </w:r>
          </w:p>
        </w:tc>
      </w:tr>
      <w:tr w:rsidR="00D31BFE" w14:paraId="298AE43B" w14:textId="77777777" w:rsidTr="002255C8">
        <w:trPr>
          <w:trHeight w:val="60"/>
        </w:trPr>
        <w:tc>
          <w:tcPr>
            <w:tcW w:w="6010" w:type="dxa"/>
          </w:tcPr>
          <w:p w14:paraId="11CF00E3" w14:textId="77777777" w:rsidR="00D31BFE" w:rsidRDefault="00D31BFE" w:rsidP="00DA50C0">
            <w:pPr>
              <w:pStyle w:val="TableText"/>
            </w:pPr>
            <w:r>
              <w:t>Total registration and licensing transactions</w:t>
            </w:r>
          </w:p>
        </w:tc>
        <w:tc>
          <w:tcPr>
            <w:tcW w:w="1021" w:type="dxa"/>
          </w:tcPr>
          <w:p w14:paraId="4D61BB3D" w14:textId="77777777" w:rsidR="00D31BFE" w:rsidRDefault="00D31BFE" w:rsidP="00DA50C0">
            <w:pPr>
              <w:pStyle w:val="TableTextRight"/>
            </w:pPr>
            <w:r>
              <w:t>91,135</w:t>
            </w:r>
          </w:p>
        </w:tc>
        <w:tc>
          <w:tcPr>
            <w:tcW w:w="1021" w:type="dxa"/>
          </w:tcPr>
          <w:p w14:paraId="3958E488" w14:textId="77777777" w:rsidR="00D31BFE" w:rsidRDefault="00D31BFE" w:rsidP="00DA50C0">
            <w:pPr>
              <w:pStyle w:val="TableTextRight"/>
            </w:pPr>
            <w:r>
              <w:t>94,826</w:t>
            </w:r>
          </w:p>
        </w:tc>
        <w:tc>
          <w:tcPr>
            <w:tcW w:w="1021" w:type="dxa"/>
          </w:tcPr>
          <w:p w14:paraId="2244194A" w14:textId="77777777" w:rsidR="00D31BFE" w:rsidRDefault="00D31BFE" w:rsidP="00DA50C0">
            <w:pPr>
              <w:pStyle w:val="TableTextRight"/>
            </w:pPr>
            <w:r>
              <w:t>91,637</w:t>
            </w:r>
          </w:p>
        </w:tc>
      </w:tr>
    </w:tbl>
    <w:p w14:paraId="6C49BB00" w14:textId="77777777" w:rsidR="00D31BFE" w:rsidRDefault="00D31BFE" w:rsidP="004D56A7">
      <w:pPr>
        <w:pStyle w:val="Heading4"/>
        <w:pageBreakBefore/>
      </w:pPr>
      <w:r>
        <w:lastRenderedPageBreak/>
        <w:t>Underquoting</w:t>
      </w:r>
    </w:p>
    <w:p w14:paraId="6397D593" w14:textId="29386289" w:rsidR="00D31BFE" w:rsidRDefault="00D31BFE" w:rsidP="00D31BFE">
      <w:pPr>
        <w:pStyle w:val="BodyText"/>
      </w:pPr>
      <w:r>
        <w:t>Underquoting is an illegal business practice which causes distress to individuals and undermines consumer confidence in the real estate industry. In 2019–20 CAV undertook a range of compliance and enforcement activities against businesses involved in underquoting. Our enforcement activities start with investigations: if we decide to investigate an agent’s conduct, we may ask them to justify any</w:t>
      </w:r>
      <w:r w:rsidR="000965E1">
        <w:t> </w:t>
      </w:r>
      <w:r>
        <w:t>pricing information they gave to a seller or buyer. If we find that agents have not complied with underquoting laws, the agents risk a penalty of more than $31,000. For more serious offences – such as advertising a property below the estimated selling price – agents may also lose any commission received for selling the property.</w:t>
      </w:r>
    </w:p>
    <w:p w14:paraId="52E95BDE" w14:textId="77777777" w:rsidR="00D31BFE" w:rsidRDefault="00D31BFE" w:rsidP="00D31BFE">
      <w:pPr>
        <w:pStyle w:val="BodyText"/>
      </w:pPr>
      <w:r>
        <w:t>We regularly inspect businesses to check that they are complying with the law, or to investigate when there are signs that a business may not be doing so. In 2019, we investigated Hoskins Maroondah and initiated court proceedings. The Federal Court found that between 2015 and 2016, Hoskins Maroondah advertised 24 properties for sale at prices lower than the company believed they would actually sell for. The estate agency also told vendors that their properties would sell for much less than the agency believed they would, enabling them to claim ‘incentivised commissions’.</w:t>
      </w:r>
    </w:p>
    <w:p w14:paraId="5D7629F7" w14:textId="77777777" w:rsidR="00D31BFE" w:rsidRDefault="00D31BFE" w:rsidP="00D31BFE">
      <w:pPr>
        <w:pStyle w:val="BodyText"/>
      </w:pPr>
      <w:r>
        <w:t>Hoskins Maroondah and its Director, Brent Peters, were ordered to pay $860,000 in fines, $29,550 compensation to two vendors, and $10,000 in costs. The agency was also ordered to publish adverse publicity notices about its illegal conduct, and to implement a three-year compliance program. The compliance program included training agency staff about their legal obligations under the Australian Consumer Law and appointing a compliance officer to ensure the program was effectively designed, delivered and maintained.</w:t>
      </w:r>
    </w:p>
    <w:p w14:paraId="1934CC2A" w14:textId="77777777" w:rsidR="00D31BFE" w:rsidRDefault="00D31BFE" w:rsidP="00D31BFE">
      <w:pPr>
        <w:pStyle w:val="Heading4"/>
      </w:pPr>
      <w:r>
        <w:t>Unlicensed motor car trading and auction houses</w:t>
      </w:r>
    </w:p>
    <w:p w14:paraId="19891C29" w14:textId="77777777" w:rsidR="00D31BFE" w:rsidRDefault="00D31BFE" w:rsidP="00D31BFE">
      <w:pPr>
        <w:pStyle w:val="BodyText"/>
      </w:pPr>
      <w:r>
        <w:t xml:space="preserve">Some motor car traders licensed under the </w:t>
      </w:r>
      <w:r w:rsidRPr="009F0D4B">
        <w:rPr>
          <w:rStyle w:val="Emphasis"/>
        </w:rPr>
        <w:t>Motor Car Traders Act 1986</w:t>
      </w:r>
      <w:r>
        <w:t xml:space="preserve"> have an official endorsement to sell vehicles by auction.</w:t>
      </w:r>
    </w:p>
    <w:p w14:paraId="3C0A0D83" w14:textId="77777777" w:rsidR="00D31BFE" w:rsidRDefault="00D31BFE" w:rsidP="00D31BFE">
      <w:pPr>
        <w:pStyle w:val="BodyText"/>
      </w:pPr>
      <w:r>
        <w:t>A common risk in the industry is that these sellers, also known as auction houses, may involve illegal motor car trading, where they act as a supply source for people selling cars unlawfully. Consumers who buy from unlicensed traders are left exposed, as vehicles will not come with a cooling-off period and other protections available to buyers when dealing with a licensed motor car trader.</w:t>
      </w:r>
    </w:p>
    <w:p w14:paraId="68B53267" w14:textId="77777777" w:rsidR="00D31BFE" w:rsidRDefault="00D31BFE" w:rsidP="00D31BFE">
      <w:pPr>
        <w:pStyle w:val="BodyText"/>
      </w:pPr>
      <w:r>
        <w:t xml:space="preserve">Our compliance and investigations activities led to the conviction of four individuals involved in illegal motor car trading, under the Motor Car Traders Act. Our inspections of vehicle auction house records found the four individuals had bought an unusually high volume of cars, prompting the investigation. The investigation found that all four individuals had been on-selling cars bought at auction houses to unsuspecting consumers. In March 2020, all four individuals were </w:t>
      </w:r>
      <w:proofErr w:type="gramStart"/>
      <w:r>
        <w:t>convicted</w:t>
      </w:r>
      <w:proofErr w:type="gramEnd"/>
      <w:r>
        <w:t xml:space="preserve"> and financial penalties handed down, with fines ranging from $12,500 to $30,000, as well as legal costs.</w:t>
      </w:r>
    </w:p>
    <w:p w14:paraId="0A5B9521" w14:textId="77777777" w:rsidR="00D31BFE" w:rsidRDefault="00D31BFE" w:rsidP="00D31BFE">
      <w:pPr>
        <w:pStyle w:val="Heading4"/>
      </w:pPr>
      <w:bookmarkStart w:id="14" w:name="_Making_it_easier"/>
      <w:bookmarkStart w:id="15" w:name="_Ref55931270"/>
      <w:bookmarkEnd w:id="14"/>
      <w:r>
        <w:t>Making it easier to comply</w:t>
      </w:r>
      <w:bookmarkEnd w:id="15"/>
    </w:p>
    <w:p w14:paraId="7674C231" w14:textId="77777777" w:rsidR="00D31BFE" w:rsidRDefault="00D31BFE" w:rsidP="00D31BFE">
      <w:pPr>
        <w:pStyle w:val="BodyText"/>
      </w:pPr>
      <w:r>
        <w:t>We are committed to making it easier for Victorian businesses to interact with us and comply with the law. This year we continued our work in creating a single, modern information technology system to support our regulatory functions and those of the Business Licensing Authority.</w:t>
      </w:r>
    </w:p>
    <w:p w14:paraId="784ABC45" w14:textId="77777777" w:rsidR="00D31BFE" w:rsidRDefault="00D31BFE" w:rsidP="00D31BFE">
      <w:pPr>
        <w:pStyle w:val="BodyText"/>
      </w:pPr>
      <w:proofErr w:type="spellStart"/>
      <w:r>
        <w:t>myCAV</w:t>
      </w:r>
      <w:proofErr w:type="spellEnd"/>
      <w:r>
        <w:t xml:space="preserve"> is our online portal that allows Victorian businesses to apply for a licence or registration and manage their obligations, with instantaneous updates and lodgements. Following the successful implementation of </w:t>
      </w:r>
      <w:proofErr w:type="spellStart"/>
      <w:r>
        <w:t>myCAV</w:t>
      </w:r>
      <w:proofErr w:type="spellEnd"/>
      <w:r>
        <w:t xml:space="preserve"> for incorporated associations, estate agents, rooming house operators, </w:t>
      </w:r>
      <w:proofErr w:type="gramStart"/>
      <w:r>
        <w:lastRenderedPageBreak/>
        <w:t>owners</w:t>
      </w:r>
      <w:proofErr w:type="gramEnd"/>
      <w:r>
        <w:t xml:space="preserve"> corporation managers and conveyancers, the system was further expanded in October 2019 to manage fundraising registrations.</w:t>
      </w:r>
    </w:p>
    <w:p w14:paraId="6625A79D" w14:textId="77777777" w:rsidR="00D31BFE" w:rsidRDefault="00D31BFE" w:rsidP="00D31BFE">
      <w:pPr>
        <w:pStyle w:val="BodyText"/>
      </w:pPr>
      <w:r>
        <w:t xml:space="preserve">In 2019–20 </w:t>
      </w:r>
      <w:proofErr w:type="spellStart"/>
      <w:r>
        <w:t>myCAV</w:t>
      </w:r>
      <w:proofErr w:type="spellEnd"/>
      <w:r>
        <w:t xml:space="preserve"> has been well-used, with more than:</w:t>
      </w:r>
    </w:p>
    <w:p w14:paraId="4D9C1850" w14:textId="77777777" w:rsidR="00D31BFE" w:rsidRDefault="00D31BFE" w:rsidP="00D31BFE">
      <w:pPr>
        <w:pStyle w:val="ListBullet"/>
      </w:pPr>
      <w:r>
        <w:t>114,900 transactions completed</w:t>
      </w:r>
    </w:p>
    <w:p w14:paraId="785D8C93" w14:textId="77777777" w:rsidR="00D31BFE" w:rsidRDefault="00D31BFE" w:rsidP="00D31BFE">
      <w:pPr>
        <w:pStyle w:val="ListBullet"/>
      </w:pPr>
      <w:r>
        <w:t>99,200 accounts created since its launch.</w:t>
      </w:r>
    </w:p>
    <w:p w14:paraId="37E6E99A" w14:textId="77777777" w:rsidR="00D31BFE" w:rsidRDefault="00D31BFE" w:rsidP="00D31BFE">
      <w:pPr>
        <w:pStyle w:val="BodyText"/>
      </w:pPr>
      <w:r>
        <w:t xml:space="preserve">In 2020–21, </w:t>
      </w:r>
      <w:proofErr w:type="spellStart"/>
      <w:r>
        <w:t>myCAV</w:t>
      </w:r>
      <w:proofErr w:type="spellEnd"/>
      <w:r>
        <w:t xml:space="preserve"> will be expanded to support the Professional Engineers’ Registration Scheme.</w:t>
      </w:r>
    </w:p>
    <w:p w14:paraId="309C78B6" w14:textId="77777777" w:rsidR="00D31BFE" w:rsidRDefault="00D31BFE" w:rsidP="00D31BFE">
      <w:pPr>
        <w:pStyle w:val="Heading4"/>
      </w:pPr>
      <w:r>
        <w:t>Towards zero defalcations</w:t>
      </w:r>
    </w:p>
    <w:p w14:paraId="7DCFA7B1" w14:textId="02586EBE" w:rsidR="00D31BFE" w:rsidRDefault="00D31BFE" w:rsidP="00D31BFE">
      <w:pPr>
        <w:pStyle w:val="BodyText"/>
      </w:pPr>
      <w:r>
        <w:t>Trust account defalcations, meaning the misuse of trust funds, are a significant threat to the stability of</w:t>
      </w:r>
      <w:r w:rsidR="000965E1">
        <w:t> </w:t>
      </w:r>
      <w:r>
        <w:t>the real estate industry and the safety of consumers. Estate agent trust account defalcations are a serious offence and in 2019–20, we set up Project T0D (Towards Zero Defalcations). The project aim was to improve processes and activities so that we detect, respond to and deter trust account defalcations in a rapid, coordinated and effective manner.</w:t>
      </w:r>
    </w:p>
    <w:p w14:paraId="22613FBE" w14:textId="4680EE59" w:rsidR="00D31BFE" w:rsidRDefault="00D31BFE" w:rsidP="00D31BFE">
      <w:pPr>
        <w:pStyle w:val="BodyText"/>
      </w:pPr>
      <w:r>
        <w:t>We worked closely with industry stakeholders and implemented continuous improvement initiatives to</w:t>
      </w:r>
      <w:r w:rsidR="000965E1">
        <w:t> </w:t>
      </w:r>
      <w:r>
        <w:t>strengthen our compliance approach towards estate agent trust account defalcations.</w:t>
      </w:r>
    </w:p>
    <w:p w14:paraId="07D71B0B" w14:textId="77777777" w:rsidR="00D31BFE" w:rsidRDefault="00D31BFE" w:rsidP="00D31BFE">
      <w:pPr>
        <w:pStyle w:val="BodyText"/>
      </w:pPr>
      <w:r>
        <w:t>We increased our proactive compliance monitoring and sought to improve our timely and systematic response to non-compliance.</w:t>
      </w:r>
    </w:p>
    <w:p w14:paraId="62351F41" w14:textId="77777777" w:rsidR="00D31BFE" w:rsidRDefault="00D31BFE" w:rsidP="00D31BFE">
      <w:pPr>
        <w:pStyle w:val="BodyText"/>
      </w:pPr>
      <w:r>
        <w:t>We introduced a pilot program for new ways of detecting non-compliance and leveraged process improvement outcomes to reduce the length of defalcation investigations.</w:t>
      </w:r>
    </w:p>
    <w:p w14:paraId="2AFCEB8A" w14:textId="77777777" w:rsidR="00D31BFE" w:rsidRDefault="00D31BFE" w:rsidP="00D31BFE">
      <w:pPr>
        <w:pStyle w:val="BodyText"/>
      </w:pPr>
      <w:r>
        <w:t xml:space="preserve">As </w:t>
      </w:r>
      <w:proofErr w:type="gramStart"/>
      <w:r>
        <w:t>at</w:t>
      </w:r>
      <w:proofErr w:type="gramEnd"/>
      <w:r>
        <w:t xml:space="preserve"> 30 June 2020, we saw a 38 per cent reduction in the average age of defalcation investigations, compared to the previous year. We also completed an outstanding proportion of investigations, bringing closure to stakeholders awaiting outcomes.</w:t>
      </w:r>
    </w:p>
    <w:p w14:paraId="43E4C854" w14:textId="75A480C3" w:rsidR="00D31BFE" w:rsidRDefault="00D31BFE" w:rsidP="00D31BFE">
      <w:pPr>
        <w:pStyle w:val="BodyText"/>
      </w:pPr>
      <w:r>
        <w:t>We engaged with industry stakeholders in multiple ways. We communicated with key stakeholder the</w:t>
      </w:r>
      <w:r w:rsidR="000965E1">
        <w:t> </w:t>
      </w:r>
      <w:r>
        <w:t xml:space="preserve">Real Estate Institute of Victoria (REIV) to alert the industry to upcoming compliance </w:t>
      </w:r>
      <w:proofErr w:type="gramStart"/>
      <w:r>
        <w:t>activity, and</w:t>
      </w:r>
      <w:proofErr w:type="gramEnd"/>
      <w:r>
        <w:t xml:space="preserve"> conducted a review of online information for estate agent trust accounts. As a result, we updated content on our website, issued a media release, and directly mailed out communications to estate agents and auditors advising them of their trust account management and reporting obligations.</w:t>
      </w:r>
    </w:p>
    <w:p w14:paraId="3AE60506" w14:textId="77777777" w:rsidR="00D31BFE" w:rsidRDefault="00D31BFE" w:rsidP="00D31BFE">
      <w:pPr>
        <w:pStyle w:val="BodyText"/>
      </w:pPr>
      <w:r>
        <w:t>With greater stakeholder engagement and continuous process improvements, we will continue to work towards minimising estate agent trust account defalcations, increasing industry and public confidence in the Victorian marketplace.</w:t>
      </w:r>
    </w:p>
    <w:p w14:paraId="255B8E19" w14:textId="77777777" w:rsidR="00D31BFE" w:rsidRDefault="00D31BFE" w:rsidP="00D31BFE">
      <w:pPr>
        <w:pStyle w:val="Heading4"/>
      </w:pPr>
      <w:r>
        <w:t>Professional Engineers’ Registration Scheme</w:t>
      </w:r>
    </w:p>
    <w:p w14:paraId="44672388" w14:textId="77777777" w:rsidR="00D31BFE" w:rsidRDefault="00D31BFE" w:rsidP="00D31BFE">
      <w:pPr>
        <w:pStyle w:val="BodyText"/>
      </w:pPr>
      <w:r>
        <w:t>The Professional Engineers’ Registration Scheme is designed to ensure that highly-qualified and experienced engineers develop and oversee Victoria’s most important projects – including the Metro Tunnel, West Gate Tunnel and Level Crossing Removal projects. Despite the complex nature of engineering work and the pivotal role engineers play in ensuring public safety, many engineers are currently not required to hold a formal registration or a licence as many other professionals are.</w:t>
      </w:r>
    </w:p>
    <w:p w14:paraId="43CAF910" w14:textId="77777777" w:rsidR="00D31BFE" w:rsidRDefault="00D31BFE" w:rsidP="00D31BFE">
      <w:pPr>
        <w:pStyle w:val="BodyText"/>
      </w:pPr>
      <w:r>
        <w:t xml:space="preserve">In August 2019, Parliament passed the </w:t>
      </w:r>
      <w:r w:rsidRPr="009F0D4B">
        <w:rPr>
          <w:rStyle w:val="Emphasis"/>
        </w:rPr>
        <w:t>Professional Engineers Registration Act 2019</w:t>
      </w:r>
      <w:r>
        <w:t xml:space="preserve">, introducing a state-wide mandatory registration system to ensure professional engineers are appropriately qualified and experienced to practise, with the aim of improving safety, allowing Victorians to make informed </w:t>
      </w:r>
      <w:r>
        <w:lastRenderedPageBreak/>
        <w:t>choices about the engineer they engage and giving Victorians greater confidence in local engineering services, knowing they meet solid industry benchmarks.</w:t>
      </w:r>
    </w:p>
    <w:p w14:paraId="5CC1C0CA" w14:textId="77777777" w:rsidR="00D31BFE" w:rsidRDefault="00D31BFE" w:rsidP="00D31BFE">
      <w:pPr>
        <w:pStyle w:val="BodyText"/>
      </w:pPr>
      <w:r>
        <w:t>We began engagement with professional industry bodies to design the scheme for engineers due under the legislation to commence in 2021, with an extensive transition period to ensure there is no disruption to engineers or businesses. We designed the scheme to meet industry needs, including the promotion of continuing professional development for practitioners.</w:t>
      </w:r>
    </w:p>
    <w:p w14:paraId="100DE764" w14:textId="77777777" w:rsidR="00D31BFE" w:rsidRDefault="00D31BFE" w:rsidP="00D31BFE">
      <w:pPr>
        <w:pStyle w:val="BodyText"/>
      </w:pPr>
      <w:r>
        <w:t>The scheme will initially include five categories of engineering – structural, civil, mechanical, electrical and fire safety – and is designed to allow expansion to further categories of engineering in future. The Victorian Government will continue to work with other states and territories to develop a nationally consistent registration framework for the engineering industry.</w:t>
      </w:r>
    </w:p>
    <w:p w14:paraId="0072B149" w14:textId="77777777" w:rsidR="00D31BFE" w:rsidRDefault="00D31BFE" w:rsidP="00D31BFE">
      <w:pPr>
        <w:pStyle w:val="Heading4"/>
      </w:pPr>
      <w:r>
        <w:t>Enforcement actions</w:t>
      </w:r>
    </w:p>
    <w:p w14:paraId="4B07FBB6" w14:textId="42ECB811" w:rsidR="00D31BFE" w:rsidRDefault="00D31BFE" w:rsidP="00D31BFE">
      <w:pPr>
        <w:pStyle w:val="BodyText"/>
      </w:pPr>
      <w:r>
        <w:t xml:space="preserve">We took a range of enforcement actions in 2019–20. Actions completed or in progress as </w:t>
      </w:r>
      <w:proofErr w:type="gramStart"/>
      <w:r>
        <w:t>at</w:t>
      </w:r>
      <w:proofErr w:type="gramEnd"/>
      <w:r>
        <w:t xml:space="preserve"> 30 June 2020 are outlined in the tables below.</w:t>
      </w:r>
    </w:p>
    <w:p w14:paraId="0C5045D2" w14:textId="77777777" w:rsidR="00D31BFE" w:rsidRDefault="00D31BFE" w:rsidP="00D31BFE">
      <w:pPr>
        <w:pStyle w:val="Heading4"/>
      </w:pPr>
      <w:r>
        <w:t>Enforceable undertakings</w:t>
      </w:r>
    </w:p>
    <w:p w14:paraId="7E9339EA" w14:textId="77777777" w:rsidR="00D31BFE" w:rsidRDefault="00D31BFE" w:rsidP="00D31BFE">
      <w:pPr>
        <w:pStyle w:val="Heading5"/>
      </w:pPr>
      <w:r>
        <w:t>Parties signed to enforceable undertakings</w:t>
      </w:r>
    </w:p>
    <w:tbl>
      <w:tblPr>
        <w:tblStyle w:val="TableGrid"/>
        <w:tblW w:w="0" w:type="auto"/>
        <w:tblLayout w:type="fixed"/>
        <w:tblLook w:val="06A0" w:firstRow="1" w:lastRow="0" w:firstColumn="1" w:lastColumn="0" w:noHBand="1" w:noVBand="1"/>
      </w:tblPr>
      <w:tblGrid>
        <w:gridCol w:w="2835"/>
        <w:gridCol w:w="6803"/>
      </w:tblGrid>
      <w:tr w:rsidR="00D31BFE" w14:paraId="1EBEA3CD" w14:textId="77777777" w:rsidTr="00DA50C0">
        <w:trPr>
          <w:cnfStyle w:val="100000000000" w:firstRow="1" w:lastRow="0" w:firstColumn="0" w:lastColumn="0" w:oddVBand="0" w:evenVBand="0" w:oddHBand="0" w:evenHBand="0" w:firstRowFirstColumn="0" w:firstRowLastColumn="0" w:lastRowFirstColumn="0" w:lastRowLastColumn="0"/>
          <w:trHeight w:val="60"/>
          <w:tblHeader/>
        </w:trPr>
        <w:tc>
          <w:tcPr>
            <w:tcW w:w="2835" w:type="dxa"/>
          </w:tcPr>
          <w:p w14:paraId="7121C1C9" w14:textId="77777777" w:rsidR="00D31BFE" w:rsidRPr="00FC56D9" w:rsidRDefault="00D31BFE" w:rsidP="00DA50C0">
            <w:pPr>
              <w:pStyle w:val="TableColHead"/>
            </w:pPr>
            <w:r w:rsidRPr="00FC56D9">
              <w:t>Legislation</w:t>
            </w:r>
          </w:p>
        </w:tc>
        <w:tc>
          <w:tcPr>
            <w:tcW w:w="6803" w:type="dxa"/>
          </w:tcPr>
          <w:p w14:paraId="37143EEC" w14:textId="77777777" w:rsidR="00D31BFE" w:rsidRDefault="00D31BFE" w:rsidP="00DA50C0">
            <w:pPr>
              <w:pStyle w:val="TableColHead"/>
            </w:pPr>
            <w:r>
              <w:t>Parties</w:t>
            </w:r>
          </w:p>
        </w:tc>
      </w:tr>
      <w:tr w:rsidR="00D31BFE" w14:paraId="299F01B9" w14:textId="77777777" w:rsidTr="00DA50C0">
        <w:trPr>
          <w:trHeight w:val="60"/>
        </w:trPr>
        <w:tc>
          <w:tcPr>
            <w:tcW w:w="2835" w:type="dxa"/>
          </w:tcPr>
          <w:p w14:paraId="129EAE91" w14:textId="77777777" w:rsidR="00D31BFE" w:rsidRPr="009F0D4B" w:rsidRDefault="00D31BFE" w:rsidP="00DA50C0">
            <w:pPr>
              <w:pStyle w:val="TableText"/>
              <w:rPr>
                <w:rStyle w:val="Emphasis"/>
              </w:rPr>
            </w:pPr>
            <w:r w:rsidRPr="009F0D4B">
              <w:rPr>
                <w:rStyle w:val="Emphasis"/>
              </w:rPr>
              <w:t xml:space="preserve">Australian Consumer Law and </w:t>
            </w:r>
            <w:proofErr w:type="gramStart"/>
            <w:r w:rsidRPr="009F0D4B">
              <w:rPr>
                <w:rStyle w:val="Emphasis"/>
              </w:rPr>
              <w:t>Fair Trading</w:t>
            </w:r>
            <w:proofErr w:type="gramEnd"/>
            <w:r w:rsidRPr="009F0D4B">
              <w:rPr>
                <w:rStyle w:val="Emphasis"/>
              </w:rPr>
              <w:t xml:space="preserve"> Act 2012</w:t>
            </w:r>
          </w:p>
        </w:tc>
        <w:tc>
          <w:tcPr>
            <w:tcW w:w="6803" w:type="dxa"/>
          </w:tcPr>
          <w:p w14:paraId="6C9BA1E7" w14:textId="77777777" w:rsidR="00D31BFE" w:rsidRPr="00FC56D9" w:rsidRDefault="00D31BFE" w:rsidP="00DA50C0">
            <w:pPr>
              <w:pStyle w:val="TableText"/>
            </w:pPr>
            <w:r w:rsidRPr="00FC56D9">
              <w:t>In Touch Fashions and Gifts Pty Ltd</w:t>
            </w:r>
          </w:p>
        </w:tc>
      </w:tr>
    </w:tbl>
    <w:p w14:paraId="5411D1C6" w14:textId="77777777" w:rsidR="00D31BFE" w:rsidRDefault="00D31BFE" w:rsidP="00D31BFE">
      <w:pPr>
        <w:pStyle w:val="Heading4"/>
      </w:pPr>
      <w:r>
        <w:t>Court and tribunal matters finalised in 2019–20</w:t>
      </w:r>
    </w:p>
    <w:p w14:paraId="4AA98247" w14:textId="77777777" w:rsidR="00D31BFE" w:rsidRDefault="00D31BFE" w:rsidP="00D31BFE">
      <w:pPr>
        <w:pStyle w:val="Heading5"/>
      </w:pPr>
      <w:r>
        <w:t>Criminal prosecutions finalised</w:t>
      </w:r>
    </w:p>
    <w:tbl>
      <w:tblPr>
        <w:tblStyle w:val="TableGrid"/>
        <w:tblW w:w="0" w:type="auto"/>
        <w:tblLayout w:type="fixed"/>
        <w:tblLook w:val="06A0" w:firstRow="1" w:lastRow="0" w:firstColumn="1" w:lastColumn="0" w:noHBand="1" w:noVBand="1"/>
      </w:tblPr>
      <w:tblGrid>
        <w:gridCol w:w="2835"/>
        <w:gridCol w:w="6803"/>
      </w:tblGrid>
      <w:tr w:rsidR="00D31BFE" w14:paraId="2C3A3B6C" w14:textId="77777777" w:rsidTr="00DA50C0">
        <w:trPr>
          <w:cnfStyle w:val="100000000000" w:firstRow="1" w:lastRow="0" w:firstColumn="0" w:lastColumn="0" w:oddVBand="0" w:evenVBand="0" w:oddHBand="0" w:evenHBand="0" w:firstRowFirstColumn="0" w:firstRowLastColumn="0" w:lastRowFirstColumn="0" w:lastRowLastColumn="0"/>
          <w:trHeight w:val="60"/>
          <w:tblHeader/>
        </w:trPr>
        <w:tc>
          <w:tcPr>
            <w:tcW w:w="2835" w:type="dxa"/>
          </w:tcPr>
          <w:p w14:paraId="63F7C677" w14:textId="77777777" w:rsidR="00D31BFE" w:rsidRDefault="00D31BFE" w:rsidP="00DA50C0">
            <w:pPr>
              <w:pStyle w:val="TableColHead"/>
            </w:pPr>
            <w:r>
              <w:t>Legislation</w:t>
            </w:r>
          </w:p>
        </w:tc>
        <w:tc>
          <w:tcPr>
            <w:tcW w:w="6803" w:type="dxa"/>
          </w:tcPr>
          <w:p w14:paraId="3385B9EB" w14:textId="77777777" w:rsidR="00D31BFE" w:rsidRDefault="00D31BFE" w:rsidP="00DA50C0">
            <w:pPr>
              <w:pStyle w:val="TableColHead"/>
            </w:pPr>
            <w:r>
              <w:t>Parties</w:t>
            </w:r>
          </w:p>
        </w:tc>
      </w:tr>
      <w:tr w:rsidR="00D31BFE" w14:paraId="500CFA78" w14:textId="77777777" w:rsidTr="00DA50C0">
        <w:trPr>
          <w:trHeight w:val="60"/>
        </w:trPr>
        <w:tc>
          <w:tcPr>
            <w:tcW w:w="2835" w:type="dxa"/>
          </w:tcPr>
          <w:p w14:paraId="510669E9" w14:textId="77777777" w:rsidR="00D31BFE" w:rsidRPr="009F0D4B" w:rsidRDefault="00D31BFE" w:rsidP="00DA50C0">
            <w:pPr>
              <w:pStyle w:val="TableText"/>
              <w:rPr>
                <w:rStyle w:val="Emphasis"/>
              </w:rPr>
            </w:pPr>
            <w:r w:rsidRPr="009F0D4B">
              <w:rPr>
                <w:rStyle w:val="Emphasis"/>
              </w:rPr>
              <w:t>Estate Agents Act 1980</w:t>
            </w:r>
          </w:p>
        </w:tc>
        <w:tc>
          <w:tcPr>
            <w:tcW w:w="6803" w:type="dxa"/>
          </w:tcPr>
          <w:p w14:paraId="7E19FB03" w14:textId="77777777" w:rsidR="00D31BFE" w:rsidRDefault="00D31BFE" w:rsidP="00DA50C0">
            <w:pPr>
              <w:pStyle w:val="TableText"/>
            </w:pPr>
            <w:r>
              <w:t>David Alexander Scott Steel</w:t>
            </w:r>
          </w:p>
          <w:p w14:paraId="45BFAD75" w14:textId="77777777" w:rsidR="00D31BFE" w:rsidRDefault="00D31BFE" w:rsidP="00DA50C0">
            <w:pPr>
              <w:pStyle w:val="TableText"/>
            </w:pPr>
            <w:proofErr w:type="spellStart"/>
            <w:r>
              <w:t>Realestate</w:t>
            </w:r>
            <w:proofErr w:type="spellEnd"/>
            <w:r>
              <w:t xml:space="preserve"> Property Pty Ltd</w:t>
            </w:r>
          </w:p>
          <w:p w14:paraId="656E35A5" w14:textId="77777777" w:rsidR="00D31BFE" w:rsidRDefault="00D31BFE" w:rsidP="00DA50C0">
            <w:pPr>
              <w:pStyle w:val="TableText"/>
            </w:pPr>
            <w:r>
              <w:t xml:space="preserve">John William </w:t>
            </w:r>
            <w:proofErr w:type="spellStart"/>
            <w:r>
              <w:t>Petsinis</w:t>
            </w:r>
            <w:proofErr w:type="spellEnd"/>
          </w:p>
        </w:tc>
      </w:tr>
      <w:tr w:rsidR="00D31BFE" w14:paraId="0E6027F9" w14:textId="77777777" w:rsidTr="00DA50C0">
        <w:trPr>
          <w:trHeight w:val="60"/>
        </w:trPr>
        <w:tc>
          <w:tcPr>
            <w:tcW w:w="2835" w:type="dxa"/>
          </w:tcPr>
          <w:p w14:paraId="1CF1AD48" w14:textId="77777777" w:rsidR="00D31BFE" w:rsidRPr="009F0D4B" w:rsidRDefault="00D31BFE" w:rsidP="00DA50C0">
            <w:pPr>
              <w:pStyle w:val="TableText"/>
              <w:rPr>
                <w:rStyle w:val="Emphasis"/>
              </w:rPr>
            </w:pPr>
            <w:r w:rsidRPr="009F0D4B">
              <w:rPr>
                <w:rStyle w:val="Emphasis"/>
              </w:rPr>
              <w:t>Fundraising Act 1998</w:t>
            </w:r>
          </w:p>
        </w:tc>
        <w:tc>
          <w:tcPr>
            <w:tcW w:w="6803" w:type="dxa"/>
          </w:tcPr>
          <w:p w14:paraId="7E9154E8" w14:textId="77777777" w:rsidR="00D31BFE" w:rsidRDefault="00D31BFE" w:rsidP="00DA50C0">
            <w:pPr>
              <w:pStyle w:val="TableText"/>
            </w:pPr>
            <w:r>
              <w:t>John O’Hanlon</w:t>
            </w:r>
          </w:p>
          <w:p w14:paraId="28733980" w14:textId="77777777" w:rsidR="00D31BFE" w:rsidRDefault="00D31BFE" w:rsidP="00DA50C0">
            <w:pPr>
              <w:pStyle w:val="TableText"/>
            </w:pPr>
            <w:r>
              <w:t>Elderly Citizens Help Organisation Inc</w:t>
            </w:r>
          </w:p>
          <w:p w14:paraId="6771A8A8" w14:textId="77777777" w:rsidR="00D31BFE" w:rsidRDefault="00D31BFE" w:rsidP="00DA50C0">
            <w:pPr>
              <w:pStyle w:val="TableText"/>
            </w:pPr>
            <w:r>
              <w:t xml:space="preserve">Michael </w:t>
            </w:r>
            <w:proofErr w:type="spellStart"/>
            <w:r>
              <w:t>Nazzari</w:t>
            </w:r>
            <w:proofErr w:type="spellEnd"/>
          </w:p>
        </w:tc>
      </w:tr>
      <w:tr w:rsidR="00D31BFE" w14:paraId="3055B1E2" w14:textId="77777777" w:rsidTr="00DA50C0">
        <w:trPr>
          <w:trHeight w:val="60"/>
        </w:trPr>
        <w:tc>
          <w:tcPr>
            <w:tcW w:w="2835" w:type="dxa"/>
          </w:tcPr>
          <w:p w14:paraId="19EA475D" w14:textId="77777777" w:rsidR="00D31BFE" w:rsidRPr="009F0D4B" w:rsidRDefault="00D31BFE" w:rsidP="00DA50C0">
            <w:pPr>
              <w:pStyle w:val="TableText"/>
              <w:rPr>
                <w:rStyle w:val="Emphasis"/>
              </w:rPr>
            </w:pPr>
            <w:r w:rsidRPr="009F0D4B">
              <w:rPr>
                <w:rStyle w:val="Emphasis"/>
              </w:rPr>
              <w:t>Retirement Villages Act 1986</w:t>
            </w:r>
          </w:p>
        </w:tc>
        <w:tc>
          <w:tcPr>
            <w:tcW w:w="6803" w:type="dxa"/>
          </w:tcPr>
          <w:p w14:paraId="4BC06E56" w14:textId="77777777" w:rsidR="00D31BFE" w:rsidRDefault="00D31BFE" w:rsidP="00DA50C0">
            <w:pPr>
              <w:pStyle w:val="TableText"/>
            </w:pPr>
            <w:r>
              <w:t>Stephen Snowden</w:t>
            </w:r>
          </w:p>
        </w:tc>
      </w:tr>
      <w:tr w:rsidR="00D31BFE" w14:paraId="1D4C1FC5" w14:textId="77777777" w:rsidTr="00DA50C0">
        <w:trPr>
          <w:trHeight w:val="60"/>
        </w:trPr>
        <w:tc>
          <w:tcPr>
            <w:tcW w:w="2835" w:type="dxa"/>
          </w:tcPr>
          <w:p w14:paraId="6296005E" w14:textId="77777777" w:rsidR="00D31BFE" w:rsidRPr="009F0D4B" w:rsidRDefault="00D31BFE" w:rsidP="00DA50C0">
            <w:pPr>
              <w:pStyle w:val="TableText"/>
              <w:rPr>
                <w:rStyle w:val="Emphasis"/>
              </w:rPr>
            </w:pPr>
            <w:r w:rsidRPr="009F0D4B">
              <w:rPr>
                <w:rStyle w:val="Emphasis"/>
              </w:rPr>
              <w:t>Motor Car Traders Act 1986</w:t>
            </w:r>
          </w:p>
        </w:tc>
        <w:tc>
          <w:tcPr>
            <w:tcW w:w="6803" w:type="dxa"/>
          </w:tcPr>
          <w:p w14:paraId="2F990B1D" w14:textId="77777777" w:rsidR="00D31BFE" w:rsidRDefault="00D31BFE" w:rsidP="00DA50C0">
            <w:pPr>
              <w:pStyle w:val="TableText"/>
            </w:pPr>
            <w:proofErr w:type="spellStart"/>
            <w:r>
              <w:t>Taleb</w:t>
            </w:r>
            <w:proofErr w:type="spellEnd"/>
            <w:r>
              <w:t xml:space="preserve"> </w:t>
            </w:r>
            <w:proofErr w:type="spellStart"/>
            <w:r>
              <w:t>Youseff</w:t>
            </w:r>
            <w:proofErr w:type="spellEnd"/>
          </w:p>
        </w:tc>
      </w:tr>
    </w:tbl>
    <w:p w14:paraId="02720566" w14:textId="77777777" w:rsidR="00DA50C0" w:rsidRPr="00DA50C0" w:rsidRDefault="00DA50C0" w:rsidP="00DA50C0">
      <w:pPr>
        <w:pStyle w:val="BodyText"/>
      </w:pPr>
      <w:r w:rsidRPr="00DA50C0">
        <w:br w:type="page"/>
      </w:r>
    </w:p>
    <w:p w14:paraId="0C6B7FF1" w14:textId="4231901A" w:rsidR="00D31BFE" w:rsidRDefault="00D31BFE" w:rsidP="00D31BFE">
      <w:pPr>
        <w:pStyle w:val="Heading5"/>
      </w:pPr>
      <w:r>
        <w:lastRenderedPageBreak/>
        <w:t>Civil proceedings finalised (including disciplinary inquiry and appeals)</w:t>
      </w:r>
    </w:p>
    <w:tbl>
      <w:tblPr>
        <w:tblStyle w:val="TableGrid"/>
        <w:tblW w:w="0" w:type="auto"/>
        <w:tblLayout w:type="fixed"/>
        <w:tblLook w:val="06A0" w:firstRow="1" w:lastRow="0" w:firstColumn="1" w:lastColumn="0" w:noHBand="1" w:noVBand="1"/>
      </w:tblPr>
      <w:tblGrid>
        <w:gridCol w:w="2835"/>
        <w:gridCol w:w="6803"/>
      </w:tblGrid>
      <w:tr w:rsidR="00D31BFE" w14:paraId="79C08A5B" w14:textId="77777777" w:rsidTr="00DA50C0">
        <w:trPr>
          <w:cnfStyle w:val="100000000000" w:firstRow="1" w:lastRow="0" w:firstColumn="0" w:lastColumn="0" w:oddVBand="0" w:evenVBand="0" w:oddHBand="0" w:evenHBand="0" w:firstRowFirstColumn="0" w:firstRowLastColumn="0" w:lastRowFirstColumn="0" w:lastRowLastColumn="0"/>
          <w:trHeight w:val="60"/>
          <w:tblHeader/>
        </w:trPr>
        <w:tc>
          <w:tcPr>
            <w:tcW w:w="2835" w:type="dxa"/>
          </w:tcPr>
          <w:p w14:paraId="1317FCF2" w14:textId="77777777" w:rsidR="00D31BFE" w:rsidRDefault="00D31BFE" w:rsidP="00DA50C0">
            <w:pPr>
              <w:pStyle w:val="TableColHead"/>
            </w:pPr>
            <w:r>
              <w:t>Legislation</w:t>
            </w:r>
          </w:p>
        </w:tc>
        <w:tc>
          <w:tcPr>
            <w:tcW w:w="6803" w:type="dxa"/>
          </w:tcPr>
          <w:p w14:paraId="1A4F92D4" w14:textId="77777777" w:rsidR="00D31BFE" w:rsidRDefault="00D31BFE" w:rsidP="00DA50C0">
            <w:pPr>
              <w:pStyle w:val="TableColHead"/>
            </w:pPr>
            <w:r>
              <w:t>Parties</w:t>
            </w:r>
          </w:p>
        </w:tc>
      </w:tr>
      <w:tr w:rsidR="00D31BFE" w14:paraId="2F42AE16" w14:textId="77777777" w:rsidTr="00DA50C0">
        <w:trPr>
          <w:trHeight w:val="60"/>
        </w:trPr>
        <w:tc>
          <w:tcPr>
            <w:tcW w:w="2835" w:type="dxa"/>
          </w:tcPr>
          <w:p w14:paraId="6A88BFDD" w14:textId="77777777" w:rsidR="00D31BFE" w:rsidRPr="009F0D4B" w:rsidRDefault="00D31BFE" w:rsidP="00DA50C0">
            <w:pPr>
              <w:pStyle w:val="TableText"/>
              <w:rPr>
                <w:rStyle w:val="Emphasis"/>
              </w:rPr>
            </w:pPr>
            <w:r w:rsidRPr="009F0D4B">
              <w:rPr>
                <w:rStyle w:val="Emphasis"/>
              </w:rPr>
              <w:t>Estate Agents Act 1980</w:t>
            </w:r>
          </w:p>
        </w:tc>
        <w:tc>
          <w:tcPr>
            <w:tcW w:w="6803" w:type="dxa"/>
          </w:tcPr>
          <w:p w14:paraId="1B357667" w14:textId="77777777" w:rsidR="00D31BFE" w:rsidRDefault="00D31BFE" w:rsidP="00DA50C0">
            <w:pPr>
              <w:pStyle w:val="TableText"/>
            </w:pPr>
            <w:r>
              <w:t>Property Express Pty Ltd</w:t>
            </w:r>
          </w:p>
          <w:p w14:paraId="6D0BFD38" w14:textId="77777777" w:rsidR="00D31BFE" w:rsidRDefault="00D31BFE" w:rsidP="00DA50C0">
            <w:pPr>
              <w:pStyle w:val="TableText"/>
            </w:pPr>
            <w:r>
              <w:t>Dean Anthony Johnson</w:t>
            </w:r>
          </w:p>
          <w:p w14:paraId="7FFE4932" w14:textId="77777777" w:rsidR="00D31BFE" w:rsidRDefault="00D31BFE" w:rsidP="00DA50C0">
            <w:pPr>
              <w:pStyle w:val="TableText"/>
            </w:pPr>
            <w:r>
              <w:t>Darren James Dean</w:t>
            </w:r>
          </w:p>
          <w:p w14:paraId="594B0D1B" w14:textId="77777777" w:rsidR="00D31BFE" w:rsidRDefault="00D31BFE" w:rsidP="00DA50C0">
            <w:pPr>
              <w:pStyle w:val="TableText"/>
            </w:pPr>
            <w:r>
              <w:t xml:space="preserve">Irena </w:t>
            </w:r>
            <w:proofErr w:type="spellStart"/>
            <w:r>
              <w:t>Tsan</w:t>
            </w:r>
            <w:proofErr w:type="spellEnd"/>
          </w:p>
        </w:tc>
      </w:tr>
      <w:tr w:rsidR="00D31BFE" w14:paraId="47AE5327" w14:textId="77777777" w:rsidTr="00DA50C0">
        <w:trPr>
          <w:trHeight w:val="60"/>
        </w:trPr>
        <w:tc>
          <w:tcPr>
            <w:tcW w:w="2835" w:type="dxa"/>
          </w:tcPr>
          <w:p w14:paraId="2C1D3D56" w14:textId="77777777" w:rsidR="00D31BFE" w:rsidRPr="009F0D4B" w:rsidRDefault="00D31BFE" w:rsidP="00DA50C0">
            <w:pPr>
              <w:pStyle w:val="TableText"/>
              <w:rPr>
                <w:rStyle w:val="Emphasis"/>
              </w:rPr>
            </w:pPr>
            <w:r w:rsidRPr="009F0D4B">
              <w:rPr>
                <w:rStyle w:val="Emphasis"/>
              </w:rPr>
              <w:t>Residential Tenancies Act 1997</w:t>
            </w:r>
          </w:p>
        </w:tc>
        <w:tc>
          <w:tcPr>
            <w:tcW w:w="6803" w:type="dxa"/>
          </w:tcPr>
          <w:p w14:paraId="78C6E0AF" w14:textId="77777777" w:rsidR="00D31BFE" w:rsidRDefault="00D31BFE" w:rsidP="00DA50C0">
            <w:pPr>
              <w:pStyle w:val="TableText"/>
            </w:pPr>
            <w:r>
              <w:t xml:space="preserve">Lee Young v J &amp; A </w:t>
            </w:r>
            <w:proofErr w:type="spellStart"/>
            <w:r>
              <w:t>Masini</w:t>
            </w:r>
            <w:proofErr w:type="spellEnd"/>
            <w:r>
              <w:t xml:space="preserve"> (DCAV joined)</w:t>
            </w:r>
          </w:p>
          <w:p w14:paraId="00A68E9E" w14:textId="77777777" w:rsidR="00D31BFE" w:rsidRDefault="00D31BFE" w:rsidP="00DA50C0">
            <w:pPr>
              <w:pStyle w:val="TableText"/>
            </w:pPr>
            <w:proofErr w:type="spellStart"/>
            <w:r>
              <w:t>Bintu</w:t>
            </w:r>
            <w:proofErr w:type="spellEnd"/>
            <w:r>
              <w:t xml:space="preserve"> </w:t>
            </w:r>
            <w:proofErr w:type="spellStart"/>
            <w:r>
              <w:t>Turay</w:t>
            </w:r>
            <w:proofErr w:type="spellEnd"/>
            <w:r>
              <w:t xml:space="preserve"> v Michael Wright (DVCAT joined)</w:t>
            </w:r>
          </w:p>
          <w:p w14:paraId="10B9EC63" w14:textId="77777777" w:rsidR="00D31BFE" w:rsidRDefault="00D31BFE" w:rsidP="00DA50C0">
            <w:pPr>
              <w:pStyle w:val="TableText"/>
            </w:pPr>
            <w:r>
              <w:t>Matthew Hunter (DCAV joined)</w:t>
            </w:r>
          </w:p>
        </w:tc>
      </w:tr>
      <w:tr w:rsidR="00D31BFE" w14:paraId="708AB78C" w14:textId="77777777" w:rsidTr="00DA50C0">
        <w:trPr>
          <w:trHeight w:val="60"/>
        </w:trPr>
        <w:tc>
          <w:tcPr>
            <w:tcW w:w="2835" w:type="dxa"/>
          </w:tcPr>
          <w:p w14:paraId="05B8E590" w14:textId="77777777" w:rsidR="00D31BFE" w:rsidRPr="009F0D4B" w:rsidRDefault="00D31BFE" w:rsidP="00DA50C0">
            <w:pPr>
              <w:pStyle w:val="TableText"/>
              <w:rPr>
                <w:rStyle w:val="Emphasis"/>
              </w:rPr>
            </w:pPr>
            <w:r w:rsidRPr="009F0D4B">
              <w:rPr>
                <w:rStyle w:val="Emphasis"/>
              </w:rPr>
              <w:t xml:space="preserve">Australian Consumer Law and </w:t>
            </w:r>
            <w:proofErr w:type="gramStart"/>
            <w:r w:rsidRPr="009F0D4B">
              <w:rPr>
                <w:rStyle w:val="Emphasis"/>
              </w:rPr>
              <w:t>Fair Trading</w:t>
            </w:r>
            <w:proofErr w:type="gramEnd"/>
            <w:r w:rsidRPr="009F0D4B">
              <w:rPr>
                <w:rStyle w:val="Emphasis"/>
              </w:rPr>
              <w:t xml:space="preserve"> Act 2012</w:t>
            </w:r>
          </w:p>
        </w:tc>
        <w:tc>
          <w:tcPr>
            <w:tcW w:w="6803" w:type="dxa"/>
          </w:tcPr>
          <w:p w14:paraId="214B6DC7" w14:textId="77777777" w:rsidR="00D31BFE" w:rsidRDefault="00D31BFE" w:rsidP="00DA50C0">
            <w:pPr>
              <w:pStyle w:val="TableText"/>
            </w:pPr>
            <w:r>
              <w:t>Hoskins Maroondah Pty Ltd</w:t>
            </w:r>
          </w:p>
          <w:p w14:paraId="65BF2210" w14:textId="77777777" w:rsidR="00D31BFE" w:rsidRDefault="00D31BFE" w:rsidP="00DA50C0">
            <w:pPr>
              <w:pStyle w:val="TableText"/>
            </w:pPr>
            <w:r>
              <w:t>Brent Robert Peters</w:t>
            </w:r>
          </w:p>
        </w:tc>
      </w:tr>
      <w:tr w:rsidR="00D31BFE" w14:paraId="6D8594A2" w14:textId="77777777" w:rsidTr="00DA50C0">
        <w:trPr>
          <w:trHeight w:val="60"/>
        </w:trPr>
        <w:tc>
          <w:tcPr>
            <w:tcW w:w="2835" w:type="dxa"/>
          </w:tcPr>
          <w:p w14:paraId="14B059BE" w14:textId="77777777" w:rsidR="00D31BFE" w:rsidRPr="009F0D4B" w:rsidRDefault="00D31BFE" w:rsidP="00DA50C0">
            <w:pPr>
              <w:pStyle w:val="TableText"/>
              <w:rPr>
                <w:rStyle w:val="Emphasis"/>
              </w:rPr>
            </w:pPr>
            <w:r w:rsidRPr="009F0D4B">
              <w:rPr>
                <w:rStyle w:val="Emphasis"/>
              </w:rPr>
              <w:t>Second-Hand Dealers and Pawnbrokers Act 1989</w:t>
            </w:r>
          </w:p>
        </w:tc>
        <w:tc>
          <w:tcPr>
            <w:tcW w:w="6803" w:type="dxa"/>
          </w:tcPr>
          <w:p w14:paraId="4C6F8672" w14:textId="77777777" w:rsidR="00D31BFE" w:rsidRDefault="00D31BFE" w:rsidP="00DA50C0">
            <w:pPr>
              <w:pStyle w:val="TableText"/>
            </w:pPr>
            <w:r>
              <w:t>Aaron Ladner</w:t>
            </w:r>
          </w:p>
        </w:tc>
      </w:tr>
      <w:tr w:rsidR="00D31BFE" w14:paraId="09F1EE6D" w14:textId="77777777" w:rsidTr="00DA50C0">
        <w:trPr>
          <w:trHeight w:val="60"/>
        </w:trPr>
        <w:tc>
          <w:tcPr>
            <w:tcW w:w="2835" w:type="dxa"/>
          </w:tcPr>
          <w:p w14:paraId="38A40729" w14:textId="77777777" w:rsidR="00D31BFE" w:rsidRPr="009F0D4B" w:rsidRDefault="00D31BFE" w:rsidP="00DA50C0">
            <w:pPr>
              <w:pStyle w:val="TableText"/>
              <w:rPr>
                <w:rStyle w:val="Emphasis"/>
              </w:rPr>
            </w:pPr>
            <w:r w:rsidRPr="009F0D4B">
              <w:rPr>
                <w:rStyle w:val="Emphasis"/>
              </w:rPr>
              <w:t>Freedom of Information Act 1982</w:t>
            </w:r>
          </w:p>
        </w:tc>
        <w:tc>
          <w:tcPr>
            <w:tcW w:w="6803" w:type="dxa"/>
          </w:tcPr>
          <w:p w14:paraId="07B37090" w14:textId="77777777" w:rsidR="00D31BFE" w:rsidRDefault="00D31BFE" w:rsidP="00DA50C0">
            <w:pPr>
              <w:pStyle w:val="TableText"/>
            </w:pPr>
            <w:r>
              <w:t>Colin Rounds</w:t>
            </w:r>
          </w:p>
        </w:tc>
      </w:tr>
      <w:tr w:rsidR="00D31BFE" w14:paraId="28B7B934" w14:textId="77777777" w:rsidTr="00DA50C0">
        <w:trPr>
          <w:trHeight w:val="60"/>
        </w:trPr>
        <w:tc>
          <w:tcPr>
            <w:tcW w:w="2835" w:type="dxa"/>
          </w:tcPr>
          <w:p w14:paraId="21548239" w14:textId="77777777" w:rsidR="00D31BFE" w:rsidRPr="009F0D4B" w:rsidRDefault="00D31BFE" w:rsidP="00DA50C0">
            <w:pPr>
              <w:pStyle w:val="TableText"/>
              <w:rPr>
                <w:rStyle w:val="Emphasis"/>
              </w:rPr>
            </w:pPr>
            <w:r w:rsidRPr="009F0D4B">
              <w:rPr>
                <w:rStyle w:val="Emphasis"/>
              </w:rPr>
              <w:t>Motor Car Traders Act 1986</w:t>
            </w:r>
          </w:p>
        </w:tc>
        <w:tc>
          <w:tcPr>
            <w:tcW w:w="6803" w:type="dxa"/>
          </w:tcPr>
          <w:p w14:paraId="42148825" w14:textId="77777777" w:rsidR="00D31BFE" w:rsidRDefault="00D31BFE" w:rsidP="00DA50C0">
            <w:pPr>
              <w:pStyle w:val="TableText"/>
            </w:pPr>
            <w:r>
              <w:t>Bo Li</w:t>
            </w:r>
          </w:p>
        </w:tc>
      </w:tr>
    </w:tbl>
    <w:p w14:paraId="2B48B77D" w14:textId="77777777" w:rsidR="00D31BFE" w:rsidRDefault="00D31BFE" w:rsidP="00D31BFE">
      <w:pPr>
        <w:pStyle w:val="Heading5"/>
      </w:pPr>
      <w:r>
        <w:t>Administrative/judicial review completed on behalf of the Business Licensing Authority (BLA)</w:t>
      </w:r>
    </w:p>
    <w:tbl>
      <w:tblPr>
        <w:tblStyle w:val="TableGrid"/>
        <w:tblW w:w="0" w:type="auto"/>
        <w:tblLayout w:type="fixed"/>
        <w:tblLook w:val="06A0" w:firstRow="1" w:lastRow="0" w:firstColumn="1" w:lastColumn="0" w:noHBand="1" w:noVBand="1"/>
      </w:tblPr>
      <w:tblGrid>
        <w:gridCol w:w="2835"/>
        <w:gridCol w:w="6803"/>
      </w:tblGrid>
      <w:tr w:rsidR="00D31BFE" w14:paraId="6E996796" w14:textId="77777777" w:rsidTr="00DA50C0">
        <w:trPr>
          <w:cnfStyle w:val="100000000000" w:firstRow="1" w:lastRow="0" w:firstColumn="0" w:lastColumn="0" w:oddVBand="0" w:evenVBand="0" w:oddHBand="0" w:evenHBand="0" w:firstRowFirstColumn="0" w:firstRowLastColumn="0" w:lastRowFirstColumn="0" w:lastRowLastColumn="0"/>
          <w:trHeight w:val="60"/>
          <w:tblHeader/>
        </w:trPr>
        <w:tc>
          <w:tcPr>
            <w:tcW w:w="2835" w:type="dxa"/>
          </w:tcPr>
          <w:p w14:paraId="1FB407B6" w14:textId="77777777" w:rsidR="00D31BFE" w:rsidRDefault="00D31BFE" w:rsidP="00DA50C0">
            <w:pPr>
              <w:pStyle w:val="TableColHead"/>
            </w:pPr>
            <w:r>
              <w:t>Legislation</w:t>
            </w:r>
          </w:p>
        </w:tc>
        <w:tc>
          <w:tcPr>
            <w:tcW w:w="6803" w:type="dxa"/>
          </w:tcPr>
          <w:p w14:paraId="589887AA" w14:textId="77777777" w:rsidR="00D31BFE" w:rsidRDefault="00D31BFE" w:rsidP="00DA50C0">
            <w:pPr>
              <w:pStyle w:val="TableColHead"/>
            </w:pPr>
            <w:r>
              <w:t>Parties</w:t>
            </w:r>
          </w:p>
        </w:tc>
      </w:tr>
      <w:tr w:rsidR="00D31BFE" w14:paraId="662261F6" w14:textId="77777777" w:rsidTr="00DA50C0">
        <w:trPr>
          <w:trHeight w:val="60"/>
        </w:trPr>
        <w:tc>
          <w:tcPr>
            <w:tcW w:w="2835" w:type="dxa"/>
          </w:tcPr>
          <w:p w14:paraId="0E27D5BD" w14:textId="77777777" w:rsidR="00D31BFE" w:rsidRPr="009F0D4B" w:rsidRDefault="00D31BFE" w:rsidP="00DA50C0">
            <w:pPr>
              <w:pStyle w:val="TableText"/>
              <w:rPr>
                <w:rStyle w:val="Emphasis"/>
              </w:rPr>
            </w:pPr>
            <w:r w:rsidRPr="009F0D4B">
              <w:rPr>
                <w:rStyle w:val="Emphasis"/>
              </w:rPr>
              <w:t>Estate Agents Act 1980</w:t>
            </w:r>
          </w:p>
        </w:tc>
        <w:tc>
          <w:tcPr>
            <w:tcW w:w="6803" w:type="dxa"/>
          </w:tcPr>
          <w:p w14:paraId="293F6B09" w14:textId="77777777" w:rsidR="00D31BFE" w:rsidRDefault="00D31BFE" w:rsidP="00DA50C0">
            <w:pPr>
              <w:pStyle w:val="TableText"/>
            </w:pPr>
            <w:r>
              <w:t>Vipin Khatri</w:t>
            </w:r>
          </w:p>
          <w:p w14:paraId="00F9F4AA" w14:textId="77777777" w:rsidR="00D31BFE" w:rsidRDefault="00D31BFE" w:rsidP="00DA50C0">
            <w:pPr>
              <w:pStyle w:val="TableText"/>
            </w:pPr>
            <w:r>
              <w:t xml:space="preserve">Diana </w:t>
            </w:r>
            <w:proofErr w:type="spellStart"/>
            <w:r>
              <w:t>Powney</w:t>
            </w:r>
            <w:proofErr w:type="spellEnd"/>
          </w:p>
          <w:p w14:paraId="102BE0AC" w14:textId="77777777" w:rsidR="00D31BFE" w:rsidRDefault="00D31BFE" w:rsidP="00DA50C0">
            <w:pPr>
              <w:pStyle w:val="TableText"/>
            </w:pPr>
            <w:proofErr w:type="spellStart"/>
            <w:r>
              <w:t>Sanjeet</w:t>
            </w:r>
            <w:proofErr w:type="spellEnd"/>
            <w:r>
              <w:t xml:space="preserve"> </w:t>
            </w:r>
            <w:proofErr w:type="spellStart"/>
            <w:r>
              <w:t>Pahil</w:t>
            </w:r>
            <w:proofErr w:type="spellEnd"/>
          </w:p>
          <w:p w14:paraId="7E56E1D3" w14:textId="77777777" w:rsidR="00D31BFE" w:rsidRDefault="00D31BFE" w:rsidP="00DA50C0">
            <w:pPr>
              <w:pStyle w:val="TableText"/>
            </w:pPr>
            <w:r>
              <w:t>Ismail Cengiz</w:t>
            </w:r>
          </w:p>
        </w:tc>
      </w:tr>
    </w:tbl>
    <w:p w14:paraId="5014F7CD" w14:textId="77777777" w:rsidR="00D31BFE" w:rsidRDefault="00D31BFE" w:rsidP="00D31BFE">
      <w:pPr>
        <w:pStyle w:val="Heading4"/>
      </w:pPr>
      <w:r>
        <w:t xml:space="preserve">Ongoing court matters as </w:t>
      </w:r>
      <w:proofErr w:type="gramStart"/>
      <w:r>
        <w:t>at</w:t>
      </w:r>
      <w:proofErr w:type="gramEnd"/>
      <w:r>
        <w:t xml:space="preserve"> 30 June 2020</w:t>
      </w:r>
    </w:p>
    <w:p w14:paraId="4F7360B8" w14:textId="77777777" w:rsidR="00D31BFE" w:rsidRDefault="00D31BFE" w:rsidP="00D31BFE">
      <w:pPr>
        <w:pStyle w:val="Heading5"/>
      </w:pPr>
      <w:r>
        <w:t>Criminal prosecution</w:t>
      </w:r>
    </w:p>
    <w:tbl>
      <w:tblPr>
        <w:tblStyle w:val="TableGrid"/>
        <w:tblW w:w="0" w:type="auto"/>
        <w:tblLayout w:type="fixed"/>
        <w:tblLook w:val="06A0" w:firstRow="1" w:lastRow="0" w:firstColumn="1" w:lastColumn="0" w:noHBand="1" w:noVBand="1"/>
      </w:tblPr>
      <w:tblGrid>
        <w:gridCol w:w="2835"/>
        <w:gridCol w:w="6803"/>
      </w:tblGrid>
      <w:tr w:rsidR="00D31BFE" w14:paraId="46F962AE" w14:textId="77777777" w:rsidTr="00DA50C0">
        <w:trPr>
          <w:cnfStyle w:val="100000000000" w:firstRow="1" w:lastRow="0" w:firstColumn="0" w:lastColumn="0" w:oddVBand="0" w:evenVBand="0" w:oddHBand="0" w:evenHBand="0" w:firstRowFirstColumn="0" w:firstRowLastColumn="0" w:lastRowFirstColumn="0" w:lastRowLastColumn="0"/>
          <w:trHeight w:val="60"/>
          <w:tblHeader/>
        </w:trPr>
        <w:tc>
          <w:tcPr>
            <w:tcW w:w="2835" w:type="dxa"/>
          </w:tcPr>
          <w:p w14:paraId="1852463E" w14:textId="77777777" w:rsidR="00D31BFE" w:rsidRDefault="00D31BFE" w:rsidP="00DA50C0">
            <w:pPr>
              <w:pStyle w:val="TableColHead"/>
            </w:pPr>
            <w:r>
              <w:t>Legislation</w:t>
            </w:r>
          </w:p>
        </w:tc>
        <w:tc>
          <w:tcPr>
            <w:tcW w:w="6803" w:type="dxa"/>
          </w:tcPr>
          <w:p w14:paraId="275D725F" w14:textId="77777777" w:rsidR="00D31BFE" w:rsidRDefault="00D31BFE" w:rsidP="00DA50C0">
            <w:pPr>
              <w:pStyle w:val="TableColHead"/>
            </w:pPr>
            <w:r>
              <w:t>Parties</w:t>
            </w:r>
          </w:p>
        </w:tc>
      </w:tr>
      <w:tr w:rsidR="00D31BFE" w14:paraId="5C1D280D" w14:textId="77777777" w:rsidTr="00DA50C0">
        <w:trPr>
          <w:trHeight w:val="60"/>
        </w:trPr>
        <w:tc>
          <w:tcPr>
            <w:tcW w:w="2835" w:type="dxa"/>
          </w:tcPr>
          <w:p w14:paraId="684B8194" w14:textId="77777777" w:rsidR="00D31BFE" w:rsidRPr="009F0D4B" w:rsidRDefault="00D31BFE" w:rsidP="00DA50C0">
            <w:pPr>
              <w:pStyle w:val="TableText"/>
              <w:rPr>
                <w:rStyle w:val="Emphasis"/>
              </w:rPr>
            </w:pPr>
            <w:r w:rsidRPr="009F0D4B">
              <w:rPr>
                <w:rStyle w:val="Emphasis"/>
              </w:rPr>
              <w:t>Estate Agents Act 1980</w:t>
            </w:r>
          </w:p>
        </w:tc>
        <w:tc>
          <w:tcPr>
            <w:tcW w:w="6803" w:type="dxa"/>
          </w:tcPr>
          <w:p w14:paraId="33B6F8D6" w14:textId="77777777" w:rsidR="00D31BFE" w:rsidRDefault="00D31BFE" w:rsidP="00DA50C0">
            <w:pPr>
              <w:pStyle w:val="TableText"/>
            </w:pPr>
            <w:r>
              <w:t>Ranelagh Realty Property</w:t>
            </w:r>
          </w:p>
          <w:p w14:paraId="0D74FD11" w14:textId="77777777" w:rsidR="00D31BFE" w:rsidRDefault="00D31BFE" w:rsidP="00DA50C0">
            <w:pPr>
              <w:pStyle w:val="TableText"/>
            </w:pPr>
            <w:r>
              <w:t>Helen Sly</w:t>
            </w:r>
          </w:p>
        </w:tc>
      </w:tr>
      <w:tr w:rsidR="00D31BFE" w14:paraId="25C3FD3E" w14:textId="77777777" w:rsidTr="00DA50C0">
        <w:trPr>
          <w:trHeight w:val="60"/>
        </w:trPr>
        <w:tc>
          <w:tcPr>
            <w:tcW w:w="2835" w:type="dxa"/>
          </w:tcPr>
          <w:p w14:paraId="6596615F" w14:textId="77777777" w:rsidR="00D31BFE" w:rsidRPr="009F0D4B" w:rsidRDefault="00D31BFE" w:rsidP="00DA50C0">
            <w:pPr>
              <w:pStyle w:val="TableText"/>
              <w:rPr>
                <w:rStyle w:val="Emphasis"/>
              </w:rPr>
            </w:pPr>
            <w:r w:rsidRPr="009F0D4B">
              <w:rPr>
                <w:rStyle w:val="Emphasis"/>
              </w:rPr>
              <w:t>Motor Car Traders Act 1986</w:t>
            </w:r>
          </w:p>
        </w:tc>
        <w:tc>
          <w:tcPr>
            <w:tcW w:w="6803" w:type="dxa"/>
          </w:tcPr>
          <w:p w14:paraId="552273DE" w14:textId="77777777" w:rsidR="00D31BFE" w:rsidRDefault="00D31BFE" w:rsidP="00DA50C0">
            <w:pPr>
              <w:pStyle w:val="TableText"/>
            </w:pPr>
            <w:proofErr w:type="spellStart"/>
            <w:r>
              <w:t>Zehar</w:t>
            </w:r>
            <w:proofErr w:type="spellEnd"/>
            <w:r>
              <w:t xml:space="preserve"> Saoud</w:t>
            </w:r>
          </w:p>
        </w:tc>
      </w:tr>
      <w:tr w:rsidR="00D31BFE" w14:paraId="35D0AF78" w14:textId="77777777" w:rsidTr="00DA50C0">
        <w:trPr>
          <w:trHeight w:val="60"/>
        </w:trPr>
        <w:tc>
          <w:tcPr>
            <w:tcW w:w="2835" w:type="dxa"/>
          </w:tcPr>
          <w:p w14:paraId="6AD6F515" w14:textId="77777777" w:rsidR="00D31BFE" w:rsidRPr="009F0D4B" w:rsidRDefault="00D31BFE" w:rsidP="00DA50C0">
            <w:pPr>
              <w:pStyle w:val="TableText"/>
              <w:rPr>
                <w:rStyle w:val="Emphasis"/>
              </w:rPr>
            </w:pPr>
            <w:r w:rsidRPr="009F0D4B">
              <w:rPr>
                <w:rStyle w:val="Emphasis"/>
              </w:rPr>
              <w:t>Residential Tenancies Act 1997</w:t>
            </w:r>
          </w:p>
        </w:tc>
        <w:tc>
          <w:tcPr>
            <w:tcW w:w="6803" w:type="dxa"/>
          </w:tcPr>
          <w:p w14:paraId="5385245C" w14:textId="77777777" w:rsidR="00D31BFE" w:rsidRDefault="00D31BFE" w:rsidP="00DA50C0">
            <w:pPr>
              <w:pStyle w:val="TableText"/>
            </w:pPr>
            <w:proofErr w:type="spellStart"/>
            <w:r>
              <w:t>Omry</w:t>
            </w:r>
            <w:proofErr w:type="spellEnd"/>
            <w:r>
              <w:t xml:space="preserve"> Shani</w:t>
            </w:r>
          </w:p>
        </w:tc>
      </w:tr>
      <w:tr w:rsidR="00D31BFE" w14:paraId="4BA592D2" w14:textId="77777777" w:rsidTr="00DA50C0">
        <w:trPr>
          <w:trHeight w:val="60"/>
        </w:trPr>
        <w:tc>
          <w:tcPr>
            <w:tcW w:w="2835" w:type="dxa"/>
          </w:tcPr>
          <w:p w14:paraId="21E86477" w14:textId="77777777" w:rsidR="00D31BFE" w:rsidRPr="009F0D4B" w:rsidRDefault="00D31BFE" w:rsidP="00DA50C0">
            <w:pPr>
              <w:pStyle w:val="TableText"/>
              <w:rPr>
                <w:rStyle w:val="Emphasis"/>
              </w:rPr>
            </w:pPr>
            <w:r w:rsidRPr="009F0D4B">
              <w:rPr>
                <w:rStyle w:val="Emphasis"/>
              </w:rPr>
              <w:t>Conveyancers Act 2006</w:t>
            </w:r>
          </w:p>
        </w:tc>
        <w:tc>
          <w:tcPr>
            <w:tcW w:w="6803" w:type="dxa"/>
          </w:tcPr>
          <w:p w14:paraId="6B62E2D9" w14:textId="77777777" w:rsidR="00D31BFE" w:rsidRDefault="00D31BFE" w:rsidP="00DA50C0">
            <w:pPr>
              <w:pStyle w:val="TableText"/>
            </w:pPr>
            <w:r>
              <w:t>Eric Hans Richmond</w:t>
            </w:r>
          </w:p>
        </w:tc>
      </w:tr>
    </w:tbl>
    <w:p w14:paraId="0A2FB2E8" w14:textId="77777777" w:rsidR="00E324F1" w:rsidRPr="00E324F1" w:rsidRDefault="00E324F1" w:rsidP="00E324F1">
      <w:pPr>
        <w:pStyle w:val="BodyText"/>
      </w:pPr>
      <w:r w:rsidRPr="00E324F1">
        <w:br w:type="page"/>
      </w:r>
    </w:p>
    <w:p w14:paraId="29FE6306" w14:textId="72BE50D3" w:rsidR="00D31BFE" w:rsidRDefault="00D31BFE" w:rsidP="00D31BFE">
      <w:pPr>
        <w:pStyle w:val="Heading5"/>
      </w:pPr>
      <w:r>
        <w:lastRenderedPageBreak/>
        <w:t>Civil proceedings (including disciplinary inquiry)</w:t>
      </w:r>
    </w:p>
    <w:tbl>
      <w:tblPr>
        <w:tblStyle w:val="TableGrid"/>
        <w:tblW w:w="0" w:type="auto"/>
        <w:tblLayout w:type="fixed"/>
        <w:tblLook w:val="06A0" w:firstRow="1" w:lastRow="0" w:firstColumn="1" w:lastColumn="0" w:noHBand="1" w:noVBand="1"/>
      </w:tblPr>
      <w:tblGrid>
        <w:gridCol w:w="2835"/>
        <w:gridCol w:w="6803"/>
      </w:tblGrid>
      <w:tr w:rsidR="00D31BFE" w14:paraId="0ABEA2E7" w14:textId="77777777" w:rsidTr="00DA50C0">
        <w:trPr>
          <w:cnfStyle w:val="100000000000" w:firstRow="1" w:lastRow="0" w:firstColumn="0" w:lastColumn="0" w:oddVBand="0" w:evenVBand="0" w:oddHBand="0" w:evenHBand="0" w:firstRowFirstColumn="0" w:firstRowLastColumn="0" w:lastRowFirstColumn="0" w:lastRowLastColumn="0"/>
          <w:trHeight w:val="60"/>
          <w:tblHeader/>
        </w:trPr>
        <w:tc>
          <w:tcPr>
            <w:tcW w:w="2835" w:type="dxa"/>
          </w:tcPr>
          <w:p w14:paraId="1F29A3C4" w14:textId="77777777" w:rsidR="00D31BFE" w:rsidRDefault="00D31BFE" w:rsidP="00DA50C0">
            <w:pPr>
              <w:pStyle w:val="TableColHead"/>
            </w:pPr>
            <w:r>
              <w:t>Legislation</w:t>
            </w:r>
          </w:p>
        </w:tc>
        <w:tc>
          <w:tcPr>
            <w:tcW w:w="6803" w:type="dxa"/>
          </w:tcPr>
          <w:p w14:paraId="1B7C4DBA" w14:textId="77777777" w:rsidR="00D31BFE" w:rsidRDefault="00D31BFE" w:rsidP="00DA50C0">
            <w:pPr>
              <w:pStyle w:val="TableColHead"/>
            </w:pPr>
            <w:r>
              <w:t>Parties</w:t>
            </w:r>
          </w:p>
        </w:tc>
      </w:tr>
      <w:tr w:rsidR="00D31BFE" w14:paraId="002D6488" w14:textId="77777777" w:rsidTr="00DA50C0">
        <w:trPr>
          <w:trHeight w:val="60"/>
        </w:trPr>
        <w:tc>
          <w:tcPr>
            <w:tcW w:w="2835" w:type="dxa"/>
          </w:tcPr>
          <w:p w14:paraId="4E7C3296" w14:textId="77777777" w:rsidR="00D31BFE" w:rsidRPr="009F0D4B" w:rsidRDefault="00D31BFE" w:rsidP="00DA50C0">
            <w:pPr>
              <w:pStyle w:val="TableText"/>
              <w:rPr>
                <w:rStyle w:val="Emphasis"/>
              </w:rPr>
            </w:pPr>
            <w:r w:rsidRPr="009F0D4B">
              <w:rPr>
                <w:rStyle w:val="Emphasis"/>
              </w:rPr>
              <w:t>Estate Agents Act 1980</w:t>
            </w:r>
          </w:p>
        </w:tc>
        <w:tc>
          <w:tcPr>
            <w:tcW w:w="6803" w:type="dxa"/>
          </w:tcPr>
          <w:p w14:paraId="0DAD86F4" w14:textId="77777777" w:rsidR="00D31BFE" w:rsidRDefault="00D31BFE" w:rsidP="00DA50C0">
            <w:pPr>
              <w:pStyle w:val="TableText"/>
            </w:pPr>
            <w:r>
              <w:t>Surinder Saran</w:t>
            </w:r>
          </w:p>
          <w:p w14:paraId="551EE5AD" w14:textId="77777777" w:rsidR="00D31BFE" w:rsidRDefault="00D31BFE" w:rsidP="00DA50C0">
            <w:pPr>
              <w:pStyle w:val="TableText"/>
            </w:pPr>
            <w:r>
              <w:t xml:space="preserve">The </w:t>
            </w:r>
            <w:proofErr w:type="spellStart"/>
            <w:r>
              <w:t>Sarain</w:t>
            </w:r>
            <w:proofErr w:type="spellEnd"/>
            <w:r>
              <w:t xml:space="preserve"> Pty Ltd</w:t>
            </w:r>
          </w:p>
          <w:p w14:paraId="1D5E100A" w14:textId="77777777" w:rsidR="00D31BFE" w:rsidRDefault="00D31BFE" w:rsidP="00DA50C0">
            <w:pPr>
              <w:pStyle w:val="TableText"/>
            </w:pPr>
            <w:r>
              <w:t>Thomas Aloysius</w:t>
            </w:r>
          </w:p>
          <w:p w14:paraId="3C9A2294" w14:textId="77777777" w:rsidR="00D31BFE" w:rsidRDefault="00D31BFE" w:rsidP="00DA50C0">
            <w:pPr>
              <w:pStyle w:val="TableText"/>
            </w:pPr>
            <w:proofErr w:type="spellStart"/>
            <w:r>
              <w:t>Tsun</w:t>
            </w:r>
            <w:proofErr w:type="spellEnd"/>
            <w:r>
              <w:t xml:space="preserve"> Ngai Lee</w:t>
            </w:r>
          </w:p>
        </w:tc>
      </w:tr>
      <w:tr w:rsidR="00D31BFE" w14:paraId="49CAC1DC" w14:textId="77777777" w:rsidTr="00DA50C0">
        <w:trPr>
          <w:trHeight w:val="60"/>
        </w:trPr>
        <w:tc>
          <w:tcPr>
            <w:tcW w:w="2835" w:type="dxa"/>
          </w:tcPr>
          <w:p w14:paraId="687663EF" w14:textId="77777777" w:rsidR="00D31BFE" w:rsidRPr="009F0D4B" w:rsidRDefault="00D31BFE" w:rsidP="00DA50C0">
            <w:pPr>
              <w:pStyle w:val="TableText"/>
              <w:rPr>
                <w:rStyle w:val="Emphasis"/>
              </w:rPr>
            </w:pPr>
            <w:r w:rsidRPr="009F0D4B">
              <w:rPr>
                <w:rStyle w:val="Emphasis"/>
              </w:rPr>
              <w:t xml:space="preserve">Australian Consumer Law and </w:t>
            </w:r>
            <w:proofErr w:type="gramStart"/>
            <w:r w:rsidRPr="009F0D4B">
              <w:rPr>
                <w:rStyle w:val="Emphasis"/>
              </w:rPr>
              <w:t>Fair Trading</w:t>
            </w:r>
            <w:proofErr w:type="gramEnd"/>
            <w:r w:rsidRPr="009F0D4B">
              <w:rPr>
                <w:rStyle w:val="Emphasis"/>
              </w:rPr>
              <w:t xml:space="preserve"> Act 2012 and ACL</w:t>
            </w:r>
          </w:p>
        </w:tc>
        <w:tc>
          <w:tcPr>
            <w:tcW w:w="6803" w:type="dxa"/>
          </w:tcPr>
          <w:p w14:paraId="20E4C050" w14:textId="77777777" w:rsidR="00D31BFE" w:rsidRDefault="00D31BFE" w:rsidP="00DA50C0">
            <w:pPr>
              <w:pStyle w:val="TableText"/>
            </w:pPr>
            <w:r>
              <w:t>Vic Solar Technologies Pty Ltd</w:t>
            </w:r>
          </w:p>
          <w:p w14:paraId="02B281ED" w14:textId="77777777" w:rsidR="00D31BFE" w:rsidRDefault="00D31BFE" w:rsidP="00DA50C0">
            <w:pPr>
              <w:pStyle w:val="TableText"/>
            </w:pPr>
            <w:r>
              <w:t>Sunny Srinivasan</w:t>
            </w:r>
          </w:p>
          <w:p w14:paraId="152F11CE" w14:textId="77777777" w:rsidR="00D31BFE" w:rsidRDefault="00D31BFE" w:rsidP="00DA50C0">
            <w:pPr>
              <w:pStyle w:val="TableText"/>
            </w:pPr>
            <w:r>
              <w:t>Colliers International (Victoria) Pty Ltd</w:t>
            </w:r>
          </w:p>
        </w:tc>
      </w:tr>
      <w:tr w:rsidR="00D31BFE" w14:paraId="4A1D1B7E" w14:textId="77777777" w:rsidTr="00DA50C0">
        <w:trPr>
          <w:trHeight w:val="60"/>
        </w:trPr>
        <w:tc>
          <w:tcPr>
            <w:tcW w:w="2835" w:type="dxa"/>
          </w:tcPr>
          <w:p w14:paraId="027C0458" w14:textId="77777777" w:rsidR="00D31BFE" w:rsidRPr="009F0D4B" w:rsidRDefault="00D31BFE" w:rsidP="00DA50C0">
            <w:pPr>
              <w:pStyle w:val="TableText"/>
              <w:rPr>
                <w:rStyle w:val="Emphasis"/>
              </w:rPr>
            </w:pPr>
            <w:r w:rsidRPr="009F0D4B">
              <w:rPr>
                <w:rStyle w:val="Emphasis"/>
              </w:rPr>
              <w:t>Freedom of Information Act 1982</w:t>
            </w:r>
          </w:p>
        </w:tc>
        <w:tc>
          <w:tcPr>
            <w:tcW w:w="6803" w:type="dxa"/>
          </w:tcPr>
          <w:p w14:paraId="6ABF5B43" w14:textId="77777777" w:rsidR="00D31BFE" w:rsidRDefault="00D31BFE" w:rsidP="00DA50C0">
            <w:pPr>
              <w:pStyle w:val="TableText"/>
            </w:pPr>
            <w:r>
              <w:t xml:space="preserve">Samuel </w:t>
            </w:r>
            <w:proofErr w:type="spellStart"/>
            <w:r>
              <w:t>Cyprys</w:t>
            </w:r>
            <w:proofErr w:type="spellEnd"/>
          </w:p>
        </w:tc>
      </w:tr>
      <w:tr w:rsidR="00D31BFE" w14:paraId="2A757506" w14:textId="77777777" w:rsidTr="00DA50C0">
        <w:trPr>
          <w:trHeight w:val="60"/>
        </w:trPr>
        <w:tc>
          <w:tcPr>
            <w:tcW w:w="2835" w:type="dxa"/>
          </w:tcPr>
          <w:p w14:paraId="59B48ECF" w14:textId="77777777" w:rsidR="00D31BFE" w:rsidRPr="009F0D4B" w:rsidRDefault="00D31BFE" w:rsidP="00DA50C0">
            <w:pPr>
              <w:pStyle w:val="TableText"/>
              <w:rPr>
                <w:rStyle w:val="Emphasis"/>
              </w:rPr>
            </w:pPr>
            <w:r w:rsidRPr="009F0D4B">
              <w:rPr>
                <w:rStyle w:val="Emphasis"/>
              </w:rPr>
              <w:t>Residential Tenancies Act 1997</w:t>
            </w:r>
          </w:p>
        </w:tc>
        <w:tc>
          <w:tcPr>
            <w:tcW w:w="6803" w:type="dxa"/>
          </w:tcPr>
          <w:p w14:paraId="7ED77376" w14:textId="77777777" w:rsidR="00D31BFE" w:rsidRDefault="00D31BFE" w:rsidP="00DA50C0">
            <w:pPr>
              <w:pStyle w:val="TableText"/>
            </w:pPr>
            <w:proofErr w:type="spellStart"/>
            <w:r>
              <w:t>Elhan</w:t>
            </w:r>
            <w:proofErr w:type="spellEnd"/>
            <w:r>
              <w:t xml:space="preserve"> v Teoh (DCAV joined)</w:t>
            </w:r>
          </w:p>
        </w:tc>
      </w:tr>
      <w:tr w:rsidR="00D31BFE" w14:paraId="57A6A101" w14:textId="77777777" w:rsidTr="00DA50C0">
        <w:trPr>
          <w:trHeight w:val="60"/>
        </w:trPr>
        <w:tc>
          <w:tcPr>
            <w:tcW w:w="2835" w:type="dxa"/>
          </w:tcPr>
          <w:p w14:paraId="77172418" w14:textId="77777777" w:rsidR="00D31BFE" w:rsidRPr="009F0D4B" w:rsidRDefault="00D31BFE" w:rsidP="00DA50C0">
            <w:pPr>
              <w:pStyle w:val="TableText"/>
              <w:rPr>
                <w:rStyle w:val="Emphasis"/>
              </w:rPr>
            </w:pPr>
            <w:r w:rsidRPr="009F0D4B">
              <w:rPr>
                <w:rStyle w:val="Emphasis"/>
              </w:rPr>
              <w:t>Fundraising Act 1998</w:t>
            </w:r>
          </w:p>
        </w:tc>
        <w:tc>
          <w:tcPr>
            <w:tcW w:w="6803" w:type="dxa"/>
          </w:tcPr>
          <w:p w14:paraId="4DD0A068" w14:textId="77777777" w:rsidR="00D31BFE" w:rsidRDefault="00D31BFE" w:rsidP="00DA50C0">
            <w:pPr>
              <w:pStyle w:val="TableText"/>
            </w:pPr>
            <w:r>
              <w:t>Pets Haven Foundation Limited (× 2 proceedings)</w:t>
            </w:r>
          </w:p>
        </w:tc>
      </w:tr>
    </w:tbl>
    <w:p w14:paraId="2E7B7A6E" w14:textId="77777777" w:rsidR="00D31BFE" w:rsidRDefault="00D31BFE" w:rsidP="00D31BFE">
      <w:pPr>
        <w:pStyle w:val="Heading5"/>
      </w:pPr>
      <w:r>
        <w:t>Administrative review on behalf of the BLA and Motor Car Traders Claims Committee (MCTCC)</w:t>
      </w:r>
    </w:p>
    <w:p w14:paraId="5214AA59" w14:textId="77777777" w:rsidR="00D31BFE" w:rsidRDefault="00D31BFE" w:rsidP="00D31BFE">
      <w:pPr>
        <w:pStyle w:val="BodyText"/>
      </w:pPr>
      <w:r>
        <w:t>(Reviews on behalf of the MCTCC are indicated by asterisk)</w:t>
      </w:r>
    </w:p>
    <w:tbl>
      <w:tblPr>
        <w:tblStyle w:val="TableGrid"/>
        <w:tblW w:w="0" w:type="auto"/>
        <w:tblLayout w:type="fixed"/>
        <w:tblLook w:val="06A0" w:firstRow="1" w:lastRow="0" w:firstColumn="1" w:lastColumn="0" w:noHBand="1" w:noVBand="1"/>
      </w:tblPr>
      <w:tblGrid>
        <w:gridCol w:w="2835"/>
        <w:gridCol w:w="6803"/>
      </w:tblGrid>
      <w:tr w:rsidR="00D31BFE" w14:paraId="6DC65192" w14:textId="77777777" w:rsidTr="00DA50C0">
        <w:trPr>
          <w:cnfStyle w:val="100000000000" w:firstRow="1" w:lastRow="0" w:firstColumn="0" w:lastColumn="0" w:oddVBand="0" w:evenVBand="0" w:oddHBand="0" w:evenHBand="0" w:firstRowFirstColumn="0" w:firstRowLastColumn="0" w:lastRowFirstColumn="0" w:lastRowLastColumn="0"/>
          <w:trHeight w:val="60"/>
          <w:tblHeader/>
        </w:trPr>
        <w:tc>
          <w:tcPr>
            <w:tcW w:w="2835" w:type="dxa"/>
          </w:tcPr>
          <w:p w14:paraId="7DD7F0BE" w14:textId="77777777" w:rsidR="00D31BFE" w:rsidRDefault="00D31BFE" w:rsidP="00DA50C0">
            <w:pPr>
              <w:pStyle w:val="TableColHead"/>
            </w:pPr>
            <w:r>
              <w:t>Legislation</w:t>
            </w:r>
          </w:p>
        </w:tc>
        <w:tc>
          <w:tcPr>
            <w:tcW w:w="6803" w:type="dxa"/>
          </w:tcPr>
          <w:p w14:paraId="603BB61D" w14:textId="77777777" w:rsidR="00D31BFE" w:rsidRDefault="00D31BFE" w:rsidP="00DA50C0">
            <w:pPr>
              <w:pStyle w:val="TableColHead"/>
            </w:pPr>
            <w:r>
              <w:t>Parties</w:t>
            </w:r>
          </w:p>
        </w:tc>
      </w:tr>
      <w:tr w:rsidR="00D31BFE" w14:paraId="1D7E16AE" w14:textId="77777777" w:rsidTr="00DA50C0">
        <w:trPr>
          <w:trHeight w:val="60"/>
        </w:trPr>
        <w:tc>
          <w:tcPr>
            <w:tcW w:w="2835" w:type="dxa"/>
          </w:tcPr>
          <w:p w14:paraId="6C34427A" w14:textId="77777777" w:rsidR="00D31BFE" w:rsidRPr="009F0D4B" w:rsidRDefault="00D31BFE" w:rsidP="00DA50C0">
            <w:pPr>
              <w:pStyle w:val="TableText"/>
              <w:rPr>
                <w:rStyle w:val="Emphasis"/>
              </w:rPr>
            </w:pPr>
            <w:r w:rsidRPr="009F0D4B">
              <w:rPr>
                <w:rStyle w:val="Emphasis"/>
              </w:rPr>
              <w:t>Estate Agents Act 1980</w:t>
            </w:r>
          </w:p>
        </w:tc>
        <w:tc>
          <w:tcPr>
            <w:tcW w:w="6803" w:type="dxa"/>
          </w:tcPr>
          <w:p w14:paraId="2BE726A7" w14:textId="77777777" w:rsidR="00D31BFE" w:rsidRDefault="00D31BFE" w:rsidP="00DA50C0">
            <w:pPr>
              <w:pStyle w:val="TableText"/>
            </w:pPr>
            <w:r>
              <w:t>Harald Simon Michaelis</w:t>
            </w:r>
          </w:p>
          <w:p w14:paraId="5DC29089" w14:textId="77777777" w:rsidR="00D31BFE" w:rsidRDefault="00D31BFE" w:rsidP="00DA50C0">
            <w:pPr>
              <w:pStyle w:val="TableText"/>
            </w:pPr>
            <w:r>
              <w:t>Borg</w:t>
            </w:r>
          </w:p>
          <w:p w14:paraId="0C2FB6A2" w14:textId="77777777" w:rsidR="00D31BFE" w:rsidRDefault="00D31BFE" w:rsidP="00DA50C0">
            <w:pPr>
              <w:pStyle w:val="TableText"/>
            </w:pPr>
            <w:proofErr w:type="spellStart"/>
            <w:r>
              <w:t>Erdal</w:t>
            </w:r>
            <w:proofErr w:type="spellEnd"/>
            <w:r>
              <w:t xml:space="preserve"> </w:t>
            </w:r>
            <w:proofErr w:type="spellStart"/>
            <w:r>
              <w:t>Karaagac</w:t>
            </w:r>
            <w:proofErr w:type="spellEnd"/>
          </w:p>
        </w:tc>
      </w:tr>
      <w:tr w:rsidR="00D31BFE" w14:paraId="215270C8" w14:textId="77777777" w:rsidTr="00DA50C0">
        <w:trPr>
          <w:trHeight w:val="60"/>
        </w:trPr>
        <w:tc>
          <w:tcPr>
            <w:tcW w:w="2835" w:type="dxa"/>
          </w:tcPr>
          <w:p w14:paraId="0938E309" w14:textId="77777777" w:rsidR="00D31BFE" w:rsidRPr="009F0D4B" w:rsidRDefault="00D31BFE" w:rsidP="00DA50C0">
            <w:pPr>
              <w:pStyle w:val="TableText"/>
              <w:rPr>
                <w:rStyle w:val="Emphasis"/>
              </w:rPr>
            </w:pPr>
            <w:r w:rsidRPr="009F0D4B">
              <w:rPr>
                <w:rStyle w:val="Emphasis"/>
              </w:rPr>
              <w:t>Second-Hand Dealers and Pawnbrokers Act 1989</w:t>
            </w:r>
          </w:p>
        </w:tc>
        <w:tc>
          <w:tcPr>
            <w:tcW w:w="6803" w:type="dxa"/>
          </w:tcPr>
          <w:p w14:paraId="666A913B" w14:textId="77777777" w:rsidR="00D31BFE" w:rsidRDefault="00D31BFE" w:rsidP="00DA50C0">
            <w:pPr>
              <w:pStyle w:val="TableText"/>
            </w:pPr>
            <w:r>
              <w:t>Aaron Ladner</w:t>
            </w:r>
          </w:p>
        </w:tc>
      </w:tr>
      <w:tr w:rsidR="00D31BFE" w14:paraId="681731B3" w14:textId="77777777" w:rsidTr="00DA50C0">
        <w:trPr>
          <w:trHeight w:val="60"/>
        </w:trPr>
        <w:tc>
          <w:tcPr>
            <w:tcW w:w="2835" w:type="dxa"/>
          </w:tcPr>
          <w:p w14:paraId="72BD7528" w14:textId="77777777" w:rsidR="00D31BFE" w:rsidRPr="009F0D4B" w:rsidRDefault="00D31BFE" w:rsidP="00DA50C0">
            <w:pPr>
              <w:pStyle w:val="TableText"/>
              <w:rPr>
                <w:rStyle w:val="Emphasis"/>
              </w:rPr>
            </w:pPr>
            <w:r w:rsidRPr="009F0D4B">
              <w:rPr>
                <w:rStyle w:val="Emphasis"/>
              </w:rPr>
              <w:t>Motor Car Traders Act 1996</w:t>
            </w:r>
          </w:p>
        </w:tc>
        <w:tc>
          <w:tcPr>
            <w:tcW w:w="6803" w:type="dxa"/>
          </w:tcPr>
          <w:p w14:paraId="69446AD4" w14:textId="77777777" w:rsidR="00D31BFE" w:rsidRDefault="00D31BFE" w:rsidP="00DA50C0">
            <w:pPr>
              <w:pStyle w:val="TableText"/>
            </w:pPr>
            <w:r>
              <w:t>Western Auto Exchanges Pty Ltd*</w:t>
            </w:r>
          </w:p>
          <w:p w14:paraId="00C3250E" w14:textId="77777777" w:rsidR="00D31BFE" w:rsidRDefault="00D31BFE" w:rsidP="00DA50C0">
            <w:pPr>
              <w:pStyle w:val="TableText"/>
            </w:pPr>
            <w:r>
              <w:t>Simon Ogle*</w:t>
            </w:r>
          </w:p>
          <w:p w14:paraId="59713BFD" w14:textId="77777777" w:rsidR="00D31BFE" w:rsidRDefault="00D31BFE" w:rsidP="00DA50C0">
            <w:pPr>
              <w:pStyle w:val="TableText"/>
            </w:pPr>
            <w:r>
              <w:t>Rajinder Kumar</w:t>
            </w:r>
          </w:p>
        </w:tc>
      </w:tr>
    </w:tbl>
    <w:p w14:paraId="5AB5EA9E" w14:textId="77777777" w:rsidR="00E324F1" w:rsidRPr="00E324F1" w:rsidRDefault="00E324F1" w:rsidP="00E324F1">
      <w:pPr>
        <w:pStyle w:val="BodyText"/>
      </w:pPr>
      <w:r w:rsidRPr="00E324F1">
        <w:br w:type="page"/>
      </w:r>
    </w:p>
    <w:p w14:paraId="5CDA8EB2" w14:textId="4C9712B8" w:rsidR="00D31BFE" w:rsidRDefault="00D31BFE" w:rsidP="00D31BFE">
      <w:pPr>
        <w:pStyle w:val="Heading4"/>
      </w:pPr>
      <w:r>
        <w:lastRenderedPageBreak/>
        <w:t>Registers we administer</w:t>
      </w:r>
    </w:p>
    <w:p w14:paraId="47A1275E" w14:textId="77777777" w:rsidR="00D31BFE" w:rsidRDefault="00D31BFE" w:rsidP="00D31BFE">
      <w:pPr>
        <w:pStyle w:val="BodyText"/>
      </w:pPr>
      <w:r>
        <w:t>These are outlined in Table 3.</w:t>
      </w:r>
    </w:p>
    <w:p w14:paraId="0C701FC9" w14:textId="77777777" w:rsidR="00D31BFE" w:rsidRDefault="00D31BFE" w:rsidP="00D31BFE">
      <w:pPr>
        <w:pStyle w:val="Caption"/>
      </w:pPr>
      <w:r>
        <w:t>Table 3: Registers administered by Consumer Affairs Victoria</w:t>
      </w:r>
    </w:p>
    <w:tbl>
      <w:tblPr>
        <w:tblStyle w:val="TableGrid"/>
        <w:tblW w:w="9072" w:type="dxa"/>
        <w:tblLayout w:type="fixed"/>
        <w:tblLook w:val="06A0" w:firstRow="1" w:lastRow="0" w:firstColumn="1" w:lastColumn="0" w:noHBand="1" w:noVBand="1"/>
      </w:tblPr>
      <w:tblGrid>
        <w:gridCol w:w="3018"/>
        <w:gridCol w:w="1009"/>
        <w:gridCol w:w="1009"/>
        <w:gridCol w:w="1009"/>
        <w:gridCol w:w="1009"/>
        <w:gridCol w:w="1009"/>
        <w:gridCol w:w="1009"/>
      </w:tblGrid>
      <w:tr w:rsidR="00D31BFE" w14:paraId="210BF9DE" w14:textId="77777777" w:rsidTr="00E324F1">
        <w:trPr>
          <w:cnfStyle w:val="100000000000" w:firstRow="1" w:lastRow="0" w:firstColumn="0" w:lastColumn="0" w:oddVBand="0" w:evenVBand="0" w:oddHBand="0" w:evenHBand="0" w:firstRowFirstColumn="0" w:firstRowLastColumn="0" w:lastRowFirstColumn="0" w:lastRowLastColumn="0"/>
          <w:trHeight w:val="68"/>
          <w:tblHeader/>
        </w:trPr>
        <w:tc>
          <w:tcPr>
            <w:tcW w:w="3062" w:type="dxa"/>
            <w:vMerge w:val="restart"/>
          </w:tcPr>
          <w:p w14:paraId="4480254E" w14:textId="77777777" w:rsidR="00D31BFE" w:rsidRDefault="00D31BFE" w:rsidP="00DA50C0">
            <w:pPr>
              <w:pStyle w:val="TableColHead"/>
            </w:pPr>
          </w:p>
        </w:tc>
        <w:tc>
          <w:tcPr>
            <w:tcW w:w="1021" w:type="dxa"/>
            <w:gridSpan w:val="3"/>
          </w:tcPr>
          <w:p w14:paraId="0323FF86" w14:textId="77777777" w:rsidR="00D31BFE" w:rsidRDefault="00D31BFE" w:rsidP="00E324F1">
            <w:pPr>
              <w:pStyle w:val="TableColHead"/>
              <w:jc w:val="center"/>
            </w:pPr>
            <w:r>
              <w:t>New applications lodged</w:t>
            </w:r>
          </w:p>
        </w:tc>
        <w:tc>
          <w:tcPr>
            <w:tcW w:w="1021" w:type="dxa"/>
            <w:gridSpan w:val="3"/>
          </w:tcPr>
          <w:p w14:paraId="170E7785" w14:textId="77777777" w:rsidR="00D31BFE" w:rsidRDefault="00D31BFE" w:rsidP="00E324F1">
            <w:pPr>
              <w:pStyle w:val="TableColHead"/>
              <w:jc w:val="center"/>
            </w:pPr>
            <w:r>
              <w:t>Total on register</w:t>
            </w:r>
          </w:p>
        </w:tc>
      </w:tr>
      <w:tr w:rsidR="00D31BFE" w14:paraId="0795F131" w14:textId="77777777" w:rsidTr="00E324F1">
        <w:trPr>
          <w:cnfStyle w:val="100000000000" w:firstRow="1" w:lastRow="0" w:firstColumn="0" w:lastColumn="0" w:oddVBand="0" w:evenVBand="0" w:oddHBand="0" w:evenHBand="0" w:firstRowFirstColumn="0" w:firstRowLastColumn="0" w:lastRowFirstColumn="0" w:lastRowLastColumn="0"/>
          <w:trHeight w:val="68"/>
          <w:tblHeader/>
        </w:trPr>
        <w:tc>
          <w:tcPr>
            <w:tcW w:w="3062" w:type="dxa"/>
            <w:vMerge/>
          </w:tcPr>
          <w:p w14:paraId="637D8E3E" w14:textId="77777777" w:rsidR="00D31BFE" w:rsidRDefault="00D31BFE" w:rsidP="00DA50C0">
            <w:pPr>
              <w:pStyle w:val="NoParagraphStyle"/>
              <w:spacing w:line="240" w:lineRule="auto"/>
              <w:textAlignment w:val="auto"/>
              <w:rPr>
                <w:rFonts w:ascii="VIC-SemiBold" w:hAnsi="VIC-SemiBold" w:cstheme="minorBidi"/>
                <w:color w:val="auto"/>
                <w:lang w:val="en-AU"/>
              </w:rPr>
            </w:pPr>
          </w:p>
        </w:tc>
        <w:tc>
          <w:tcPr>
            <w:tcW w:w="1021" w:type="dxa"/>
          </w:tcPr>
          <w:p w14:paraId="62C6BD22" w14:textId="77777777" w:rsidR="00D31BFE" w:rsidRDefault="00D31BFE" w:rsidP="00DA50C0">
            <w:pPr>
              <w:pStyle w:val="TableColHeadRight"/>
            </w:pPr>
            <w:r>
              <w:t>2017–18</w:t>
            </w:r>
          </w:p>
        </w:tc>
        <w:tc>
          <w:tcPr>
            <w:tcW w:w="1021" w:type="dxa"/>
          </w:tcPr>
          <w:p w14:paraId="7D52AEAB" w14:textId="77777777" w:rsidR="00D31BFE" w:rsidRDefault="00D31BFE" w:rsidP="00DA50C0">
            <w:pPr>
              <w:pStyle w:val="TableColHeadRight"/>
            </w:pPr>
            <w:r>
              <w:t>2018–19</w:t>
            </w:r>
          </w:p>
        </w:tc>
        <w:tc>
          <w:tcPr>
            <w:tcW w:w="1021" w:type="dxa"/>
          </w:tcPr>
          <w:p w14:paraId="6803D6D9" w14:textId="77777777" w:rsidR="00D31BFE" w:rsidRDefault="00D31BFE" w:rsidP="00DA50C0">
            <w:pPr>
              <w:pStyle w:val="TableColHeadRight"/>
            </w:pPr>
            <w:r>
              <w:t>2019–20</w:t>
            </w:r>
          </w:p>
        </w:tc>
        <w:tc>
          <w:tcPr>
            <w:tcW w:w="1021" w:type="dxa"/>
          </w:tcPr>
          <w:p w14:paraId="76561F11" w14:textId="77777777" w:rsidR="00D31BFE" w:rsidRDefault="00D31BFE" w:rsidP="00DA50C0">
            <w:pPr>
              <w:pStyle w:val="TableColHeadRight"/>
            </w:pPr>
            <w:r>
              <w:t>2017–18</w:t>
            </w:r>
          </w:p>
        </w:tc>
        <w:tc>
          <w:tcPr>
            <w:tcW w:w="1021" w:type="dxa"/>
          </w:tcPr>
          <w:p w14:paraId="60F2C004" w14:textId="77777777" w:rsidR="00D31BFE" w:rsidRDefault="00D31BFE" w:rsidP="00DA50C0">
            <w:pPr>
              <w:pStyle w:val="TableColHeadRight"/>
            </w:pPr>
            <w:r>
              <w:t>2018–19</w:t>
            </w:r>
          </w:p>
        </w:tc>
        <w:tc>
          <w:tcPr>
            <w:tcW w:w="1021" w:type="dxa"/>
          </w:tcPr>
          <w:p w14:paraId="5BBD4892" w14:textId="77777777" w:rsidR="00D31BFE" w:rsidRDefault="00D31BFE" w:rsidP="00DA50C0">
            <w:pPr>
              <w:pStyle w:val="TableColHeadRight"/>
            </w:pPr>
            <w:r>
              <w:t>2019–20</w:t>
            </w:r>
          </w:p>
        </w:tc>
      </w:tr>
      <w:tr w:rsidR="00D31BFE" w14:paraId="658B2934" w14:textId="77777777" w:rsidTr="00E324F1">
        <w:trPr>
          <w:trHeight w:val="68"/>
        </w:trPr>
        <w:tc>
          <w:tcPr>
            <w:tcW w:w="3062" w:type="dxa"/>
          </w:tcPr>
          <w:p w14:paraId="1E52AAB6" w14:textId="77777777" w:rsidR="00D31BFE" w:rsidRDefault="00D31BFE" w:rsidP="00DA50C0">
            <w:pPr>
              <w:pStyle w:val="TableText"/>
            </w:pPr>
            <w:r>
              <w:t>Estate agents</w:t>
            </w:r>
          </w:p>
        </w:tc>
        <w:tc>
          <w:tcPr>
            <w:tcW w:w="1021" w:type="dxa"/>
          </w:tcPr>
          <w:p w14:paraId="646BCDA6" w14:textId="77777777" w:rsidR="00D31BFE" w:rsidRDefault="00D31BFE" w:rsidP="00DA50C0">
            <w:pPr>
              <w:pStyle w:val="TableTextRight"/>
            </w:pPr>
            <w:r>
              <w:t>1,800</w:t>
            </w:r>
          </w:p>
        </w:tc>
        <w:tc>
          <w:tcPr>
            <w:tcW w:w="1021" w:type="dxa"/>
          </w:tcPr>
          <w:p w14:paraId="16BD48BA" w14:textId="77777777" w:rsidR="00D31BFE" w:rsidRDefault="00D31BFE" w:rsidP="00DA50C0">
            <w:pPr>
              <w:pStyle w:val="TableTextRight"/>
            </w:pPr>
            <w:r>
              <w:t>1,850</w:t>
            </w:r>
          </w:p>
        </w:tc>
        <w:tc>
          <w:tcPr>
            <w:tcW w:w="1021" w:type="dxa"/>
          </w:tcPr>
          <w:p w14:paraId="769BBEDD" w14:textId="77777777" w:rsidR="00D31BFE" w:rsidRDefault="00D31BFE" w:rsidP="00DA50C0">
            <w:pPr>
              <w:pStyle w:val="TableTextRight"/>
            </w:pPr>
            <w:r>
              <w:t>1,733</w:t>
            </w:r>
          </w:p>
        </w:tc>
        <w:tc>
          <w:tcPr>
            <w:tcW w:w="1021" w:type="dxa"/>
          </w:tcPr>
          <w:p w14:paraId="4FF6266F" w14:textId="77777777" w:rsidR="00D31BFE" w:rsidRDefault="00D31BFE" w:rsidP="00DA50C0">
            <w:pPr>
              <w:pStyle w:val="TableTextRight"/>
            </w:pPr>
            <w:r>
              <w:t>14,133</w:t>
            </w:r>
          </w:p>
        </w:tc>
        <w:tc>
          <w:tcPr>
            <w:tcW w:w="1021" w:type="dxa"/>
          </w:tcPr>
          <w:p w14:paraId="312D5DCC" w14:textId="77777777" w:rsidR="00D31BFE" w:rsidRDefault="00D31BFE" w:rsidP="00DA50C0">
            <w:pPr>
              <w:pStyle w:val="TableTextRight"/>
            </w:pPr>
            <w:r>
              <w:t>15,039</w:t>
            </w:r>
          </w:p>
        </w:tc>
        <w:tc>
          <w:tcPr>
            <w:tcW w:w="1021" w:type="dxa"/>
          </w:tcPr>
          <w:p w14:paraId="34741D0C" w14:textId="77777777" w:rsidR="00D31BFE" w:rsidRDefault="00D31BFE" w:rsidP="00DA50C0">
            <w:pPr>
              <w:pStyle w:val="TableTextRight"/>
            </w:pPr>
            <w:r>
              <w:t>15,643</w:t>
            </w:r>
          </w:p>
        </w:tc>
      </w:tr>
      <w:tr w:rsidR="00D31BFE" w14:paraId="331C8B8B" w14:textId="77777777" w:rsidTr="00E324F1">
        <w:trPr>
          <w:trHeight w:val="68"/>
        </w:trPr>
        <w:tc>
          <w:tcPr>
            <w:tcW w:w="3062" w:type="dxa"/>
          </w:tcPr>
          <w:p w14:paraId="26B8938C" w14:textId="77777777" w:rsidR="00D31BFE" w:rsidRDefault="00D31BFE" w:rsidP="00DA50C0">
            <w:pPr>
              <w:pStyle w:val="TableText"/>
            </w:pPr>
            <w:r>
              <w:t>Motor car traders</w:t>
            </w:r>
          </w:p>
        </w:tc>
        <w:tc>
          <w:tcPr>
            <w:tcW w:w="1021" w:type="dxa"/>
          </w:tcPr>
          <w:p w14:paraId="12012BAB" w14:textId="77777777" w:rsidR="00D31BFE" w:rsidRDefault="00D31BFE" w:rsidP="00DA50C0">
            <w:pPr>
              <w:pStyle w:val="TableTextRight"/>
            </w:pPr>
            <w:r>
              <w:t>143</w:t>
            </w:r>
          </w:p>
        </w:tc>
        <w:tc>
          <w:tcPr>
            <w:tcW w:w="1021" w:type="dxa"/>
          </w:tcPr>
          <w:p w14:paraId="51F4EF60" w14:textId="77777777" w:rsidR="00D31BFE" w:rsidRDefault="00D31BFE" w:rsidP="00DA50C0">
            <w:pPr>
              <w:pStyle w:val="TableTextRight"/>
            </w:pPr>
            <w:r>
              <w:t>111</w:t>
            </w:r>
          </w:p>
        </w:tc>
        <w:tc>
          <w:tcPr>
            <w:tcW w:w="1021" w:type="dxa"/>
          </w:tcPr>
          <w:p w14:paraId="3C900ED1" w14:textId="77777777" w:rsidR="00D31BFE" w:rsidRDefault="00D31BFE" w:rsidP="00DA50C0">
            <w:pPr>
              <w:pStyle w:val="TableTextRight"/>
            </w:pPr>
            <w:r>
              <w:t>148</w:t>
            </w:r>
          </w:p>
        </w:tc>
        <w:tc>
          <w:tcPr>
            <w:tcW w:w="1021" w:type="dxa"/>
          </w:tcPr>
          <w:p w14:paraId="7D9532B3" w14:textId="77777777" w:rsidR="00D31BFE" w:rsidRDefault="00D31BFE" w:rsidP="00DA50C0">
            <w:pPr>
              <w:pStyle w:val="TableTextRight"/>
            </w:pPr>
            <w:r>
              <w:t>2,008</w:t>
            </w:r>
          </w:p>
        </w:tc>
        <w:tc>
          <w:tcPr>
            <w:tcW w:w="1021" w:type="dxa"/>
          </w:tcPr>
          <w:p w14:paraId="5FC707DE" w14:textId="77777777" w:rsidR="00D31BFE" w:rsidRDefault="00D31BFE" w:rsidP="00DA50C0">
            <w:pPr>
              <w:pStyle w:val="TableTextRight"/>
            </w:pPr>
            <w:r>
              <w:t>1,983</w:t>
            </w:r>
          </w:p>
        </w:tc>
        <w:tc>
          <w:tcPr>
            <w:tcW w:w="1021" w:type="dxa"/>
          </w:tcPr>
          <w:p w14:paraId="7185BFD0" w14:textId="77777777" w:rsidR="00D31BFE" w:rsidRDefault="00D31BFE" w:rsidP="00DA50C0">
            <w:pPr>
              <w:pStyle w:val="TableTextRight"/>
            </w:pPr>
            <w:r>
              <w:t>1,991</w:t>
            </w:r>
          </w:p>
        </w:tc>
      </w:tr>
      <w:tr w:rsidR="00D31BFE" w14:paraId="71FF5461" w14:textId="77777777" w:rsidTr="00E324F1">
        <w:trPr>
          <w:trHeight w:val="68"/>
        </w:trPr>
        <w:tc>
          <w:tcPr>
            <w:tcW w:w="3062" w:type="dxa"/>
          </w:tcPr>
          <w:p w14:paraId="69222C6F" w14:textId="77777777" w:rsidR="00D31BFE" w:rsidRDefault="00D31BFE" w:rsidP="00DA50C0">
            <w:pPr>
              <w:pStyle w:val="TableText"/>
            </w:pPr>
            <w:r>
              <w:t>Incorporated associations</w:t>
            </w:r>
          </w:p>
        </w:tc>
        <w:tc>
          <w:tcPr>
            <w:tcW w:w="1021" w:type="dxa"/>
          </w:tcPr>
          <w:p w14:paraId="5F0F8F77" w14:textId="77777777" w:rsidR="00D31BFE" w:rsidRDefault="00D31BFE" w:rsidP="00DA50C0">
            <w:pPr>
              <w:pStyle w:val="TableTextRight"/>
            </w:pPr>
            <w:r>
              <w:t>2,006</w:t>
            </w:r>
          </w:p>
        </w:tc>
        <w:tc>
          <w:tcPr>
            <w:tcW w:w="1021" w:type="dxa"/>
          </w:tcPr>
          <w:p w14:paraId="72FFACB5" w14:textId="77777777" w:rsidR="00D31BFE" w:rsidRDefault="00D31BFE" w:rsidP="00DA50C0">
            <w:pPr>
              <w:pStyle w:val="TableTextRight"/>
            </w:pPr>
            <w:r>
              <w:t>2,226</w:t>
            </w:r>
          </w:p>
        </w:tc>
        <w:tc>
          <w:tcPr>
            <w:tcW w:w="1021" w:type="dxa"/>
          </w:tcPr>
          <w:p w14:paraId="55918BD8" w14:textId="77777777" w:rsidR="00D31BFE" w:rsidRDefault="00D31BFE" w:rsidP="00DA50C0">
            <w:pPr>
              <w:pStyle w:val="TableTextRight"/>
            </w:pPr>
            <w:r>
              <w:t>1,964</w:t>
            </w:r>
          </w:p>
        </w:tc>
        <w:tc>
          <w:tcPr>
            <w:tcW w:w="1021" w:type="dxa"/>
          </w:tcPr>
          <w:p w14:paraId="4BAED37B" w14:textId="77777777" w:rsidR="00D31BFE" w:rsidRDefault="00D31BFE" w:rsidP="00DA50C0">
            <w:pPr>
              <w:pStyle w:val="TableTextRight"/>
            </w:pPr>
            <w:r>
              <w:t>41,296</w:t>
            </w:r>
          </w:p>
        </w:tc>
        <w:tc>
          <w:tcPr>
            <w:tcW w:w="1021" w:type="dxa"/>
          </w:tcPr>
          <w:p w14:paraId="0CF3F2BF" w14:textId="77777777" w:rsidR="00D31BFE" w:rsidRDefault="00D31BFE" w:rsidP="00DA50C0">
            <w:pPr>
              <w:pStyle w:val="TableTextRight"/>
            </w:pPr>
            <w:r>
              <w:t>40,813</w:t>
            </w:r>
          </w:p>
        </w:tc>
        <w:tc>
          <w:tcPr>
            <w:tcW w:w="1021" w:type="dxa"/>
          </w:tcPr>
          <w:p w14:paraId="05B453CB" w14:textId="77777777" w:rsidR="00D31BFE" w:rsidRDefault="00D31BFE" w:rsidP="00DA50C0">
            <w:pPr>
              <w:pStyle w:val="TableTextRight"/>
            </w:pPr>
            <w:r>
              <w:t>41,706</w:t>
            </w:r>
          </w:p>
        </w:tc>
      </w:tr>
      <w:tr w:rsidR="00D31BFE" w14:paraId="08999B4B" w14:textId="77777777" w:rsidTr="00E324F1">
        <w:trPr>
          <w:trHeight w:val="68"/>
        </w:trPr>
        <w:tc>
          <w:tcPr>
            <w:tcW w:w="3062" w:type="dxa"/>
          </w:tcPr>
          <w:p w14:paraId="6B5511EF" w14:textId="77777777" w:rsidR="00D31BFE" w:rsidRDefault="00D31BFE" w:rsidP="00DA50C0">
            <w:pPr>
              <w:pStyle w:val="TableText"/>
            </w:pPr>
            <w:r>
              <w:t>Co-operatives</w:t>
            </w:r>
          </w:p>
        </w:tc>
        <w:tc>
          <w:tcPr>
            <w:tcW w:w="1021" w:type="dxa"/>
          </w:tcPr>
          <w:p w14:paraId="399DF20A" w14:textId="77777777" w:rsidR="00D31BFE" w:rsidRDefault="00D31BFE" w:rsidP="00DA50C0">
            <w:pPr>
              <w:pStyle w:val="TableTextRight"/>
            </w:pPr>
            <w:r>
              <w:t>33</w:t>
            </w:r>
          </w:p>
        </w:tc>
        <w:tc>
          <w:tcPr>
            <w:tcW w:w="1021" w:type="dxa"/>
          </w:tcPr>
          <w:p w14:paraId="7B5B38FB" w14:textId="77777777" w:rsidR="00D31BFE" w:rsidRDefault="00D31BFE" w:rsidP="00DA50C0">
            <w:pPr>
              <w:pStyle w:val="TableTextRight"/>
            </w:pPr>
            <w:r>
              <w:t>40</w:t>
            </w:r>
          </w:p>
        </w:tc>
        <w:tc>
          <w:tcPr>
            <w:tcW w:w="1021" w:type="dxa"/>
          </w:tcPr>
          <w:p w14:paraId="75A5DCBB" w14:textId="77777777" w:rsidR="00D31BFE" w:rsidRDefault="00D31BFE" w:rsidP="00DA50C0">
            <w:pPr>
              <w:pStyle w:val="TableTextRight"/>
            </w:pPr>
            <w:r>
              <w:t>14</w:t>
            </w:r>
          </w:p>
        </w:tc>
        <w:tc>
          <w:tcPr>
            <w:tcW w:w="1021" w:type="dxa"/>
          </w:tcPr>
          <w:p w14:paraId="7711F355" w14:textId="77777777" w:rsidR="00D31BFE" w:rsidRDefault="00D31BFE" w:rsidP="00DA50C0">
            <w:pPr>
              <w:pStyle w:val="TableTextRight"/>
            </w:pPr>
            <w:r>
              <w:t>577</w:t>
            </w:r>
          </w:p>
        </w:tc>
        <w:tc>
          <w:tcPr>
            <w:tcW w:w="1021" w:type="dxa"/>
          </w:tcPr>
          <w:p w14:paraId="06B0F865" w14:textId="77777777" w:rsidR="00D31BFE" w:rsidRDefault="00D31BFE" w:rsidP="00DA50C0">
            <w:pPr>
              <w:pStyle w:val="TableTextRight"/>
            </w:pPr>
            <w:r>
              <w:t>524</w:t>
            </w:r>
          </w:p>
        </w:tc>
        <w:tc>
          <w:tcPr>
            <w:tcW w:w="1021" w:type="dxa"/>
          </w:tcPr>
          <w:p w14:paraId="4E35FF8D" w14:textId="77777777" w:rsidR="00D31BFE" w:rsidRDefault="00D31BFE" w:rsidP="00DA50C0">
            <w:pPr>
              <w:pStyle w:val="TableTextRight"/>
            </w:pPr>
            <w:r>
              <w:t>514</w:t>
            </w:r>
          </w:p>
        </w:tc>
      </w:tr>
      <w:tr w:rsidR="00D31BFE" w14:paraId="522775F7" w14:textId="77777777" w:rsidTr="00E324F1">
        <w:trPr>
          <w:trHeight w:val="68"/>
        </w:trPr>
        <w:tc>
          <w:tcPr>
            <w:tcW w:w="3062" w:type="dxa"/>
          </w:tcPr>
          <w:p w14:paraId="07E74246" w14:textId="77777777" w:rsidR="00D31BFE" w:rsidRDefault="00D31BFE" w:rsidP="00DA50C0">
            <w:pPr>
              <w:pStyle w:val="TableText"/>
            </w:pPr>
            <w:r>
              <w:t>Fundraisers</w:t>
            </w:r>
          </w:p>
        </w:tc>
        <w:tc>
          <w:tcPr>
            <w:tcW w:w="1021" w:type="dxa"/>
          </w:tcPr>
          <w:p w14:paraId="4DE6297B" w14:textId="77777777" w:rsidR="00D31BFE" w:rsidRDefault="00D31BFE" w:rsidP="00DA50C0">
            <w:pPr>
              <w:pStyle w:val="TableTextRight"/>
            </w:pPr>
            <w:r>
              <w:t>778</w:t>
            </w:r>
          </w:p>
        </w:tc>
        <w:tc>
          <w:tcPr>
            <w:tcW w:w="1021" w:type="dxa"/>
          </w:tcPr>
          <w:p w14:paraId="11D23A6A" w14:textId="77777777" w:rsidR="00D31BFE" w:rsidRDefault="00D31BFE" w:rsidP="00DA50C0">
            <w:pPr>
              <w:pStyle w:val="TableTextRight"/>
            </w:pPr>
            <w:r>
              <w:t>886</w:t>
            </w:r>
          </w:p>
        </w:tc>
        <w:tc>
          <w:tcPr>
            <w:tcW w:w="1021" w:type="dxa"/>
          </w:tcPr>
          <w:p w14:paraId="4917A91B" w14:textId="77777777" w:rsidR="00D31BFE" w:rsidRDefault="00D31BFE" w:rsidP="00DA50C0">
            <w:pPr>
              <w:pStyle w:val="TableTextRight"/>
            </w:pPr>
            <w:r>
              <w:t>761</w:t>
            </w:r>
          </w:p>
        </w:tc>
        <w:tc>
          <w:tcPr>
            <w:tcW w:w="1021" w:type="dxa"/>
          </w:tcPr>
          <w:p w14:paraId="2BBF5E48" w14:textId="77777777" w:rsidR="00D31BFE" w:rsidRDefault="00D31BFE" w:rsidP="00DA50C0">
            <w:pPr>
              <w:pStyle w:val="TableTextRight"/>
            </w:pPr>
            <w:r>
              <w:t>1,953</w:t>
            </w:r>
          </w:p>
        </w:tc>
        <w:tc>
          <w:tcPr>
            <w:tcW w:w="1021" w:type="dxa"/>
          </w:tcPr>
          <w:p w14:paraId="6790B217" w14:textId="77777777" w:rsidR="00D31BFE" w:rsidRDefault="00D31BFE" w:rsidP="00DA50C0">
            <w:pPr>
              <w:pStyle w:val="TableTextRight"/>
            </w:pPr>
            <w:r>
              <w:t>1,916</w:t>
            </w:r>
          </w:p>
        </w:tc>
        <w:tc>
          <w:tcPr>
            <w:tcW w:w="1021" w:type="dxa"/>
          </w:tcPr>
          <w:p w14:paraId="350D1691" w14:textId="77777777" w:rsidR="00D31BFE" w:rsidRDefault="00D31BFE" w:rsidP="00DA50C0">
            <w:pPr>
              <w:pStyle w:val="TableTextRight"/>
            </w:pPr>
            <w:r>
              <w:t>2,007</w:t>
            </w:r>
          </w:p>
        </w:tc>
      </w:tr>
      <w:tr w:rsidR="00D31BFE" w14:paraId="262F488B" w14:textId="77777777" w:rsidTr="00E324F1">
        <w:trPr>
          <w:trHeight w:val="68"/>
        </w:trPr>
        <w:tc>
          <w:tcPr>
            <w:tcW w:w="3062" w:type="dxa"/>
          </w:tcPr>
          <w:p w14:paraId="4EE574E6" w14:textId="77777777" w:rsidR="00D31BFE" w:rsidRDefault="00D31BFE" w:rsidP="00DA50C0">
            <w:pPr>
              <w:pStyle w:val="TableText"/>
            </w:pPr>
            <w:r>
              <w:t>Second-hand dealers and pawnbrokers</w:t>
            </w:r>
          </w:p>
        </w:tc>
        <w:tc>
          <w:tcPr>
            <w:tcW w:w="1021" w:type="dxa"/>
          </w:tcPr>
          <w:p w14:paraId="53C2722C" w14:textId="77777777" w:rsidR="00D31BFE" w:rsidRDefault="00D31BFE" w:rsidP="00DA50C0">
            <w:pPr>
              <w:pStyle w:val="TableTextRight"/>
            </w:pPr>
            <w:r>
              <w:t>346</w:t>
            </w:r>
          </w:p>
        </w:tc>
        <w:tc>
          <w:tcPr>
            <w:tcW w:w="1021" w:type="dxa"/>
          </w:tcPr>
          <w:p w14:paraId="65A2DAEC" w14:textId="77777777" w:rsidR="00D31BFE" w:rsidRDefault="00D31BFE" w:rsidP="00DA50C0">
            <w:pPr>
              <w:pStyle w:val="TableTextRight"/>
            </w:pPr>
            <w:r>
              <w:t>379</w:t>
            </w:r>
          </w:p>
        </w:tc>
        <w:tc>
          <w:tcPr>
            <w:tcW w:w="1021" w:type="dxa"/>
          </w:tcPr>
          <w:p w14:paraId="33B580E1" w14:textId="77777777" w:rsidR="00D31BFE" w:rsidRDefault="00D31BFE" w:rsidP="00DA50C0">
            <w:pPr>
              <w:pStyle w:val="TableTextRight"/>
            </w:pPr>
            <w:r>
              <w:t>246</w:t>
            </w:r>
          </w:p>
        </w:tc>
        <w:tc>
          <w:tcPr>
            <w:tcW w:w="1021" w:type="dxa"/>
          </w:tcPr>
          <w:p w14:paraId="551DF5DA" w14:textId="77777777" w:rsidR="00D31BFE" w:rsidRDefault="00D31BFE" w:rsidP="00DA50C0">
            <w:pPr>
              <w:pStyle w:val="TableTextRight"/>
            </w:pPr>
            <w:r>
              <w:t>3,650</w:t>
            </w:r>
          </w:p>
        </w:tc>
        <w:tc>
          <w:tcPr>
            <w:tcW w:w="1021" w:type="dxa"/>
          </w:tcPr>
          <w:p w14:paraId="796D9C49" w14:textId="77777777" w:rsidR="00D31BFE" w:rsidRDefault="00D31BFE" w:rsidP="00DA50C0">
            <w:pPr>
              <w:pStyle w:val="TableTextRight"/>
            </w:pPr>
            <w:r>
              <w:t>3,545</w:t>
            </w:r>
          </w:p>
        </w:tc>
        <w:tc>
          <w:tcPr>
            <w:tcW w:w="1021" w:type="dxa"/>
          </w:tcPr>
          <w:p w14:paraId="7D119287" w14:textId="77777777" w:rsidR="00D31BFE" w:rsidRDefault="00D31BFE" w:rsidP="00DA50C0">
            <w:pPr>
              <w:pStyle w:val="TableTextRight"/>
            </w:pPr>
            <w:r>
              <w:t>3,373</w:t>
            </w:r>
          </w:p>
        </w:tc>
      </w:tr>
      <w:tr w:rsidR="00D31BFE" w14:paraId="13ED2AF7" w14:textId="77777777" w:rsidTr="00E324F1">
        <w:trPr>
          <w:trHeight w:val="68"/>
        </w:trPr>
        <w:tc>
          <w:tcPr>
            <w:tcW w:w="3062" w:type="dxa"/>
          </w:tcPr>
          <w:p w14:paraId="7EFECDF1" w14:textId="77777777" w:rsidR="00D31BFE" w:rsidRDefault="00D31BFE" w:rsidP="00DA50C0">
            <w:pPr>
              <w:pStyle w:val="TableText"/>
            </w:pPr>
            <w:r>
              <w:t>Patriotic funds</w:t>
            </w:r>
          </w:p>
        </w:tc>
        <w:tc>
          <w:tcPr>
            <w:tcW w:w="1021" w:type="dxa"/>
          </w:tcPr>
          <w:p w14:paraId="102F8167" w14:textId="77777777" w:rsidR="00D31BFE" w:rsidRDefault="00D31BFE" w:rsidP="00DA50C0">
            <w:pPr>
              <w:pStyle w:val="TableTextRight"/>
            </w:pPr>
            <w:r>
              <w:t>1</w:t>
            </w:r>
          </w:p>
        </w:tc>
        <w:tc>
          <w:tcPr>
            <w:tcW w:w="1021" w:type="dxa"/>
          </w:tcPr>
          <w:p w14:paraId="098400CC" w14:textId="77777777" w:rsidR="00D31BFE" w:rsidRDefault="00D31BFE" w:rsidP="00DA50C0">
            <w:pPr>
              <w:pStyle w:val="TableTextRight"/>
            </w:pPr>
            <w:r>
              <w:t>0</w:t>
            </w:r>
          </w:p>
        </w:tc>
        <w:tc>
          <w:tcPr>
            <w:tcW w:w="1021" w:type="dxa"/>
          </w:tcPr>
          <w:p w14:paraId="281F4450" w14:textId="77777777" w:rsidR="00D31BFE" w:rsidRDefault="00D31BFE" w:rsidP="00DA50C0">
            <w:pPr>
              <w:pStyle w:val="TableTextRight"/>
            </w:pPr>
            <w:r>
              <w:t>2</w:t>
            </w:r>
          </w:p>
        </w:tc>
        <w:tc>
          <w:tcPr>
            <w:tcW w:w="1021" w:type="dxa"/>
          </w:tcPr>
          <w:p w14:paraId="528C7F5D" w14:textId="77777777" w:rsidR="00D31BFE" w:rsidRDefault="00D31BFE" w:rsidP="00DA50C0">
            <w:pPr>
              <w:pStyle w:val="TableTextRight"/>
            </w:pPr>
            <w:r>
              <w:t>550</w:t>
            </w:r>
          </w:p>
        </w:tc>
        <w:tc>
          <w:tcPr>
            <w:tcW w:w="1021" w:type="dxa"/>
          </w:tcPr>
          <w:p w14:paraId="72FEE581" w14:textId="77777777" w:rsidR="00D31BFE" w:rsidRDefault="00D31BFE" w:rsidP="00DA50C0">
            <w:pPr>
              <w:pStyle w:val="TableTextRight"/>
            </w:pPr>
            <w:r>
              <w:t>485</w:t>
            </w:r>
          </w:p>
        </w:tc>
        <w:tc>
          <w:tcPr>
            <w:tcW w:w="1021" w:type="dxa"/>
          </w:tcPr>
          <w:p w14:paraId="37B77415" w14:textId="77777777" w:rsidR="00D31BFE" w:rsidRDefault="00D31BFE" w:rsidP="00DA50C0">
            <w:pPr>
              <w:pStyle w:val="TableTextRight"/>
            </w:pPr>
            <w:r>
              <w:t>415</w:t>
            </w:r>
          </w:p>
        </w:tc>
      </w:tr>
      <w:tr w:rsidR="00D31BFE" w14:paraId="6D1D16AC" w14:textId="77777777" w:rsidTr="00E324F1">
        <w:trPr>
          <w:trHeight w:val="68"/>
        </w:trPr>
        <w:tc>
          <w:tcPr>
            <w:tcW w:w="3062" w:type="dxa"/>
          </w:tcPr>
          <w:p w14:paraId="0C95F756" w14:textId="77777777" w:rsidR="00D31BFE" w:rsidRDefault="00D31BFE" w:rsidP="00DA50C0">
            <w:pPr>
              <w:pStyle w:val="TableText"/>
            </w:pPr>
            <w:r>
              <w:t>Limited partnerships</w:t>
            </w:r>
          </w:p>
        </w:tc>
        <w:tc>
          <w:tcPr>
            <w:tcW w:w="1021" w:type="dxa"/>
          </w:tcPr>
          <w:p w14:paraId="703E5B28" w14:textId="77777777" w:rsidR="00D31BFE" w:rsidRDefault="00D31BFE" w:rsidP="00DA50C0">
            <w:pPr>
              <w:pStyle w:val="TableTextRight"/>
            </w:pPr>
            <w:r>
              <w:t>31</w:t>
            </w:r>
          </w:p>
        </w:tc>
        <w:tc>
          <w:tcPr>
            <w:tcW w:w="1021" w:type="dxa"/>
          </w:tcPr>
          <w:p w14:paraId="233C0139" w14:textId="77777777" w:rsidR="00D31BFE" w:rsidRDefault="00D31BFE" w:rsidP="00DA50C0">
            <w:pPr>
              <w:pStyle w:val="TableTextRight"/>
            </w:pPr>
            <w:r>
              <w:t>15</w:t>
            </w:r>
          </w:p>
        </w:tc>
        <w:tc>
          <w:tcPr>
            <w:tcW w:w="1021" w:type="dxa"/>
          </w:tcPr>
          <w:p w14:paraId="5007AC91" w14:textId="77777777" w:rsidR="00D31BFE" w:rsidRDefault="00D31BFE" w:rsidP="00DA50C0">
            <w:pPr>
              <w:pStyle w:val="TableTextRight"/>
            </w:pPr>
            <w:r>
              <w:t>10</w:t>
            </w:r>
          </w:p>
        </w:tc>
        <w:tc>
          <w:tcPr>
            <w:tcW w:w="1021" w:type="dxa"/>
          </w:tcPr>
          <w:p w14:paraId="51740DBE" w14:textId="77777777" w:rsidR="00D31BFE" w:rsidRDefault="00D31BFE" w:rsidP="00DA50C0">
            <w:pPr>
              <w:pStyle w:val="TableTextRight"/>
            </w:pPr>
            <w:r>
              <w:t>384</w:t>
            </w:r>
          </w:p>
        </w:tc>
        <w:tc>
          <w:tcPr>
            <w:tcW w:w="1021" w:type="dxa"/>
          </w:tcPr>
          <w:p w14:paraId="6C400E68" w14:textId="77777777" w:rsidR="00D31BFE" w:rsidRDefault="00D31BFE" w:rsidP="00DA50C0">
            <w:pPr>
              <w:pStyle w:val="TableTextRight"/>
            </w:pPr>
            <w:r>
              <w:t>398</w:t>
            </w:r>
          </w:p>
        </w:tc>
        <w:tc>
          <w:tcPr>
            <w:tcW w:w="1021" w:type="dxa"/>
          </w:tcPr>
          <w:p w14:paraId="7075AA8F" w14:textId="77777777" w:rsidR="00D31BFE" w:rsidRDefault="00D31BFE" w:rsidP="00DA50C0">
            <w:pPr>
              <w:pStyle w:val="TableTextRight"/>
            </w:pPr>
            <w:r>
              <w:t>406</w:t>
            </w:r>
          </w:p>
        </w:tc>
      </w:tr>
      <w:tr w:rsidR="00D31BFE" w14:paraId="0F592EEC" w14:textId="77777777" w:rsidTr="00E324F1">
        <w:trPr>
          <w:trHeight w:val="68"/>
        </w:trPr>
        <w:tc>
          <w:tcPr>
            <w:tcW w:w="3062" w:type="dxa"/>
          </w:tcPr>
          <w:p w14:paraId="0FFBC5E4" w14:textId="77777777" w:rsidR="00D31BFE" w:rsidRDefault="00D31BFE" w:rsidP="00DA50C0">
            <w:pPr>
              <w:pStyle w:val="TableText"/>
            </w:pPr>
            <w:r>
              <w:t>Conveyancers</w:t>
            </w:r>
          </w:p>
        </w:tc>
        <w:tc>
          <w:tcPr>
            <w:tcW w:w="1021" w:type="dxa"/>
          </w:tcPr>
          <w:p w14:paraId="48E3639D" w14:textId="77777777" w:rsidR="00D31BFE" w:rsidRDefault="00D31BFE" w:rsidP="00DA50C0">
            <w:pPr>
              <w:pStyle w:val="TableTextRight"/>
            </w:pPr>
            <w:r>
              <w:t>136</w:t>
            </w:r>
          </w:p>
        </w:tc>
        <w:tc>
          <w:tcPr>
            <w:tcW w:w="1021" w:type="dxa"/>
          </w:tcPr>
          <w:p w14:paraId="5671692E" w14:textId="77777777" w:rsidR="00D31BFE" w:rsidRDefault="00D31BFE" w:rsidP="00DA50C0">
            <w:pPr>
              <w:pStyle w:val="TableTextRight"/>
            </w:pPr>
            <w:r>
              <w:t>189</w:t>
            </w:r>
          </w:p>
        </w:tc>
        <w:tc>
          <w:tcPr>
            <w:tcW w:w="1021" w:type="dxa"/>
          </w:tcPr>
          <w:p w14:paraId="57DD002C" w14:textId="77777777" w:rsidR="00D31BFE" w:rsidRDefault="00D31BFE" w:rsidP="00DA50C0">
            <w:pPr>
              <w:pStyle w:val="TableTextRight"/>
            </w:pPr>
            <w:r>
              <w:t>125</w:t>
            </w:r>
          </w:p>
        </w:tc>
        <w:tc>
          <w:tcPr>
            <w:tcW w:w="1021" w:type="dxa"/>
          </w:tcPr>
          <w:p w14:paraId="545C787E" w14:textId="77777777" w:rsidR="00D31BFE" w:rsidRDefault="00D31BFE" w:rsidP="00DA50C0">
            <w:pPr>
              <w:pStyle w:val="TableTextRight"/>
            </w:pPr>
            <w:r>
              <w:t>961</w:t>
            </w:r>
          </w:p>
        </w:tc>
        <w:tc>
          <w:tcPr>
            <w:tcW w:w="1021" w:type="dxa"/>
          </w:tcPr>
          <w:p w14:paraId="7A8751D0" w14:textId="77777777" w:rsidR="00D31BFE" w:rsidRDefault="00D31BFE" w:rsidP="00DA50C0">
            <w:pPr>
              <w:pStyle w:val="TableTextRight"/>
            </w:pPr>
            <w:r>
              <w:t>1,093</w:t>
            </w:r>
          </w:p>
        </w:tc>
        <w:tc>
          <w:tcPr>
            <w:tcW w:w="1021" w:type="dxa"/>
          </w:tcPr>
          <w:p w14:paraId="345A82D0" w14:textId="77777777" w:rsidR="00D31BFE" w:rsidRDefault="00D31BFE" w:rsidP="00DA50C0">
            <w:pPr>
              <w:pStyle w:val="TableTextRight"/>
            </w:pPr>
            <w:r>
              <w:t>1,161</w:t>
            </w:r>
          </w:p>
        </w:tc>
      </w:tr>
      <w:tr w:rsidR="00D31BFE" w14:paraId="3F0A53A9" w14:textId="77777777" w:rsidTr="00E324F1">
        <w:trPr>
          <w:trHeight w:val="68"/>
        </w:trPr>
        <w:tc>
          <w:tcPr>
            <w:tcW w:w="3062" w:type="dxa"/>
          </w:tcPr>
          <w:p w14:paraId="6B69C08A" w14:textId="77777777" w:rsidR="00D31BFE" w:rsidRDefault="00D31BFE" w:rsidP="00DA50C0">
            <w:pPr>
              <w:pStyle w:val="TableText"/>
            </w:pPr>
            <w:r>
              <w:t>Owners corporation managers</w:t>
            </w:r>
          </w:p>
        </w:tc>
        <w:tc>
          <w:tcPr>
            <w:tcW w:w="1021" w:type="dxa"/>
          </w:tcPr>
          <w:p w14:paraId="530C5FCC" w14:textId="77777777" w:rsidR="00D31BFE" w:rsidRDefault="00D31BFE" w:rsidP="00DA50C0">
            <w:pPr>
              <w:pStyle w:val="TableTextRight"/>
            </w:pPr>
            <w:r>
              <w:t>80</w:t>
            </w:r>
          </w:p>
        </w:tc>
        <w:tc>
          <w:tcPr>
            <w:tcW w:w="1021" w:type="dxa"/>
          </w:tcPr>
          <w:p w14:paraId="1CC40415" w14:textId="77777777" w:rsidR="00D31BFE" w:rsidRDefault="00D31BFE" w:rsidP="00DA50C0">
            <w:pPr>
              <w:pStyle w:val="TableTextRight"/>
            </w:pPr>
            <w:r>
              <w:t>103</w:t>
            </w:r>
          </w:p>
        </w:tc>
        <w:tc>
          <w:tcPr>
            <w:tcW w:w="1021" w:type="dxa"/>
          </w:tcPr>
          <w:p w14:paraId="26DD4D7B" w14:textId="77777777" w:rsidR="00D31BFE" w:rsidRDefault="00D31BFE" w:rsidP="00DA50C0">
            <w:pPr>
              <w:pStyle w:val="TableTextRight"/>
            </w:pPr>
            <w:r>
              <w:t>110</w:t>
            </w:r>
          </w:p>
        </w:tc>
        <w:tc>
          <w:tcPr>
            <w:tcW w:w="1021" w:type="dxa"/>
          </w:tcPr>
          <w:p w14:paraId="12F235D6" w14:textId="77777777" w:rsidR="00D31BFE" w:rsidRDefault="00D31BFE" w:rsidP="00DA50C0">
            <w:pPr>
              <w:pStyle w:val="TableTextRight"/>
            </w:pPr>
            <w:r>
              <w:t>673</w:t>
            </w:r>
          </w:p>
        </w:tc>
        <w:tc>
          <w:tcPr>
            <w:tcW w:w="1021" w:type="dxa"/>
          </w:tcPr>
          <w:p w14:paraId="71081786" w14:textId="77777777" w:rsidR="00D31BFE" w:rsidRDefault="00D31BFE" w:rsidP="00DA50C0">
            <w:pPr>
              <w:pStyle w:val="TableTextRight"/>
            </w:pPr>
            <w:r>
              <w:t>668</w:t>
            </w:r>
          </w:p>
        </w:tc>
        <w:tc>
          <w:tcPr>
            <w:tcW w:w="1021" w:type="dxa"/>
          </w:tcPr>
          <w:p w14:paraId="5E7B6624" w14:textId="77777777" w:rsidR="00D31BFE" w:rsidRDefault="00D31BFE" w:rsidP="00DA50C0">
            <w:pPr>
              <w:pStyle w:val="TableTextRight"/>
            </w:pPr>
            <w:r>
              <w:t>674</w:t>
            </w:r>
          </w:p>
        </w:tc>
      </w:tr>
      <w:tr w:rsidR="00D31BFE" w14:paraId="07C73607" w14:textId="77777777" w:rsidTr="00E324F1">
        <w:trPr>
          <w:trHeight w:val="68"/>
        </w:trPr>
        <w:tc>
          <w:tcPr>
            <w:tcW w:w="3062" w:type="dxa"/>
          </w:tcPr>
          <w:p w14:paraId="0A385968" w14:textId="77777777" w:rsidR="00D31BFE" w:rsidRDefault="00D31BFE" w:rsidP="00DA50C0">
            <w:pPr>
              <w:pStyle w:val="TableText"/>
            </w:pPr>
            <w:r>
              <w:t>Retirement villages</w:t>
            </w:r>
          </w:p>
        </w:tc>
        <w:tc>
          <w:tcPr>
            <w:tcW w:w="1021" w:type="dxa"/>
          </w:tcPr>
          <w:p w14:paraId="2ECAAA8C" w14:textId="77777777" w:rsidR="00D31BFE" w:rsidRDefault="00D31BFE" w:rsidP="00DA50C0">
            <w:pPr>
              <w:pStyle w:val="TableTextRight"/>
            </w:pPr>
            <w:r>
              <w:t>14</w:t>
            </w:r>
          </w:p>
        </w:tc>
        <w:tc>
          <w:tcPr>
            <w:tcW w:w="1021" w:type="dxa"/>
          </w:tcPr>
          <w:p w14:paraId="2FFD8671" w14:textId="77777777" w:rsidR="00D31BFE" w:rsidRDefault="00D31BFE" w:rsidP="00DA50C0">
            <w:pPr>
              <w:pStyle w:val="TableTextRight"/>
            </w:pPr>
            <w:r>
              <w:t>14</w:t>
            </w:r>
          </w:p>
        </w:tc>
        <w:tc>
          <w:tcPr>
            <w:tcW w:w="1021" w:type="dxa"/>
          </w:tcPr>
          <w:p w14:paraId="2C1B5EC4" w14:textId="77777777" w:rsidR="00D31BFE" w:rsidRDefault="00D31BFE" w:rsidP="00DA50C0">
            <w:pPr>
              <w:pStyle w:val="TableTextRight"/>
            </w:pPr>
            <w:r>
              <w:t>12</w:t>
            </w:r>
          </w:p>
        </w:tc>
        <w:tc>
          <w:tcPr>
            <w:tcW w:w="1021" w:type="dxa"/>
          </w:tcPr>
          <w:p w14:paraId="310F4425" w14:textId="77777777" w:rsidR="00D31BFE" w:rsidRDefault="00D31BFE" w:rsidP="00DA50C0">
            <w:pPr>
              <w:pStyle w:val="TableTextRight"/>
            </w:pPr>
            <w:r>
              <w:t>453</w:t>
            </w:r>
          </w:p>
        </w:tc>
        <w:tc>
          <w:tcPr>
            <w:tcW w:w="1021" w:type="dxa"/>
          </w:tcPr>
          <w:p w14:paraId="31B60919" w14:textId="77777777" w:rsidR="00D31BFE" w:rsidRDefault="00D31BFE" w:rsidP="00DA50C0">
            <w:pPr>
              <w:pStyle w:val="TableTextRight"/>
            </w:pPr>
            <w:r>
              <w:t>456</w:t>
            </w:r>
          </w:p>
        </w:tc>
        <w:tc>
          <w:tcPr>
            <w:tcW w:w="1021" w:type="dxa"/>
          </w:tcPr>
          <w:p w14:paraId="2F87CCC4" w14:textId="77777777" w:rsidR="00D31BFE" w:rsidRDefault="00D31BFE" w:rsidP="00DA50C0">
            <w:pPr>
              <w:pStyle w:val="TableTextRight"/>
            </w:pPr>
            <w:r>
              <w:t>465</w:t>
            </w:r>
          </w:p>
        </w:tc>
      </w:tr>
      <w:tr w:rsidR="00D31BFE" w14:paraId="01D386D1" w14:textId="77777777" w:rsidTr="00E324F1">
        <w:trPr>
          <w:trHeight w:val="68"/>
        </w:trPr>
        <w:tc>
          <w:tcPr>
            <w:tcW w:w="3062" w:type="dxa"/>
          </w:tcPr>
          <w:p w14:paraId="00704E37" w14:textId="77777777" w:rsidR="00D31BFE" w:rsidRDefault="00D31BFE" w:rsidP="00DA50C0">
            <w:pPr>
              <w:pStyle w:val="TableText"/>
            </w:pPr>
            <w:r>
              <w:t>Funeral service providers</w:t>
            </w:r>
          </w:p>
        </w:tc>
        <w:tc>
          <w:tcPr>
            <w:tcW w:w="1021" w:type="dxa"/>
          </w:tcPr>
          <w:p w14:paraId="6F7532C6" w14:textId="77777777" w:rsidR="00D31BFE" w:rsidRDefault="00D31BFE" w:rsidP="00DA50C0">
            <w:pPr>
              <w:pStyle w:val="TableTextRight"/>
            </w:pPr>
            <w:r>
              <w:t>8</w:t>
            </w:r>
          </w:p>
        </w:tc>
        <w:tc>
          <w:tcPr>
            <w:tcW w:w="1021" w:type="dxa"/>
          </w:tcPr>
          <w:p w14:paraId="7E29C8DE" w14:textId="77777777" w:rsidR="00D31BFE" w:rsidRDefault="00D31BFE" w:rsidP="00DA50C0">
            <w:pPr>
              <w:pStyle w:val="TableTextRight"/>
            </w:pPr>
            <w:r>
              <w:t>7</w:t>
            </w:r>
          </w:p>
        </w:tc>
        <w:tc>
          <w:tcPr>
            <w:tcW w:w="1021" w:type="dxa"/>
          </w:tcPr>
          <w:p w14:paraId="240BEA74" w14:textId="77777777" w:rsidR="00D31BFE" w:rsidRDefault="00D31BFE" w:rsidP="00DA50C0">
            <w:pPr>
              <w:pStyle w:val="TableTextRight"/>
            </w:pPr>
            <w:r>
              <w:t>32</w:t>
            </w:r>
          </w:p>
        </w:tc>
        <w:tc>
          <w:tcPr>
            <w:tcW w:w="1021" w:type="dxa"/>
          </w:tcPr>
          <w:p w14:paraId="782E3D14" w14:textId="77777777" w:rsidR="00D31BFE" w:rsidRDefault="00D31BFE" w:rsidP="00DA50C0">
            <w:pPr>
              <w:pStyle w:val="TableTextRight"/>
            </w:pPr>
            <w:r>
              <w:t>453</w:t>
            </w:r>
          </w:p>
        </w:tc>
        <w:tc>
          <w:tcPr>
            <w:tcW w:w="1021" w:type="dxa"/>
          </w:tcPr>
          <w:p w14:paraId="20EA1969" w14:textId="77777777" w:rsidR="00D31BFE" w:rsidRDefault="00D31BFE" w:rsidP="00DA50C0">
            <w:pPr>
              <w:pStyle w:val="TableTextRight"/>
            </w:pPr>
            <w:r>
              <w:t>473</w:t>
            </w:r>
          </w:p>
        </w:tc>
        <w:tc>
          <w:tcPr>
            <w:tcW w:w="1021" w:type="dxa"/>
          </w:tcPr>
          <w:p w14:paraId="4FDD8F69" w14:textId="77777777" w:rsidR="00D31BFE" w:rsidRDefault="00D31BFE" w:rsidP="00DA50C0">
            <w:pPr>
              <w:pStyle w:val="TableTextRight"/>
            </w:pPr>
            <w:r>
              <w:t>506</w:t>
            </w:r>
          </w:p>
        </w:tc>
      </w:tr>
      <w:tr w:rsidR="00D31BFE" w14:paraId="46AD0F40" w14:textId="77777777" w:rsidTr="00E324F1">
        <w:trPr>
          <w:trHeight w:val="68"/>
        </w:trPr>
        <w:tc>
          <w:tcPr>
            <w:tcW w:w="3062" w:type="dxa"/>
          </w:tcPr>
          <w:p w14:paraId="2AE7A0F9" w14:textId="77777777" w:rsidR="00D31BFE" w:rsidRDefault="00D31BFE" w:rsidP="00DA50C0">
            <w:pPr>
              <w:pStyle w:val="TableText"/>
            </w:pPr>
            <w:r>
              <w:t>Sex work service providers (licensees)</w:t>
            </w:r>
          </w:p>
        </w:tc>
        <w:tc>
          <w:tcPr>
            <w:tcW w:w="1021" w:type="dxa"/>
          </w:tcPr>
          <w:p w14:paraId="131727E9" w14:textId="77777777" w:rsidR="00D31BFE" w:rsidRDefault="00D31BFE" w:rsidP="00DA50C0">
            <w:pPr>
              <w:pStyle w:val="TableTextRight"/>
            </w:pPr>
            <w:r>
              <w:t>9</w:t>
            </w:r>
          </w:p>
        </w:tc>
        <w:tc>
          <w:tcPr>
            <w:tcW w:w="1021" w:type="dxa"/>
          </w:tcPr>
          <w:p w14:paraId="7A62C9A4" w14:textId="77777777" w:rsidR="00D31BFE" w:rsidRDefault="00D31BFE" w:rsidP="00DA50C0">
            <w:pPr>
              <w:pStyle w:val="TableTextRight"/>
            </w:pPr>
            <w:r>
              <w:t>7</w:t>
            </w:r>
          </w:p>
        </w:tc>
        <w:tc>
          <w:tcPr>
            <w:tcW w:w="1021" w:type="dxa"/>
          </w:tcPr>
          <w:p w14:paraId="3ADE9B07" w14:textId="77777777" w:rsidR="00D31BFE" w:rsidRDefault="00D31BFE" w:rsidP="00DA50C0">
            <w:pPr>
              <w:pStyle w:val="TableTextRight"/>
            </w:pPr>
            <w:r>
              <w:t>5</w:t>
            </w:r>
          </w:p>
        </w:tc>
        <w:tc>
          <w:tcPr>
            <w:tcW w:w="1021" w:type="dxa"/>
          </w:tcPr>
          <w:p w14:paraId="08EE3E87" w14:textId="77777777" w:rsidR="00D31BFE" w:rsidRDefault="00D31BFE" w:rsidP="00DA50C0">
            <w:pPr>
              <w:pStyle w:val="TableTextRight"/>
            </w:pPr>
            <w:r>
              <w:t>121</w:t>
            </w:r>
          </w:p>
        </w:tc>
        <w:tc>
          <w:tcPr>
            <w:tcW w:w="1021" w:type="dxa"/>
          </w:tcPr>
          <w:p w14:paraId="36E1727F" w14:textId="77777777" w:rsidR="00D31BFE" w:rsidRDefault="00D31BFE" w:rsidP="00DA50C0">
            <w:pPr>
              <w:pStyle w:val="TableTextRight"/>
            </w:pPr>
            <w:r>
              <w:t>115</w:t>
            </w:r>
          </w:p>
        </w:tc>
        <w:tc>
          <w:tcPr>
            <w:tcW w:w="1021" w:type="dxa"/>
          </w:tcPr>
          <w:p w14:paraId="01F2477C" w14:textId="77777777" w:rsidR="00D31BFE" w:rsidRDefault="00D31BFE" w:rsidP="00DA50C0">
            <w:pPr>
              <w:pStyle w:val="TableTextRight"/>
            </w:pPr>
            <w:r>
              <w:t>112</w:t>
            </w:r>
          </w:p>
        </w:tc>
      </w:tr>
      <w:tr w:rsidR="00D31BFE" w14:paraId="50D5ED4F" w14:textId="77777777" w:rsidTr="00E324F1">
        <w:trPr>
          <w:trHeight w:val="68"/>
        </w:trPr>
        <w:tc>
          <w:tcPr>
            <w:tcW w:w="3062" w:type="dxa"/>
          </w:tcPr>
          <w:p w14:paraId="782EF4B9" w14:textId="77777777" w:rsidR="00D31BFE" w:rsidRDefault="00D31BFE" w:rsidP="00DA50C0">
            <w:pPr>
              <w:pStyle w:val="TableText"/>
            </w:pPr>
            <w:r>
              <w:t>Sex work brothel managers</w:t>
            </w:r>
          </w:p>
        </w:tc>
        <w:tc>
          <w:tcPr>
            <w:tcW w:w="1021" w:type="dxa"/>
          </w:tcPr>
          <w:p w14:paraId="3C6F5252" w14:textId="77777777" w:rsidR="00D31BFE" w:rsidRDefault="00D31BFE" w:rsidP="00DA50C0">
            <w:pPr>
              <w:pStyle w:val="TableTextRight"/>
            </w:pPr>
            <w:r>
              <w:t>192</w:t>
            </w:r>
          </w:p>
        </w:tc>
        <w:tc>
          <w:tcPr>
            <w:tcW w:w="1021" w:type="dxa"/>
          </w:tcPr>
          <w:p w14:paraId="15B5EA09" w14:textId="77777777" w:rsidR="00D31BFE" w:rsidRDefault="00D31BFE" w:rsidP="00DA50C0">
            <w:pPr>
              <w:pStyle w:val="TableTextRight"/>
            </w:pPr>
            <w:r>
              <w:t>121</w:t>
            </w:r>
          </w:p>
        </w:tc>
        <w:tc>
          <w:tcPr>
            <w:tcW w:w="1021" w:type="dxa"/>
          </w:tcPr>
          <w:p w14:paraId="7EE0115D" w14:textId="77777777" w:rsidR="00D31BFE" w:rsidRDefault="00D31BFE" w:rsidP="00DA50C0">
            <w:pPr>
              <w:pStyle w:val="TableTextRight"/>
            </w:pPr>
            <w:r>
              <w:t>81</w:t>
            </w:r>
          </w:p>
        </w:tc>
        <w:tc>
          <w:tcPr>
            <w:tcW w:w="1021" w:type="dxa"/>
          </w:tcPr>
          <w:p w14:paraId="75072287" w14:textId="77777777" w:rsidR="00D31BFE" w:rsidRDefault="00D31BFE" w:rsidP="00DA50C0">
            <w:pPr>
              <w:pStyle w:val="TableTextRight"/>
            </w:pPr>
            <w:r>
              <w:t>656</w:t>
            </w:r>
          </w:p>
        </w:tc>
        <w:tc>
          <w:tcPr>
            <w:tcW w:w="1021" w:type="dxa"/>
          </w:tcPr>
          <w:p w14:paraId="2DC49E17" w14:textId="77777777" w:rsidR="00D31BFE" w:rsidRDefault="00D31BFE" w:rsidP="00DA50C0">
            <w:pPr>
              <w:pStyle w:val="TableTextRight"/>
            </w:pPr>
            <w:r>
              <w:t>616</w:t>
            </w:r>
          </w:p>
        </w:tc>
        <w:tc>
          <w:tcPr>
            <w:tcW w:w="1021" w:type="dxa"/>
          </w:tcPr>
          <w:p w14:paraId="6AF1945F" w14:textId="77777777" w:rsidR="00D31BFE" w:rsidRDefault="00D31BFE" w:rsidP="00DA50C0">
            <w:pPr>
              <w:pStyle w:val="TableTextRight"/>
            </w:pPr>
            <w:r>
              <w:t>558</w:t>
            </w:r>
          </w:p>
        </w:tc>
      </w:tr>
      <w:tr w:rsidR="00D31BFE" w14:paraId="17DE21E1" w14:textId="77777777" w:rsidTr="00E324F1">
        <w:trPr>
          <w:trHeight w:val="68"/>
        </w:trPr>
        <w:tc>
          <w:tcPr>
            <w:tcW w:w="3062" w:type="dxa"/>
          </w:tcPr>
          <w:p w14:paraId="39FDBFA6" w14:textId="77777777" w:rsidR="00D31BFE" w:rsidRDefault="00D31BFE" w:rsidP="00DA50C0">
            <w:pPr>
              <w:pStyle w:val="TableText"/>
            </w:pPr>
            <w:r>
              <w:t>Rooming house operators</w:t>
            </w:r>
          </w:p>
        </w:tc>
        <w:tc>
          <w:tcPr>
            <w:tcW w:w="1021" w:type="dxa"/>
          </w:tcPr>
          <w:p w14:paraId="56AE15E0" w14:textId="77777777" w:rsidR="00D31BFE" w:rsidRDefault="00D31BFE" w:rsidP="00DA50C0">
            <w:pPr>
              <w:pStyle w:val="TableTextRight"/>
            </w:pPr>
            <w:r>
              <w:t>664</w:t>
            </w:r>
          </w:p>
        </w:tc>
        <w:tc>
          <w:tcPr>
            <w:tcW w:w="1021" w:type="dxa"/>
          </w:tcPr>
          <w:p w14:paraId="6F8A12A8" w14:textId="77777777" w:rsidR="00D31BFE" w:rsidRDefault="00D31BFE" w:rsidP="00DA50C0">
            <w:pPr>
              <w:pStyle w:val="TableTextRight"/>
            </w:pPr>
            <w:r>
              <w:t>151</w:t>
            </w:r>
          </w:p>
        </w:tc>
        <w:tc>
          <w:tcPr>
            <w:tcW w:w="1021" w:type="dxa"/>
          </w:tcPr>
          <w:p w14:paraId="1EFAA088" w14:textId="77777777" w:rsidR="00D31BFE" w:rsidRDefault="00D31BFE" w:rsidP="00DA50C0">
            <w:pPr>
              <w:pStyle w:val="TableTextRight"/>
            </w:pPr>
            <w:r>
              <w:t>143</w:t>
            </w:r>
          </w:p>
        </w:tc>
        <w:tc>
          <w:tcPr>
            <w:tcW w:w="1021" w:type="dxa"/>
          </w:tcPr>
          <w:p w14:paraId="0FED51A8" w14:textId="77777777" w:rsidR="00D31BFE" w:rsidRDefault="00D31BFE" w:rsidP="00DA50C0">
            <w:pPr>
              <w:pStyle w:val="TableTextRight"/>
            </w:pPr>
            <w:r>
              <w:t>859</w:t>
            </w:r>
          </w:p>
        </w:tc>
        <w:tc>
          <w:tcPr>
            <w:tcW w:w="1021" w:type="dxa"/>
          </w:tcPr>
          <w:p w14:paraId="1E62621D" w14:textId="77777777" w:rsidR="00D31BFE" w:rsidRDefault="00D31BFE" w:rsidP="00DA50C0">
            <w:pPr>
              <w:pStyle w:val="TableTextRight"/>
            </w:pPr>
            <w:r>
              <w:t>1,002</w:t>
            </w:r>
          </w:p>
        </w:tc>
        <w:tc>
          <w:tcPr>
            <w:tcW w:w="1021" w:type="dxa"/>
          </w:tcPr>
          <w:p w14:paraId="3F5AC256" w14:textId="77777777" w:rsidR="00D31BFE" w:rsidRDefault="00D31BFE" w:rsidP="00DA50C0">
            <w:pPr>
              <w:pStyle w:val="TableTextRight"/>
            </w:pPr>
            <w:r>
              <w:t>1,099</w:t>
            </w:r>
          </w:p>
        </w:tc>
      </w:tr>
    </w:tbl>
    <w:p w14:paraId="3FC676E6" w14:textId="77777777" w:rsidR="00D31BFE" w:rsidRPr="00FC56D9" w:rsidRDefault="00D31BFE" w:rsidP="00D31BFE">
      <w:pPr>
        <w:pStyle w:val="BodyText"/>
      </w:pPr>
      <w:r w:rsidRPr="00FC56D9">
        <w:br w:type="page"/>
      </w:r>
    </w:p>
    <w:p w14:paraId="3BCC3E4E" w14:textId="77777777" w:rsidR="00D31BFE" w:rsidRDefault="00D31BFE" w:rsidP="00D31BFE">
      <w:pPr>
        <w:pStyle w:val="Heading3"/>
      </w:pPr>
      <w:bookmarkStart w:id="16" w:name="_Toc55998359"/>
      <w:r>
        <w:lastRenderedPageBreak/>
        <w:t>Outcome 2 – Victorians exercise their consumer rights</w:t>
      </w:r>
      <w:bookmarkEnd w:id="16"/>
    </w:p>
    <w:p w14:paraId="257F0DA1" w14:textId="52F654AC" w:rsidR="00D31BFE" w:rsidRDefault="00D31BFE" w:rsidP="00D31BFE">
      <w:pPr>
        <w:pStyle w:val="BodyText"/>
      </w:pPr>
      <w:r>
        <w:t>We empower Victorians to exercise their consumer rights by providing information and support. We</w:t>
      </w:r>
      <w:r w:rsidR="000965E1">
        <w:t> </w:t>
      </w:r>
      <w:r>
        <w:t>continue to work with partner organisations to improve our services, and to target groups with specialised information needs.</w:t>
      </w:r>
    </w:p>
    <w:p w14:paraId="163AA46B" w14:textId="77777777" w:rsidR="00D31BFE" w:rsidRDefault="00D31BFE" w:rsidP="00D31BFE">
      <w:pPr>
        <w:pStyle w:val="Caption"/>
      </w:pPr>
      <w:r>
        <w:t>Table 4: Information, advice and assistance provided to consumers</w:t>
      </w:r>
    </w:p>
    <w:tbl>
      <w:tblPr>
        <w:tblStyle w:val="TableGrid"/>
        <w:tblW w:w="9072" w:type="dxa"/>
        <w:tblLayout w:type="fixed"/>
        <w:tblLook w:val="06A0" w:firstRow="1" w:lastRow="0" w:firstColumn="1" w:lastColumn="0" w:noHBand="1" w:noVBand="1"/>
      </w:tblPr>
      <w:tblGrid>
        <w:gridCol w:w="6009"/>
        <w:gridCol w:w="1021"/>
        <w:gridCol w:w="1021"/>
        <w:gridCol w:w="1021"/>
      </w:tblGrid>
      <w:tr w:rsidR="00D31BFE" w14:paraId="7CFFA763" w14:textId="77777777" w:rsidTr="00B14F5B">
        <w:trPr>
          <w:cnfStyle w:val="100000000000" w:firstRow="1" w:lastRow="0" w:firstColumn="0" w:lastColumn="0" w:oddVBand="0" w:evenVBand="0" w:oddHBand="0" w:evenHBand="0" w:firstRowFirstColumn="0" w:firstRowLastColumn="0" w:lastRowFirstColumn="0" w:lastRowLastColumn="0"/>
          <w:trHeight w:val="60"/>
          <w:tblHeader/>
        </w:trPr>
        <w:tc>
          <w:tcPr>
            <w:tcW w:w="6010" w:type="dxa"/>
          </w:tcPr>
          <w:p w14:paraId="62C268EC" w14:textId="77777777" w:rsidR="00D31BFE" w:rsidRDefault="00D31BFE" w:rsidP="00DA50C0">
            <w:pPr>
              <w:pStyle w:val="TableColHead"/>
            </w:pPr>
          </w:p>
        </w:tc>
        <w:tc>
          <w:tcPr>
            <w:tcW w:w="1021" w:type="dxa"/>
          </w:tcPr>
          <w:p w14:paraId="57400D95" w14:textId="77777777" w:rsidR="00D31BFE" w:rsidRDefault="00D31BFE" w:rsidP="00DA50C0">
            <w:pPr>
              <w:pStyle w:val="TableColHeadRight"/>
            </w:pPr>
            <w:r>
              <w:t>2017–18</w:t>
            </w:r>
          </w:p>
        </w:tc>
        <w:tc>
          <w:tcPr>
            <w:tcW w:w="1021" w:type="dxa"/>
          </w:tcPr>
          <w:p w14:paraId="4F5603E4" w14:textId="77777777" w:rsidR="00D31BFE" w:rsidRDefault="00D31BFE" w:rsidP="00DA50C0">
            <w:pPr>
              <w:pStyle w:val="TableColHeadRight"/>
            </w:pPr>
            <w:r>
              <w:t>2018–19</w:t>
            </w:r>
          </w:p>
        </w:tc>
        <w:tc>
          <w:tcPr>
            <w:tcW w:w="1021" w:type="dxa"/>
          </w:tcPr>
          <w:p w14:paraId="31E017D9" w14:textId="77777777" w:rsidR="00D31BFE" w:rsidRDefault="00D31BFE" w:rsidP="00DA50C0">
            <w:pPr>
              <w:pStyle w:val="TableColHeadRight"/>
            </w:pPr>
            <w:r>
              <w:t>2019–20</w:t>
            </w:r>
          </w:p>
        </w:tc>
      </w:tr>
      <w:tr w:rsidR="00D31BFE" w14:paraId="0EE863C1" w14:textId="77777777" w:rsidTr="00B14F5B">
        <w:trPr>
          <w:trHeight w:val="60"/>
        </w:trPr>
        <w:tc>
          <w:tcPr>
            <w:tcW w:w="6010" w:type="dxa"/>
            <w:gridSpan w:val="4"/>
            <w:shd w:val="clear" w:color="auto" w:fill="B2D5F0"/>
          </w:tcPr>
          <w:p w14:paraId="76C56CB5" w14:textId="77777777" w:rsidR="00D31BFE" w:rsidRDefault="00D31BFE" w:rsidP="00DA50C0">
            <w:pPr>
              <w:pStyle w:val="TableTextBold"/>
            </w:pPr>
            <w:r>
              <w:t>Information and advice</w:t>
            </w:r>
          </w:p>
        </w:tc>
      </w:tr>
      <w:tr w:rsidR="00D31BFE" w14:paraId="73B30875" w14:textId="77777777" w:rsidTr="00B14F5B">
        <w:trPr>
          <w:trHeight w:val="60"/>
        </w:trPr>
        <w:tc>
          <w:tcPr>
            <w:tcW w:w="6010" w:type="dxa"/>
          </w:tcPr>
          <w:p w14:paraId="04478A4E" w14:textId="77777777" w:rsidR="00D31BFE" w:rsidRDefault="00D31BFE" w:rsidP="00DA50C0">
            <w:pPr>
              <w:pStyle w:val="TableText"/>
            </w:pPr>
            <w:r>
              <w:t>Calls answered</w:t>
            </w:r>
            <w:r>
              <w:rPr>
                <w:vertAlign w:val="superscript"/>
              </w:rPr>
              <w:footnoteReference w:id="13"/>
            </w:r>
          </w:p>
        </w:tc>
        <w:tc>
          <w:tcPr>
            <w:tcW w:w="1021" w:type="dxa"/>
          </w:tcPr>
          <w:p w14:paraId="479185BD" w14:textId="77777777" w:rsidR="00D31BFE" w:rsidRDefault="00D31BFE" w:rsidP="00DA50C0">
            <w:pPr>
              <w:pStyle w:val="TableTextRight"/>
            </w:pPr>
            <w:r>
              <w:t>304,048</w:t>
            </w:r>
          </w:p>
        </w:tc>
        <w:tc>
          <w:tcPr>
            <w:tcW w:w="1021" w:type="dxa"/>
          </w:tcPr>
          <w:p w14:paraId="34C46E5D" w14:textId="77777777" w:rsidR="00D31BFE" w:rsidRDefault="00D31BFE" w:rsidP="00DA50C0">
            <w:pPr>
              <w:pStyle w:val="TableTextRight"/>
            </w:pPr>
            <w:r>
              <w:t>295,955</w:t>
            </w:r>
          </w:p>
        </w:tc>
        <w:tc>
          <w:tcPr>
            <w:tcW w:w="1021" w:type="dxa"/>
          </w:tcPr>
          <w:p w14:paraId="6ECAC34B" w14:textId="77777777" w:rsidR="00D31BFE" w:rsidRDefault="00D31BFE" w:rsidP="00DA50C0">
            <w:pPr>
              <w:pStyle w:val="TableTextRight"/>
            </w:pPr>
            <w:r>
              <w:t>234,632</w:t>
            </w:r>
          </w:p>
        </w:tc>
      </w:tr>
      <w:tr w:rsidR="00D31BFE" w14:paraId="7856339A" w14:textId="77777777" w:rsidTr="00B14F5B">
        <w:trPr>
          <w:trHeight w:val="60"/>
        </w:trPr>
        <w:tc>
          <w:tcPr>
            <w:tcW w:w="6010" w:type="dxa"/>
            <w:gridSpan w:val="4"/>
            <w:shd w:val="clear" w:color="auto" w:fill="B2D5F0"/>
          </w:tcPr>
          <w:p w14:paraId="36586638" w14:textId="77777777" w:rsidR="00D31BFE" w:rsidRDefault="00D31BFE" w:rsidP="00DA50C0">
            <w:pPr>
              <w:pStyle w:val="TableTextBold"/>
            </w:pPr>
            <w:r>
              <w:t>Advice provided to resolve disputes</w:t>
            </w:r>
          </w:p>
        </w:tc>
      </w:tr>
      <w:tr w:rsidR="00D31BFE" w14:paraId="1FBDA75A" w14:textId="77777777" w:rsidTr="00B14F5B">
        <w:trPr>
          <w:trHeight w:val="60"/>
        </w:trPr>
        <w:tc>
          <w:tcPr>
            <w:tcW w:w="6010" w:type="dxa"/>
          </w:tcPr>
          <w:p w14:paraId="1E06A32B" w14:textId="77777777" w:rsidR="00D31BFE" w:rsidRDefault="00D31BFE" w:rsidP="00DA50C0">
            <w:pPr>
              <w:pStyle w:val="TableText"/>
            </w:pPr>
            <w:r>
              <w:t>Disputes finalised</w:t>
            </w:r>
            <w:r>
              <w:rPr>
                <w:vertAlign w:val="superscript"/>
              </w:rPr>
              <w:footnoteReference w:id="14"/>
            </w:r>
          </w:p>
        </w:tc>
        <w:tc>
          <w:tcPr>
            <w:tcW w:w="1021" w:type="dxa"/>
          </w:tcPr>
          <w:p w14:paraId="7FAE64C9" w14:textId="77777777" w:rsidR="00D31BFE" w:rsidRDefault="00D31BFE" w:rsidP="00DA50C0">
            <w:pPr>
              <w:pStyle w:val="TableTextRight"/>
            </w:pPr>
            <w:r>
              <w:t>6,827</w:t>
            </w:r>
          </w:p>
        </w:tc>
        <w:tc>
          <w:tcPr>
            <w:tcW w:w="1021" w:type="dxa"/>
          </w:tcPr>
          <w:p w14:paraId="605D6DC0" w14:textId="77777777" w:rsidR="00D31BFE" w:rsidRDefault="00D31BFE" w:rsidP="00DA50C0">
            <w:pPr>
              <w:pStyle w:val="TableTextRight"/>
            </w:pPr>
            <w:r>
              <w:t>6,752</w:t>
            </w:r>
          </w:p>
        </w:tc>
        <w:tc>
          <w:tcPr>
            <w:tcW w:w="1021" w:type="dxa"/>
          </w:tcPr>
          <w:p w14:paraId="7B484CF7" w14:textId="77777777" w:rsidR="00D31BFE" w:rsidRDefault="00D31BFE" w:rsidP="00DA50C0">
            <w:pPr>
              <w:pStyle w:val="TableTextRight"/>
            </w:pPr>
            <w:r>
              <w:t>12,826</w:t>
            </w:r>
          </w:p>
        </w:tc>
      </w:tr>
      <w:tr w:rsidR="00D31BFE" w14:paraId="645C4571" w14:textId="77777777" w:rsidTr="00B14F5B">
        <w:trPr>
          <w:trHeight w:val="60"/>
        </w:trPr>
        <w:tc>
          <w:tcPr>
            <w:tcW w:w="6010" w:type="dxa"/>
            <w:gridSpan w:val="4"/>
            <w:shd w:val="clear" w:color="auto" w:fill="B2D5F0"/>
          </w:tcPr>
          <w:p w14:paraId="49C9F8D8" w14:textId="77777777" w:rsidR="00D31BFE" w:rsidRDefault="00D31BFE" w:rsidP="00DA50C0">
            <w:pPr>
              <w:pStyle w:val="TableTextBold"/>
            </w:pPr>
            <w:r>
              <w:t>Digital</w:t>
            </w:r>
          </w:p>
        </w:tc>
      </w:tr>
      <w:tr w:rsidR="00D31BFE" w14:paraId="34926CDC" w14:textId="77777777" w:rsidTr="00B14F5B">
        <w:trPr>
          <w:trHeight w:val="60"/>
        </w:trPr>
        <w:tc>
          <w:tcPr>
            <w:tcW w:w="6010" w:type="dxa"/>
          </w:tcPr>
          <w:p w14:paraId="42E0EB20" w14:textId="77777777" w:rsidR="00D31BFE" w:rsidRDefault="00D31BFE" w:rsidP="00DA50C0">
            <w:pPr>
              <w:pStyle w:val="TableText"/>
            </w:pPr>
            <w:r>
              <w:t>Website visits</w:t>
            </w:r>
            <w:r>
              <w:rPr>
                <w:vertAlign w:val="superscript"/>
              </w:rPr>
              <w:footnoteReference w:id="15"/>
            </w:r>
          </w:p>
        </w:tc>
        <w:tc>
          <w:tcPr>
            <w:tcW w:w="1021" w:type="dxa"/>
          </w:tcPr>
          <w:p w14:paraId="49A8F3C1" w14:textId="77777777" w:rsidR="00D31BFE" w:rsidRDefault="00D31BFE" w:rsidP="00DA50C0">
            <w:pPr>
              <w:pStyle w:val="TableTextRight"/>
            </w:pPr>
            <w:r>
              <w:t>3,603,610</w:t>
            </w:r>
          </w:p>
        </w:tc>
        <w:tc>
          <w:tcPr>
            <w:tcW w:w="1021" w:type="dxa"/>
          </w:tcPr>
          <w:p w14:paraId="719C17BD" w14:textId="77777777" w:rsidR="00D31BFE" w:rsidRDefault="00D31BFE" w:rsidP="00DA50C0">
            <w:pPr>
              <w:pStyle w:val="TableTextRight"/>
            </w:pPr>
            <w:r>
              <w:t>3,675,683</w:t>
            </w:r>
          </w:p>
        </w:tc>
        <w:tc>
          <w:tcPr>
            <w:tcW w:w="1021" w:type="dxa"/>
          </w:tcPr>
          <w:p w14:paraId="0C47ABB1" w14:textId="77777777" w:rsidR="00D31BFE" w:rsidRDefault="00D31BFE" w:rsidP="00DA50C0">
            <w:pPr>
              <w:pStyle w:val="TableTextRight"/>
            </w:pPr>
            <w:r>
              <w:t>4,466,428</w:t>
            </w:r>
          </w:p>
        </w:tc>
      </w:tr>
      <w:tr w:rsidR="00D31BFE" w14:paraId="19A0BE0E" w14:textId="77777777" w:rsidTr="00B14F5B">
        <w:trPr>
          <w:trHeight w:val="60"/>
        </w:trPr>
        <w:tc>
          <w:tcPr>
            <w:tcW w:w="6010" w:type="dxa"/>
          </w:tcPr>
          <w:p w14:paraId="7066F94E" w14:textId="77777777" w:rsidR="00D31BFE" w:rsidRDefault="00D31BFE" w:rsidP="00DA50C0">
            <w:pPr>
              <w:pStyle w:val="TableText"/>
            </w:pPr>
            <w:r>
              <w:t>Letters, emails and online enquiry form contacts</w:t>
            </w:r>
            <w:r>
              <w:rPr>
                <w:vertAlign w:val="superscript"/>
              </w:rPr>
              <w:footnoteReference w:id="16"/>
            </w:r>
          </w:p>
        </w:tc>
        <w:tc>
          <w:tcPr>
            <w:tcW w:w="1021" w:type="dxa"/>
          </w:tcPr>
          <w:p w14:paraId="397706D2" w14:textId="77777777" w:rsidR="00D31BFE" w:rsidRDefault="00D31BFE" w:rsidP="00DA50C0">
            <w:pPr>
              <w:pStyle w:val="TableTextRight"/>
            </w:pPr>
            <w:r>
              <w:t>65,378</w:t>
            </w:r>
          </w:p>
        </w:tc>
        <w:tc>
          <w:tcPr>
            <w:tcW w:w="1021" w:type="dxa"/>
          </w:tcPr>
          <w:p w14:paraId="264D65E8" w14:textId="77777777" w:rsidR="00D31BFE" w:rsidRDefault="00D31BFE" w:rsidP="00DA50C0">
            <w:pPr>
              <w:pStyle w:val="TableTextRight"/>
            </w:pPr>
            <w:r>
              <w:t>62,860</w:t>
            </w:r>
          </w:p>
        </w:tc>
        <w:tc>
          <w:tcPr>
            <w:tcW w:w="1021" w:type="dxa"/>
          </w:tcPr>
          <w:p w14:paraId="024B30EE" w14:textId="77777777" w:rsidR="00D31BFE" w:rsidRDefault="00D31BFE" w:rsidP="00DA50C0">
            <w:pPr>
              <w:pStyle w:val="TableTextRight"/>
            </w:pPr>
            <w:r>
              <w:t>90,252</w:t>
            </w:r>
          </w:p>
        </w:tc>
      </w:tr>
      <w:tr w:rsidR="00D31BFE" w14:paraId="176BA247" w14:textId="77777777" w:rsidTr="00B14F5B">
        <w:trPr>
          <w:trHeight w:val="60"/>
        </w:trPr>
        <w:tc>
          <w:tcPr>
            <w:tcW w:w="6010" w:type="dxa"/>
          </w:tcPr>
          <w:p w14:paraId="46A7DD47" w14:textId="77777777" w:rsidR="00D31BFE" w:rsidRDefault="00D31BFE" w:rsidP="00DA50C0">
            <w:pPr>
              <w:pStyle w:val="TableText"/>
            </w:pPr>
            <w:r>
              <w:t>Twitter followers</w:t>
            </w:r>
          </w:p>
        </w:tc>
        <w:tc>
          <w:tcPr>
            <w:tcW w:w="1021" w:type="dxa"/>
          </w:tcPr>
          <w:p w14:paraId="30E0D47F" w14:textId="77777777" w:rsidR="00D31BFE" w:rsidRDefault="00D31BFE" w:rsidP="00DA50C0">
            <w:pPr>
              <w:pStyle w:val="TableTextRight"/>
            </w:pPr>
            <w:r>
              <w:t>10,175</w:t>
            </w:r>
          </w:p>
        </w:tc>
        <w:tc>
          <w:tcPr>
            <w:tcW w:w="1021" w:type="dxa"/>
          </w:tcPr>
          <w:p w14:paraId="3C44CE99" w14:textId="77777777" w:rsidR="00D31BFE" w:rsidRDefault="00D31BFE" w:rsidP="00DA50C0">
            <w:pPr>
              <w:pStyle w:val="TableTextRight"/>
            </w:pPr>
            <w:r>
              <w:t>10,240</w:t>
            </w:r>
          </w:p>
        </w:tc>
        <w:tc>
          <w:tcPr>
            <w:tcW w:w="1021" w:type="dxa"/>
          </w:tcPr>
          <w:p w14:paraId="36B6A1D8" w14:textId="77777777" w:rsidR="00D31BFE" w:rsidRDefault="00D31BFE" w:rsidP="00DA50C0">
            <w:pPr>
              <w:pStyle w:val="TableTextRight"/>
            </w:pPr>
            <w:r>
              <w:t>10,466</w:t>
            </w:r>
          </w:p>
        </w:tc>
      </w:tr>
      <w:tr w:rsidR="00D31BFE" w14:paraId="1A7470E8" w14:textId="77777777" w:rsidTr="00B14F5B">
        <w:trPr>
          <w:trHeight w:val="60"/>
        </w:trPr>
        <w:tc>
          <w:tcPr>
            <w:tcW w:w="6010" w:type="dxa"/>
          </w:tcPr>
          <w:p w14:paraId="173D4A39" w14:textId="77777777" w:rsidR="00D31BFE" w:rsidRDefault="00D31BFE" w:rsidP="00DA50C0">
            <w:pPr>
              <w:pStyle w:val="TableText"/>
            </w:pPr>
            <w:r>
              <w:t>Facebook page likes</w:t>
            </w:r>
          </w:p>
        </w:tc>
        <w:tc>
          <w:tcPr>
            <w:tcW w:w="1021" w:type="dxa"/>
          </w:tcPr>
          <w:p w14:paraId="25552AAD" w14:textId="77777777" w:rsidR="00D31BFE" w:rsidRDefault="00D31BFE" w:rsidP="00DA50C0">
            <w:pPr>
              <w:pStyle w:val="TableTextRight"/>
            </w:pPr>
            <w:r>
              <w:t>42,600</w:t>
            </w:r>
          </w:p>
        </w:tc>
        <w:tc>
          <w:tcPr>
            <w:tcW w:w="1021" w:type="dxa"/>
          </w:tcPr>
          <w:p w14:paraId="4F52EAA4" w14:textId="77777777" w:rsidR="00D31BFE" w:rsidRDefault="00D31BFE" w:rsidP="00DA50C0">
            <w:pPr>
              <w:pStyle w:val="TableTextRight"/>
            </w:pPr>
            <w:r>
              <w:t>45,657</w:t>
            </w:r>
          </w:p>
        </w:tc>
        <w:tc>
          <w:tcPr>
            <w:tcW w:w="1021" w:type="dxa"/>
          </w:tcPr>
          <w:p w14:paraId="3B006D78" w14:textId="77777777" w:rsidR="00D31BFE" w:rsidRDefault="00D31BFE" w:rsidP="00DA50C0">
            <w:pPr>
              <w:pStyle w:val="TableTextRight"/>
            </w:pPr>
            <w:r>
              <w:t>46,932</w:t>
            </w:r>
          </w:p>
        </w:tc>
      </w:tr>
      <w:tr w:rsidR="00D31BFE" w14:paraId="72083CD8" w14:textId="77777777" w:rsidTr="00B14F5B">
        <w:trPr>
          <w:trHeight w:val="60"/>
        </w:trPr>
        <w:tc>
          <w:tcPr>
            <w:tcW w:w="6010" w:type="dxa"/>
          </w:tcPr>
          <w:p w14:paraId="001C45BC" w14:textId="77777777" w:rsidR="00D31BFE" w:rsidRDefault="00D31BFE" w:rsidP="00DA50C0">
            <w:pPr>
              <w:pStyle w:val="TableText"/>
            </w:pPr>
            <w:r>
              <w:t>YouTube video views</w:t>
            </w:r>
            <w:r>
              <w:rPr>
                <w:vertAlign w:val="superscript"/>
              </w:rPr>
              <w:footnoteReference w:id="17"/>
            </w:r>
          </w:p>
        </w:tc>
        <w:tc>
          <w:tcPr>
            <w:tcW w:w="1021" w:type="dxa"/>
          </w:tcPr>
          <w:p w14:paraId="57ABDB6B" w14:textId="77777777" w:rsidR="00D31BFE" w:rsidRDefault="00D31BFE" w:rsidP="00DA50C0">
            <w:pPr>
              <w:pStyle w:val="TableTextRight"/>
            </w:pPr>
            <w:r>
              <w:t>371,759</w:t>
            </w:r>
          </w:p>
        </w:tc>
        <w:tc>
          <w:tcPr>
            <w:tcW w:w="1021" w:type="dxa"/>
          </w:tcPr>
          <w:p w14:paraId="770D7275" w14:textId="77777777" w:rsidR="00D31BFE" w:rsidRDefault="00D31BFE" w:rsidP="00DA50C0">
            <w:pPr>
              <w:pStyle w:val="TableTextRight"/>
            </w:pPr>
            <w:r>
              <w:t>94,206</w:t>
            </w:r>
          </w:p>
        </w:tc>
        <w:tc>
          <w:tcPr>
            <w:tcW w:w="1021" w:type="dxa"/>
          </w:tcPr>
          <w:p w14:paraId="59ECF1E1" w14:textId="77777777" w:rsidR="00D31BFE" w:rsidRDefault="00D31BFE" w:rsidP="00DA50C0">
            <w:pPr>
              <w:pStyle w:val="TableTextRight"/>
            </w:pPr>
            <w:r>
              <w:t>234,978</w:t>
            </w:r>
          </w:p>
        </w:tc>
      </w:tr>
      <w:tr w:rsidR="00D31BFE" w14:paraId="1852EF0F" w14:textId="77777777" w:rsidTr="00B14F5B">
        <w:trPr>
          <w:trHeight w:val="60"/>
        </w:trPr>
        <w:tc>
          <w:tcPr>
            <w:tcW w:w="6010" w:type="dxa"/>
            <w:gridSpan w:val="4"/>
            <w:shd w:val="clear" w:color="auto" w:fill="B2D5F0"/>
          </w:tcPr>
          <w:p w14:paraId="41133131" w14:textId="77777777" w:rsidR="00D31BFE" w:rsidRDefault="00D31BFE" w:rsidP="00DA50C0">
            <w:pPr>
              <w:pStyle w:val="TableTextBold"/>
            </w:pPr>
            <w:r>
              <w:t>Community information</w:t>
            </w:r>
          </w:p>
        </w:tc>
      </w:tr>
      <w:tr w:rsidR="00D31BFE" w14:paraId="3993C64B" w14:textId="77777777" w:rsidTr="00B14F5B">
        <w:trPr>
          <w:trHeight w:val="60"/>
        </w:trPr>
        <w:tc>
          <w:tcPr>
            <w:tcW w:w="6010" w:type="dxa"/>
          </w:tcPr>
          <w:p w14:paraId="40A9C626" w14:textId="77777777" w:rsidR="00D31BFE" w:rsidRDefault="00D31BFE" w:rsidP="00DA50C0">
            <w:pPr>
              <w:pStyle w:val="TableText"/>
            </w:pPr>
            <w:r>
              <w:t>Information sessions</w:t>
            </w:r>
            <w:r>
              <w:rPr>
                <w:vertAlign w:val="superscript"/>
              </w:rPr>
              <w:footnoteReference w:id="18"/>
            </w:r>
          </w:p>
        </w:tc>
        <w:tc>
          <w:tcPr>
            <w:tcW w:w="1021" w:type="dxa"/>
          </w:tcPr>
          <w:p w14:paraId="4C238662" w14:textId="77777777" w:rsidR="00D31BFE" w:rsidRDefault="00D31BFE" w:rsidP="00DA50C0">
            <w:pPr>
              <w:pStyle w:val="TableTextRight"/>
            </w:pPr>
            <w:r>
              <w:t>936</w:t>
            </w:r>
          </w:p>
        </w:tc>
        <w:tc>
          <w:tcPr>
            <w:tcW w:w="1021" w:type="dxa"/>
          </w:tcPr>
          <w:p w14:paraId="09E72AA2" w14:textId="77777777" w:rsidR="00D31BFE" w:rsidRDefault="00D31BFE" w:rsidP="00DA50C0">
            <w:pPr>
              <w:pStyle w:val="TableTextRight"/>
            </w:pPr>
            <w:r>
              <w:t>629</w:t>
            </w:r>
          </w:p>
        </w:tc>
        <w:tc>
          <w:tcPr>
            <w:tcW w:w="1021" w:type="dxa"/>
          </w:tcPr>
          <w:p w14:paraId="045B31D7" w14:textId="77777777" w:rsidR="00D31BFE" w:rsidRDefault="00D31BFE" w:rsidP="00DA50C0">
            <w:pPr>
              <w:pStyle w:val="TableTextRight"/>
            </w:pPr>
            <w:r>
              <w:t>344</w:t>
            </w:r>
          </w:p>
        </w:tc>
      </w:tr>
      <w:tr w:rsidR="00D31BFE" w14:paraId="0E972CDB" w14:textId="77777777" w:rsidTr="00B14F5B">
        <w:trPr>
          <w:trHeight w:val="360"/>
        </w:trPr>
        <w:tc>
          <w:tcPr>
            <w:tcW w:w="6010" w:type="dxa"/>
            <w:gridSpan w:val="4"/>
            <w:shd w:val="clear" w:color="auto" w:fill="B2D5F0"/>
          </w:tcPr>
          <w:p w14:paraId="752B0622" w14:textId="77777777" w:rsidR="00D31BFE" w:rsidRDefault="00D31BFE" w:rsidP="00DA50C0">
            <w:pPr>
              <w:pStyle w:val="TableTextBold"/>
            </w:pPr>
            <w:r>
              <w:t>Face-to-face or intensive assistance (funded community services)</w:t>
            </w:r>
          </w:p>
        </w:tc>
      </w:tr>
      <w:tr w:rsidR="00D31BFE" w14:paraId="78B8E98E" w14:textId="77777777" w:rsidTr="00B14F5B">
        <w:trPr>
          <w:trHeight w:val="60"/>
        </w:trPr>
        <w:tc>
          <w:tcPr>
            <w:tcW w:w="6010" w:type="dxa"/>
          </w:tcPr>
          <w:p w14:paraId="58A0939E" w14:textId="77777777" w:rsidR="00D31BFE" w:rsidRDefault="00D31BFE" w:rsidP="00DA50C0">
            <w:pPr>
              <w:pStyle w:val="TableText"/>
            </w:pPr>
            <w:r>
              <w:t>Victorians assisted under the Consumer Assistance and Advocacy Program</w:t>
            </w:r>
          </w:p>
        </w:tc>
        <w:tc>
          <w:tcPr>
            <w:tcW w:w="1021" w:type="dxa"/>
          </w:tcPr>
          <w:p w14:paraId="234BE7DF" w14:textId="77777777" w:rsidR="00D31BFE" w:rsidRDefault="00D31BFE" w:rsidP="00DA50C0">
            <w:pPr>
              <w:pStyle w:val="TableTextRight"/>
            </w:pPr>
            <w:r>
              <w:t>618</w:t>
            </w:r>
          </w:p>
        </w:tc>
        <w:tc>
          <w:tcPr>
            <w:tcW w:w="1021" w:type="dxa"/>
          </w:tcPr>
          <w:p w14:paraId="320B16D3" w14:textId="77777777" w:rsidR="00D31BFE" w:rsidRDefault="00D31BFE" w:rsidP="00DA50C0">
            <w:pPr>
              <w:pStyle w:val="TableTextRight"/>
            </w:pPr>
            <w:r>
              <w:t>828</w:t>
            </w:r>
          </w:p>
        </w:tc>
        <w:tc>
          <w:tcPr>
            <w:tcW w:w="1021" w:type="dxa"/>
          </w:tcPr>
          <w:p w14:paraId="6E777B0F" w14:textId="77777777" w:rsidR="00D31BFE" w:rsidRDefault="00D31BFE" w:rsidP="00DA50C0">
            <w:pPr>
              <w:pStyle w:val="TableTextRight"/>
            </w:pPr>
            <w:r>
              <w:t>562</w:t>
            </w:r>
          </w:p>
        </w:tc>
      </w:tr>
      <w:tr w:rsidR="00D31BFE" w14:paraId="5B18EB8B" w14:textId="77777777" w:rsidTr="00B14F5B">
        <w:trPr>
          <w:trHeight w:val="60"/>
        </w:trPr>
        <w:tc>
          <w:tcPr>
            <w:tcW w:w="6010" w:type="dxa"/>
          </w:tcPr>
          <w:p w14:paraId="68E4D735" w14:textId="77777777" w:rsidR="00D31BFE" w:rsidRDefault="00D31BFE" w:rsidP="00DA50C0">
            <w:pPr>
              <w:pStyle w:val="TableText"/>
            </w:pPr>
            <w:r>
              <w:t>Clients assisted with financial counselling</w:t>
            </w:r>
            <w:r>
              <w:rPr>
                <w:vertAlign w:val="superscript"/>
              </w:rPr>
              <w:footnoteReference w:id="19"/>
            </w:r>
          </w:p>
        </w:tc>
        <w:tc>
          <w:tcPr>
            <w:tcW w:w="1021" w:type="dxa"/>
          </w:tcPr>
          <w:p w14:paraId="2E20F860" w14:textId="77777777" w:rsidR="00D31BFE" w:rsidRDefault="00D31BFE" w:rsidP="00DA50C0">
            <w:pPr>
              <w:pStyle w:val="TableTextRight"/>
            </w:pPr>
            <w:r>
              <w:t>32,839</w:t>
            </w:r>
          </w:p>
        </w:tc>
        <w:tc>
          <w:tcPr>
            <w:tcW w:w="1021" w:type="dxa"/>
          </w:tcPr>
          <w:p w14:paraId="41E558D6" w14:textId="77777777" w:rsidR="00D31BFE" w:rsidRDefault="00D31BFE" w:rsidP="00DA50C0">
            <w:pPr>
              <w:pStyle w:val="TableTextRight"/>
            </w:pPr>
            <w:r>
              <w:t>32,489</w:t>
            </w:r>
          </w:p>
        </w:tc>
        <w:tc>
          <w:tcPr>
            <w:tcW w:w="1021" w:type="dxa"/>
          </w:tcPr>
          <w:p w14:paraId="168DDB0B" w14:textId="77777777" w:rsidR="00D31BFE" w:rsidRDefault="00D31BFE" w:rsidP="00DA50C0">
            <w:pPr>
              <w:pStyle w:val="TableTextRight"/>
            </w:pPr>
            <w:r>
              <w:t>28,999</w:t>
            </w:r>
          </w:p>
        </w:tc>
      </w:tr>
    </w:tbl>
    <w:p w14:paraId="66111653" w14:textId="5A12A693" w:rsidR="00D31BFE" w:rsidRDefault="00D31BFE" w:rsidP="004D56A7">
      <w:pPr>
        <w:pStyle w:val="Heading4"/>
        <w:pageBreakBefore/>
      </w:pPr>
      <w:r>
        <w:lastRenderedPageBreak/>
        <w:t>Know your rights as Victorians adapt to coronavirus</w:t>
      </w:r>
    </w:p>
    <w:p w14:paraId="38925E65" w14:textId="77777777" w:rsidR="00D31BFE" w:rsidRDefault="00D31BFE" w:rsidP="00D31BFE">
      <w:pPr>
        <w:pStyle w:val="BodyText"/>
      </w:pPr>
      <w:r>
        <w:t>The outbreak of the coronavirus (COVID-19) pandemic saw a significant increase in malicious activity surrounding coronavirus, including misinformation made to appear to be from trusted sources such as government agencies and media outlets.</w:t>
      </w:r>
    </w:p>
    <w:p w14:paraId="623C2646" w14:textId="77777777" w:rsidR="00D31BFE" w:rsidRDefault="00D31BFE" w:rsidP="00D31BFE">
      <w:pPr>
        <w:pStyle w:val="BodyText"/>
      </w:pPr>
      <w:r>
        <w:t>We responded by alerting consumers via our website to be vigilant, providing advice on avoiding scams and directing consumers to our page dedicated to reporting scams. Our website also advised consumers not to pay exorbitant amounts to people reselling hygiene and other products, resulting from the panic buying in March and April of 2020.</w:t>
      </w:r>
    </w:p>
    <w:p w14:paraId="3895469D" w14:textId="5353789E" w:rsidR="00D31BFE" w:rsidRDefault="00D31BFE" w:rsidP="00D31BFE">
      <w:pPr>
        <w:pStyle w:val="BodyText"/>
      </w:pPr>
      <w:r>
        <w:t xml:space="preserve">We published information online about the rights and responsibilities of Victorians impacted by </w:t>
      </w:r>
      <w:r w:rsidR="000965E1">
        <w:br/>
      </w:r>
      <w:r>
        <w:t>state-mandated Stay at Home restrictions, including rights relating to rental arrangements during the</w:t>
      </w:r>
      <w:r w:rsidR="000965E1">
        <w:t> </w:t>
      </w:r>
      <w:r>
        <w:t>COVID-19 pandemic.</w:t>
      </w:r>
    </w:p>
    <w:p w14:paraId="51C2C030" w14:textId="77777777" w:rsidR="00D31BFE" w:rsidRDefault="00D31BFE" w:rsidP="00D31BFE">
      <w:pPr>
        <w:pStyle w:val="Heading4"/>
      </w:pPr>
      <w:r>
        <w:t>Urgent response group</w:t>
      </w:r>
    </w:p>
    <w:p w14:paraId="3753D265" w14:textId="77777777" w:rsidR="00D31BFE" w:rsidRDefault="00D31BFE" w:rsidP="00D31BFE">
      <w:pPr>
        <w:pStyle w:val="BodyText"/>
      </w:pPr>
      <w:r>
        <w:t>The COVID-19 pandemic created a complex and changeable environment for consumers and businesses.</w:t>
      </w:r>
    </w:p>
    <w:p w14:paraId="25BB482E" w14:textId="77777777" w:rsidR="00D31BFE" w:rsidRDefault="00D31BFE" w:rsidP="00D31BFE">
      <w:pPr>
        <w:pStyle w:val="BodyText"/>
      </w:pPr>
      <w:r>
        <w:t>In March 2020, Consumer Affairs Australia and New Zealand (senior officers from consumer affairs agencies across Australia and New Zealand) implemented a COVID-19 Urgent Response Group (URG) to coordinate regulatory responses to consumer issues resulting from the pandemic across Australian Consumer Law (ACL) regulators.</w:t>
      </w:r>
    </w:p>
    <w:p w14:paraId="1CCCDE3C" w14:textId="77777777" w:rsidR="00D31BFE" w:rsidRDefault="00D31BFE" w:rsidP="00D31BFE">
      <w:pPr>
        <w:pStyle w:val="BodyText"/>
      </w:pPr>
      <w:r>
        <w:t>The URG has enabled ACL regulators to understand the challenges and pressures caused by the pandemic, both locally and nationally, and to implement efficient and effective responses. A key piece of work for the URG has been the development of best practice guidance for the travel industry to inform businesses’ responses to cancellations resulting from COVID-19 restrictions.</w:t>
      </w:r>
    </w:p>
    <w:p w14:paraId="7A766F3F" w14:textId="76DCA076" w:rsidR="00D31BFE" w:rsidRDefault="00D31BFE" w:rsidP="00D31BFE">
      <w:pPr>
        <w:pStyle w:val="BodyText"/>
      </w:pPr>
      <w:r>
        <w:t>We played a critical role in the URG’s operations by providing information on how COVID-19 was impacting Victorian consumers and businesses, and quick identification of emerging issues. We shared intelligence on businesses of national interest to inform regulatory responses by ACL regulators, worked with other jurisdictions to ensure consistent messaging for consumers, and provided input into the development of industry guidance, such as the best practice guidance for the</w:t>
      </w:r>
      <w:r w:rsidR="000965E1">
        <w:t> </w:t>
      </w:r>
      <w:r>
        <w:t>travel industry.</w:t>
      </w:r>
    </w:p>
    <w:p w14:paraId="2C96C0B8" w14:textId="77777777" w:rsidR="00D31BFE" w:rsidRDefault="00D31BFE" w:rsidP="00D31BFE">
      <w:pPr>
        <w:pStyle w:val="Heading4"/>
      </w:pPr>
      <w:r>
        <w:t xml:space="preserve">Ballarat </w:t>
      </w:r>
      <w:proofErr w:type="spellStart"/>
      <w:r>
        <w:t>GovHub</w:t>
      </w:r>
      <w:proofErr w:type="spellEnd"/>
    </w:p>
    <w:p w14:paraId="2E6C1E00" w14:textId="77777777" w:rsidR="00D31BFE" w:rsidRDefault="00D31BFE" w:rsidP="00D31BFE">
      <w:pPr>
        <w:pStyle w:val="BodyText"/>
      </w:pPr>
      <w:r>
        <w:t xml:space="preserve">The Ballarat </w:t>
      </w:r>
      <w:proofErr w:type="spellStart"/>
      <w:r>
        <w:t>GovHub</w:t>
      </w:r>
      <w:proofErr w:type="spellEnd"/>
      <w:r>
        <w:t xml:space="preserve"> will be an integrated public sector workplace, as part of the Victorian Government’s commitment to invest in regional Victoria. Our Information and Dispute Services Centre (IDSC) will be formally established as part of Ballarat </w:t>
      </w:r>
      <w:proofErr w:type="spellStart"/>
      <w:r>
        <w:t>GovHub</w:t>
      </w:r>
      <w:proofErr w:type="spellEnd"/>
      <w:r>
        <w:t xml:space="preserve"> in April 2021, with extensive planning and staged implementation underway, to minimise disruption to service delivery and our people.</w:t>
      </w:r>
    </w:p>
    <w:p w14:paraId="04C7A099" w14:textId="14A903FB" w:rsidR="00D31BFE" w:rsidRDefault="00D31BFE" w:rsidP="00D31BFE">
      <w:pPr>
        <w:pStyle w:val="BodyText"/>
      </w:pPr>
      <w:r>
        <w:t>We have maintained quality customer service, and minimised the disruption of this transition, by setting up a Ballarat-based staging post to support a phased transfer of function and roles, prior to the</w:t>
      </w:r>
      <w:r w:rsidR="000965E1">
        <w:t> </w:t>
      </w:r>
      <w:r>
        <w:t xml:space="preserve">formal transition to the Ballarat </w:t>
      </w:r>
      <w:proofErr w:type="spellStart"/>
      <w:r>
        <w:t>GovHub</w:t>
      </w:r>
      <w:proofErr w:type="spellEnd"/>
      <w:r>
        <w:t>.</w:t>
      </w:r>
    </w:p>
    <w:p w14:paraId="7968C2B4" w14:textId="339614C8" w:rsidR="00D31BFE" w:rsidRDefault="00D31BFE" w:rsidP="00D31BFE">
      <w:pPr>
        <w:pStyle w:val="BodyText"/>
      </w:pPr>
      <w:r>
        <w:t xml:space="preserve">We commenced operations at the Ballarat staging post in July 2019. By opening a regional staging post before the closure of the Melbourne IDSC office, local recruits were able to benefit from the guidance and mentorship of existing IDSC team members in Melbourne and ensure that they will </w:t>
      </w:r>
      <w:r>
        <w:lastRenderedPageBreak/>
        <w:t>be</w:t>
      </w:r>
      <w:r w:rsidR="000965E1">
        <w:t> </w:t>
      </w:r>
      <w:r>
        <w:t>ideally placed to provide accurate and timely advice to consumers, following the 2021 closure of the metro office.</w:t>
      </w:r>
    </w:p>
    <w:p w14:paraId="43026B47" w14:textId="77777777" w:rsidR="00D31BFE" w:rsidRDefault="00D31BFE" w:rsidP="00D31BFE">
      <w:pPr>
        <w:pStyle w:val="BodyText"/>
      </w:pPr>
      <w:r>
        <w:t>The transition to Ballarat provided further unexpected benefits during the COVID-19 pandemic. During periods of limited functionality of remote telephony services, there was some limited ability for Ballarat employees to work at the staging post. This meant that critical services continued without interruption, including the crucial TIS (Translation and Interpreting Services) phone line for culturally and linguistically diverse Victorians experiencing tenancy issues, a vulnerable demographic during the COVID-19 crisis.</w:t>
      </w:r>
    </w:p>
    <w:p w14:paraId="4EDA4E3F" w14:textId="77777777" w:rsidR="00D31BFE" w:rsidRDefault="00D31BFE" w:rsidP="00D31BFE">
      <w:pPr>
        <w:pStyle w:val="Heading4"/>
      </w:pPr>
      <w:r>
        <w:t>Financial Counselling Program</w:t>
      </w:r>
    </w:p>
    <w:p w14:paraId="27F89D5B" w14:textId="77777777" w:rsidR="00D31BFE" w:rsidRDefault="00D31BFE" w:rsidP="00D31BFE">
      <w:pPr>
        <w:pStyle w:val="BodyText"/>
      </w:pPr>
      <w:r>
        <w:t>Our Financial Counselling Program supports the provision of free and independent telephone or face-to-face counselling sessions delivered by community agencies across Victoria, to support financially disadvantaged and vulnerable Victorians. Financial counsellors offer a range of support, including providing advice about rights and responsibilities, negotiating with a creditor, or working out a realistic payment plan for debts.</w:t>
      </w:r>
    </w:p>
    <w:p w14:paraId="07B97711" w14:textId="77777777" w:rsidR="00D31BFE" w:rsidRDefault="00D31BFE" w:rsidP="00D31BFE">
      <w:pPr>
        <w:pStyle w:val="BodyText"/>
      </w:pPr>
      <w:r>
        <w:t>In 2019–20, the Financial Counselling Program supported 25,560 Victorians with confidential financial counselling support.</w:t>
      </w:r>
    </w:p>
    <w:p w14:paraId="711973D5" w14:textId="77777777" w:rsidR="00D31BFE" w:rsidRDefault="00D31BFE" w:rsidP="00D31BFE">
      <w:pPr>
        <w:pStyle w:val="BodyText"/>
      </w:pPr>
      <w:r>
        <w:t>We expanded our capabilities in January 2020, mobilising resources and staff expeditiously, to provide timely support to Victorians impacted by bushfires in the Outer Gippsland and Ovens and Murray service areas.</w:t>
      </w:r>
    </w:p>
    <w:p w14:paraId="787D961B" w14:textId="1FA7FC7F" w:rsidR="00D31BFE" w:rsidRDefault="00D31BFE" w:rsidP="00D31BFE">
      <w:pPr>
        <w:pStyle w:val="BodyText"/>
      </w:pPr>
      <w:r>
        <w:t xml:space="preserve">We also increased funding for specialist family violence financial counsellors in response to the </w:t>
      </w:r>
      <w:r w:rsidR="000965E1">
        <w:br/>
      </w:r>
      <w:r>
        <w:t>2015–16 Royal Commission into Family Violence. 3,439 Victorians accessed the specialised family violence financial counselling service in 2019–20.</w:t>
      </w:r>
    </w:p>
    <w:p w14:paraId="04F48106" w14:textId="77777777" w:rsidR="00D31BFE" w:rsidRPr="00834159" w:rsidRDefault="00D31BFE" w:rsidP="00D31BFE">
      <w:pPr>
        <w:pStyle w:val="BodyText"/>
      </w:pPr>
      <w:r w:rsidRPr="00834159">
        <w:br w:type="page"/>
      </w:r>
    </w:p>
    <w:p w14:paraId="3306765B" w14:textId="77777777" w:rsidR="00D31BFE" w:rsidRDefault="00D31BFE" w:rsidP="00D31BFE">
      <w:pPr>
        <w:pStyle w:val="Heading3"/>
      </w:pPr>
      <w:bookmarkStart w:id="17" w:name="_Toc55998360"/>
      <w:r>
        <w:lastRenderedPageBreak/>
        <w:t>Outcome 3 – A fair and safe rental market</w:t>
      </w:r>
      <w:bookmarkEnd w:id="17"/>
    </w:p>
    <w:p w14:paraId="19F75D39" w14:textId="77777777" w:rsidR="00D31BFE" w:rsidRDefault="00D31BFE" w:rsidP="00D31BFE">
      <w:pPr>
        <w:pStyle w:val="BodyText"/>
      </w:pPr>
      <w:r>
        <w:t>As the Victorian regulator of rental laws, we work to achieve fair and safe rental housing. This includes increased collaboration with partners so we can continue to improve our understanding of the needs of a modern market and make positive changes across the sector.</w:t>
      </w:r>
    </w:p>
    <w:p w14:paraId="41C01738" w14:textId="77777777" w:rsidR="00D31BFE" w:rsidRDefault="00D31BFE" w:rsidP="00D31BFE">
      <w:pPr>
        <w:pStyle w:val="Caption"/>
      </w:pPr>
      <w:r>
        <w:t>Table 5: Information, advice and service delivery to tenants, landlords and agents</w:t>
      </w:r>
    </w:p>
    <w:tbl>
      <w:tblPr>
        <w:tblStyle w:val="TableGrid"/>
        <w:tblW w:w="9072" w:type="dxa"/>
        <w:tblLayout w:type="fixed"/>
        <w:tblLook w:val="06A0" w:firstRow="1" w:lastRow="0" w:firstColumn="1" w:lastColumn="0" w:noHBand="1" w:noVBand="1"/>
      </w:tblPr>
      <w:tblGrid>
        <w:gridCol w:w="4989"/>
        <w:gridCol w:w="1361"/>
        <w:gridCol w:w="1361"/>
        <w:gridCol w:w="1361"/>
      </w:tblGrid>
      <w:tr w:rsidR="00D31BFE" w14:paraId="199049A5" w14:textId="77777777" w:rsidTr="00E3488C">
        <w:trPr>
          <w:cnfStyle w:val="100000000000" w:firstRow="1" w:lastRow="0" w:firstColumn="0" w:lastColumn="0" w:oddVBand="0" w:evenVBand="0" w:oddHBand="0" w:evenHBand="0" w:firstRowFirstColumn="0" w:firstRowLastColumn="0" w:lastRowFirstColumn="0" w:lastRowLastColumn="0"/>
          <w:trHeight w:val="60"/>
          <w:tblHeader/>
        </w:trPr>
        <w:tc>
          <w:tcPr>
            <w:tcW w:w="4990" w:type="dxa"/>
          </w:tcPr>
          <w:p w14:paraId="01478C13" w14:textId="77777777" w:rsidR="00D31BFE" w:rsidRDefault="00D31BFE" w:rsidP="00DA50C0">
            <w:pPr>
              <w:pStyle w:val="TableColHead"/>
            </w:pPr>
          </w:p>
        </w:tc>
        <w:tc>
          <w:tcPr>
            <w:tcW w:w="1361" w:type="dxa"/>
          </w:tcPr>
          <w:p w14:paraId="30D56861" w14:textId="77777777" w:rsidR="00D31BFE" w:rsidRDefault="00D31BFE" w:rsidP="00DA50C0">
            <w:pPr>
              <w:pStyle w:val="TableColHeadRight"/>
            </w:pPr>
            <w:r>
              <w:t>2017–18</w:t>
            </w:r>
          </w:p>
        </w:tc>
        <w:tc>
          <w:tcPr>
            <w:tcW w:w="1361" w:type="dxa"/>
          </w:tcPr>
          <w:p w14:paraId="061222EA" w14:textId="77777777" w:rsidR="00D31BFE" w:rsidRDefault="00D31BFE" w:rsidP="00DA50C0">
            <w:pPr>
              <w:pStyle w:val="TableColHeadRight"/>
            </w:pPr>
            <w:r>
              <w:t>2018–19</w:t>
            </w:r>
          </w:p>
        </w:tc>
        <w:tc>
          <w:tcPr>
            <w:tcW w:w="1361" w:type="dxa"/>
          </w:tcPr>
          <w:p w14:paraId="00D2298A" w14:textId="77777777" w:rsidR="00D31BFE" w:rsidRDefault="00D31BFE" w:rsidP="00DA50C0">
            <w:pPr>
              <w:pStyle w:val="TableColHeadRight"/>
            </w:pPr>
            <w:r>
              <w:t>2019–20</w:t>
            </w:r>
          </w:p>
        </w:tc>
      </w:tr>
      <w:tr w:rsidR="00D31BFE" w14:paraId="18C4F56F" w14:textId="77777777" w:rsidTr="00E3488C">
        <w:trPr>
          <w:trHeight w:val="60"/>
        </w:trPr>
        <w:tc>
          <w:tcPr>
            <w:tcW w:w="4990" w:type="dxa"/>
            <w:gridSpan w:val="4"/>
            <w:shd w:val="clear" w:color="auto" w:fill="B2D5F0"/>
          </w:tcPr>
          <w:p w14:paraId="4F660B1B" w14:textId="77777777" w:rsidR="00D31BFE" w:rsidRDefault="00D31BFE" w:rsidP="00DA50C0">
            <w:pPr>
              <w:pStyle w:val="TableTextBold"/>
            </w:pPr>
            <w:r>
              <w:t>Information and advice</w:t>
            </w:r>
          </w:p>
        </w:tc>
      </w:tr>
      <w:tr w:rsidR="00D31BFE" w14:paraId="4BDC15BA" w14:textId="77777777" w:rsidTr="00E3488C">
        <w:trPr>
          <w:trHeight w:val="60"/>
        </w:trPr>
        <w:tc>
          <w:tcPr>
            <w:tcW w:w="4990" w:type="dxa"/>
          </w:tcPr>
          <w:p w14:paraId="57086902" w14:textId="77777777" w:rsidR="00D31BFE" w:rsidRDefault="00D31BFE" w:rsidP="00DA50C0">
            <w:pPr>
              <w:pStyle w:val="TableText"/>
            </w:pPr>
            <w:r>
              <w:t>Website page views - renting section</w:t>
            </w:r>
          </w:p>
        </w:tc>
        <w:tc>
          <w:tcPr>
            <w:tcW w:w="1361" w:type="dxa"/>
          </w:tcPr>
          <w:p w14:paraId="78B148B7" w14:textId="77777777" w:rsidR="00D31BFE" w:rsidRDefault="00D31BFE" w:rsidP="00DA50C0">
            <w:pPr>
              <w:pStyle w:val="TableTextRight"/>
            </w:pPr>
            <w:r>
              <w:t>2,174,527</w:t>
            </w:r>
          </w:p>
        </w:tc>
        <w:tc>
          <w:tcPr>
            <w:tcW w:w="1361" w:type="dxa"/>
          </w:tcPr>
          <w:p w14:paraId="443F9043" w14:textId="77777777" w:rsidR="00D31BFE" w:rsidRDefault="00D31BFE" w:rsidP="00DA50C0">
            <w:pPr>
              <w:pStyle w:val="TableTextRight"/>
            </w:pPr>
            <w:r>
              <w:t>2,238,743</w:t>
            </w:r>
          </w:p>
        </w:tc>
        <w:tc>
          <w:tcPr>
            <w:tcW w:w="1361" w:type="dxa"/>
          </w:tcPr>
          <w:p w14:paraId="558E36E0" w14:textId="77777777" w:rsidR="00D31BFE" w:rsidRDefault="00D31BFE" w:rsidP="00DA50C0">
            <w:pPr>
              <w:pStyle w:val="TableTextRight"/>
            </w:pPr>
            <w:r>
              <w:t>2,724,521</w:t>
            </w:r>
          </w:p>
        </w:tc>
      </w:tr>
      <w:tr w:rsidR="00D31BFE" w14:paraId="23EC864D" w14:textId="77777777" w:rsidTr="00E3488C">
        <w:trPr>
          <w:trHeight w:val="60"/>
        </w:trPr>
        <w:tc>
          <w:tcPr>
            <w:tcW w:w="4990" w:type="dxa"/>
          </w:tcPr>
          <w:p w14:paraId="553A5F0E" w14:textId="77777777" w:rsidR="00D31BFE" w:rsidRDefault="00D31BFE" w:rsidP="00DA50C0">
            <w:pPr>
              <w:pStyle w:val="TableText"/>
            </w:pPr>
            <w:r>
              <w:t>Calls answered – residential tenancies</w:t>
            </w:r>
          </w:p>
        </w:tc>
        <w:tc>
          <w:tcPr>
            <w:tcW w:w="1361" w:type="dxa"/>
          </w:tcPr>
          <w:p w14:paraId="3B5D77CC" w14:textId="77777777" w:rsidR="00D31BFE" w:rsidRDefault="00D31BFE" w:rsidP="00DA50C0">
            <w:pPr>
              <w:pStyle w:val="TableTextRight"/>
            </w:pPr>
            <w:r>
              <w:t>67,813</w:t>
            </w:r>
          </w:p>
        </w:tc>
        <w:tc>
          <w:tcPr>
            <w:tcW w:w="1361" w:type="dxa"/>
          </w:tcPr>
          <w:p w14:paraId="0BC9B38A" w14:textId="77777777" w:rsidR="00D31BFE" w:rsidRDefault="00D31BFE" w:rsidP="00DA50C0">
            <w:pPr>
              <w:pStyle w:val="TableTextRight"/>
            </w:pPr>
            <w:r>
              <w:t>64,118</w:t>
            </w:r>
          </w:p>
        </w:tc>
        <w:tc>
          <w:tcPr>
            <w:tcW w:w="1361" w:type="dxa"/>
          </w:tcPr>
          <w:p w14:paraId="53F97439" w14:textId="77777777" w:rsidR="00D31BFE" w:rsidRDefault="00D31BFE" w:rsidP="00DA50C0">
            <w:pPr>
              <w:pStyle w:val="TableTextRight"/>
            </w:pPr>
            <w:r>
              <w:t>67,678</w:t>
            </w:r>
          </w:p>
        </w:tc>
      </w:tr>
      <w:tr w:rsidR="00D31BFE" w14:paraId="32C9576C" w14:textId="77777777" w:rsidTr="00E3488C">
        <w:trPr>
          <w:trHeight w:val="60"/>
        </w:trPr>
        <w:tc>
          <w:tcPr>
            <w:tcW w:w="4990" w:type="dxa"/>
          </w:tcPr>
          <w:p w14:paraId="43E8F869" w14:textId="77777777" w:rsidR="00D31BFE" w:rsidRDefault="00D31BFE" w:rsidP="00DA50C0">
            <w:pPr>
              <w:pStyle w:val="TableText"/>
            </w:pPr>
            <w:r>
              <w:t>Calls answered – RTBA</w:t>
            </w:r>
            <w:r>
              <w:rPr>
                <w:vertAlign w:val="superscript"/>
              </w:rPr>
              <w:footnoteReference w:id="20"/>
            </w:r>
          </w:p>
        </w:tc>
        <w:tc>
          <w:tcPr>
            <w:tcW w:w="1361" w:type="dxa"/>
          </w:tcPr>
          <w:p w14:paraId="5B8EB613" w14:textId="77777777" w:rsidR="00D31BFE" w:rsidRDefault="00D31BFE" w:rsidP="00DA50C0">
            <w:pPr>
              <w:pStyle w:val="TableTextRight"/>
            </w:pPr>
            <w:r>
              <w:t>71,378</w:t>
            </w:r>
          </w:p>
        </w:tc>
        <w:tc>
          <w:tcPr>
            <w:tcW w:w="1361" w:type="dxa"/>
          </w:tcPr>
          <w:p w14:paraId="0CEBE041" w14:textId="77777777" w:rsidR="00D31BFE" w:rsidRDefault="00D31BFE" w:rsidP="00DA50C0">
            <w:pPr>
              <w:pStyle w:val="TableTextRight"/>
            </w:pPr>
            <w:r>
              <w:t>73,446</w:t>
            </w:r>
          </w:p>
        </w:tc>
        <w:tc>
          <w:tcPr>
            <w:tcW w:w="1361" w:type="dxa"/>
          </w:tcPr>
          <w:p w14:paraId="5006DFED" w14:textId="77777777" w:rsidR="00D31BFE" w:rsidRDefault="00D31BFE" w:rsidP="00DA50C0">
            <w:pPr>
              <w:pStyle w:val="TableTextRight"/>
            </w:pPr>
            <w:r>
              <w:t>55,225</w:t>
            </w:r>
          </w:p>
        </w:tc>
      </w:tr>
      <w:tr w:rsidR="00D31BFE" w14:paraId="30A45133" w14:textId="77777777" w:rsidTr="00E3488C">
        <w:trPr>
          <w:trHeight w:val="60"/>
        </w:trPr>
        <w:tc>
          <w:tcPr>
            <w:tcW w:w="4990" w:type="dxa"/>
            <w:gridSpan w:val="4"/>
            <w:shd w:val="clear" w:color="auto" w:fill="B2D5F0"/>
          </w:tcPr>
          <w:p w14:paraId="712B9948" w14:textId="77777777" w:rsidR="00D31BFE" w:rsidRDefault="00D31BFE" w:rsidP="00DA50C0">
            <w:pPr>
              <w:pStyle w:val="TableTextBold"/>
            </w:pPr>
            <w:r>
              <w:t>Compliance</w:t>
            </w:r>
          </w:p>
        </w:tc>
      </w:tr>
      <w:tr w:rsidR="00D31BFE" w14:paraId="61DA1698" w14:textId="77777777" w:rsidTr="00E3488C">
        <w:trPr>
          <w:trHeight w:val="60"/>
        </w:trPr>
        <w:tc>
          <w:tcPr>
            <w:tcW w:w="4990" w:type="dxa"/>
          </w:tcPr>
          <w:p w14:paraId="2ACBD6B0" w14:textId="77777777" w:rsidR="00D31BFE" w:rsidRDefault="00D31BFE" w:rsidP="00DA50C0">
            <w:pPr>
              <w:pStyle w:val="TableText"/>
            </w:pPr>
            <w:r>
              <w:t>Rooming house inspections (including repeat visits)</w:t>
            </w:r>
            <w:r>
              <w:rPr>
                <w:vertAlign w:val="superscript"/>
              </w:rPr>
              <w:footnoteReference w:id="21"/>
            </w:r>
          </w:p>
        </w:tc>
        <w:tc>
          <w:tcPr>
            <w:tcW w:w="1361" w:type="dxa"/>
          </w:tcPr>
          <w:p w14:paraId="68F7EA83" w14:textId="77777777" w:rsidR="00D31BFE" w:rsidRDefault="00D31BFE" w:rsidP="00DA50C0">
            <w:pPr>
              <w:pStyle w:val="TableTextRight"/>
            </w:pPr>
            <w:r>
              <w:t>738</w:t>
            </w:r>
          </w:p>
        </w:tc>
        <w:tc>
          <w:tcPr>
            <w:tcW w:w="1361" w:type="dxa"/>
          </w:tcPr>
          <w:p w14:paraId="09EC95DC" w14:textId="77777777" w:rsidR="00D31BFE" w:rsidRDefault="00D31BFE" w:rsidP="00DA50C0">
            <w:pPr>
              <w:pStyle w:val="TableTextRight"/>
            </w:pPr>
            <w:r>
              <w:t>406</w:t>
            </w:r>
          </w:p>
        </w:tc>
        <w:tc>
          <w:tcPr>
            <w:tcW w:w="1361" w:type="dxa"/>
          </w:tcPr>
          <w:p w14:paraId="543DCC79" w14:textId="77777777" w:rsidR="00D31BFE" w:rsidRDefault="00D31BFE" w:rsidP="00DA50C0">
            <w:pPr>
              <w:pStyle w:val="TableTextRight"/>
            </w:pPr>
            <w:r>
              <w:t>267</w:t>
            </w:r>
          </w:p>
        </w:tc>
      </w:tr>
      <w:tr w:rsidR="00D31BFE" w14:paraId="10019E5D" w14:textId="77777777" w:rsidTr="00E3488C">
        <w:trPr>
          <w:trHeight w:val="60"/>
        </w:trPr>
        <w:tc>
          <w:tcPr>
            <w:tcW w:w="4990" w:type="dxa"/>
          </w:tcPr>
          <w:p w14:paraId="06A1C0DB" w14:textId="77777777" w:rsidR="00D31BFE" w:rsidRDefault="00D31BFE" w:rsidP="00DA50C0">
            <w:pPr>
              <w:pStyle w:val="TableText"/>
            </w:pPr>
            <w:r>
              <w:t>Rooming houses registered</w:t>
            </w:r>
          </w:p>
        </w:tc>
        <w:tc>
          <w:tcPr>
            <w:tcW w:w="1361" w:type="dxa"/>
          </w:tcPr>
          <w:p w14:paraId="067039CD" w14:textId="77777777" w:rsidR="00D31BFE" w:rsidRDefault="00D31BFE" w:rsidP="00DA50C0">
            <w:pPr>
              <w:pStyle w:val="TableTextRight"/>
            </w:pPr>
            <w:r>
              <w:t>1,256</w:t>
            </w:r>
          </w:p>
        </w:tc>
        <w:tc>
          <w:tcPr>
            <w:tcW w:w="1361" w:type="dxa"/>
          </w:tcPr>
          <w:p w14:paraId="1A660F58" w14:textId="77777777" w:rsidR="00D31BFE" w:rsidRDefault="00D31BFE" w:rsidP="00DA50C0">
            <w:pPr>
              <w:pStyle w:val="TableTextRight"/>
            </w:pPr>
            <w:r>
              <w:t>1,340</w:t>
            </w:r>
          </w:p>
        </w:tc>
        <w:tc>
          <w:tcPr>
            <w:tcW w:w="1361" w:type="dxa"/>
          </w:tcPr>
          <w:p w14:paraId="58675A57" w14:textId="77777777" w:rsidR="00D31BFE" w:rsidRDefault="00D31BFE" w:rsidP="00DA50C0">
            <w:pPr>
              <w:pStyle w:val="TableTextRight"/>
            </w:pPr>
            <w:r>
              <w:t>1,400</w:t>
            </w:r>
          </w:p>
        </w:tc>
      </w:tr>
      <w:tr w:rsidR="00D31BFE" w14:paraId="0F314660" w14:textId="77777777" w:rsidTr="00E3488C">
        <w:trPr>
          <w:trHeight w:val="60"/>
        </w:trPr>
        <w:tc>
          <w:tcPr>
            <w:tcW w:w="4990" w:type="dxa"/>
            <w:gridSpan w:val="4"/>
            <w:shd w:val="clear" w:color="auto" w:fill="B2D5F0"/>
          </w:tcPr>
          <w:p w14:paraId="292518B3" w14:textId="77777777" w:rsidR="00D31BFE" w:rsidRDefault="00D31BFE" w:rsidP="00DA50C0">
            <w:pPr>
              <w:pStyle w:val="TableTextBold"/>
            </w:pPr>
            <w:r>
              <w:t>Transactions</w:t>
            </w:r>
          </w:p>
        </w:tc>
      </w:tr>
      <w:tr w:rsidR="00D31BFE" w14:paraId="6305DEE2" w14:textId="77777777" w:rsidTr="00E3488C">
        <w:trPr>
          <w:trHeight w:val="60"/>
        </w:trPr>
        <w:tc>
          <w:tcPr>
            <w:tcW w:w="4990" w:type="dxa"/>
          </w:tcPr>
          <w:p w14:paraId="70657EF4" w14:textId="77777777" w:rsidR="00D31BFE" w:rsidRDefault="00D31BFE" w:rsidP="00DA50C0">
            <w:pPr>
              <w:pStyle w:val="TableText"/>
            </w:pPr>
            <w:r>
              <w:t>Bonds lodged</w:t>
            </w:r>
          </w:p>
        </w:tc>
        <w:tc>
          <w:tcPr>
            <w:tcW w:w="1361" w:type="dxa"/>
          </w:tcPr>
          <w:p w14:paraId="00C44BAF" w14:textId="77777777" w:rsidR="00D31BFE" w:rsidRDefault="00D31BFE" w:rsidP="00DA50C0">
            <w:pPr>
              <w:pStyle w:val="TableTextRight"/>
            </w:pPr>
            <w:r>
              <w:t>241,534</w:t>
            </w:r>
          </w:p>
        </w:tc>
        <w:tc>
          <w:tcPr>
            <w:tcW w:w="1361" w:type="dxa"/>
          </w:tcPr>
          <w:p w14:paraId="05982190" w14:textId="77777777" w:rsidR="00D31BFE" w:rsidRDefault="00D31BFE" w:rsidP="00DA50C0">
            <w:pPr>
              <w:pStyle w:val="TableTextRight"/>
            </w:pPr>
            <w:r>
              <w:t>244,756</w:t>
            </w:r>
          </w:p>
        </w:tc>
        <w:tc>
          <w:tcPr>
            <w:tcW w:w="1361" w:type="dxa"/>
          </w:tcPr>
          <w:p w14:paraId="384C5281" w14:textId="77777777" w:rsidR="00D31BFE" w:rsidRDefault="00D31BFE" w:rsidP="00DA50C0">
            <w:pPr>
              <w:pStyle w:val="TableTextRight"/>
            </w:pPr>
            <w:r>
              <w:t>253,650</w:t>
            </w:r>
          </w:p>
        </w:tc>
      </w:tr>
      <w:tr w:rsidR="00D31BFE" w14:paraId="4914A363" w14:textId="77777777" w:rsidTr="00E3488C">
        <w:trPr>
          <w:trHeight w:val="60"/>
        </w:trPr>
        <w:tc>
          <w:tcPr>
            <w:tcW w:w="4990" w:type="dxa"/>
          </w:tcPr>
          <w:p w14:paraId="734471A5" w14:textId="77777777" w:rsidR="00D31BFE" w:rsidRDefault="00D31BFE" w:rsidP="00DA50C0">
            <w:pPr>
              <w:pStyle w:val="TableText"/>
            </w:pPr>
            <w:r>
              <w:t>Bond repayments</w:t>
            </w:r>
          </w:p>
        </w:tc>
        <w:tc>
          <w:tcPr>
            <w:tcW w:w="1361" w:type="dxa"/>
          </w:tcPr>
          <w:p w14:paraId="23C8B636" w14:textId="77777777" w:rsidR="00D31BFE" w:rsidRDefault="00D31BFE" w:rsidP="00DA50C0">
            <w:pPr>
              <w:pStyle w:val="TableTextRight"/>
            </w:pPr>
            <w:r>
              <w:t>219,603</w:t>
            </w:r>
          </w:p>
        </w:tc>
        <w:tc>
          <w:tcPr>
            <w:tcW w:w="1361" w:type="dxa"/>
          </w:tcPr>
          <w:p w14:paraId="6603056A" w14:textId="77777777" w:rsidR="00D31BFE" w:rsidRDefault="00D31BFE" w:rsidP="00DA50C0">
            <w:pPr>
              <w:pStyle w:val="TableTextRight"/>
            </w:pPr>
            <w:r>
              <w:t>219,297</w:t>
            </w:r>
          </w:p>
        </w:tc>
        <w:tc>
          <w:tcPr>
            <w:tcW w:w="1361" w:type="dxa"/>
          </w:tcPr>
          <w:p w14:paraId="1CF39E82" w14:textId="77777777" w:rsidR="00D31BFE" w:rsidRDefault="00D31BFE" w:rsidP="00DA50C0">
            <w:pPr>
              <w:pStyle w:val="TableTextRight"/>
            </w:pPr>
            <w:r>
              <w:t>239,175</w:t>
            </w:r>
          </w:p>
        </w:tc>
      </w:tr>
      <w:tr w:rsidR="00D31BFE" w14:paraId="5741094E" w14:textId="77777777" w:rsidTr="00E3488C">
        <w:trPr>
          <w:trHeight w:val="60"/>
        </w:trPr>
        <w:tc>
          <w:tcPr>
            <w:tcW w:w="4990" w:type="dxa"/>
          </w:tcPr>
          <w:p w14:paraId="37CCF5B7" w14:textId="77777777" w:rsidR="00D31BFE" w:rsidRDefault="00D31BFE" w:rsidP="00DA50C0">
            <w:pPr>
              <w:pStyle w:val="TableText"/>
            </w:pPr>
            <w:r>
              <w:t>Bonds transferred</w:t>
            </w:r>
          </w:p>
        </w:tc>
        <w:tc>
          <w:tcPr>
            <w:tcW w:w="1361" w:type="dxa"/>
          </w:tcPr>
          <w:p w14:paraId="4CFB44C5" w14:textId="77777777" w:rsidR="00D31BFE" w:rsidRDefault="00D31BFE" w:rsidP="00DA50C0">
            <w:pPr>
              <w:pStyle w:val="TableTextRight"/>
            </w:pPr>
            <w:r>
              <w:t>87,848</w:t>
            </w:r>
          </w:p>
        </w:tc>
        <w:tc>
          <w:tcPr>
            <w:tcW w:w="1361" w:type="dxa"/>
          </w:tcPr>
          <w:p w14:paraId="5E8A2ADB" w14:textId="77777777" w:rsidR="00D31BFE" w:rsidRDefault="00D31BFE" w:rsidP="00DA50C0">
            <w:pPr>
              <w:pStyle w:val="TableTextRight"/>
            </w:pPr>
            <w:r>
              <w:t>81,698</w:t>
            </w:r>
          </w:p>
        </w:tc>
        <w:tc>
          <w:tcPr>
            <w:tcW w:w="1361" w:type="dxa"/>
          </w:tcPr>
          <w:p w14:paraId="759B05F9" w14:textId="77777777" w:rsidR="00D31BFE" w:rsidRDefault="00D31BFE" w:rsidP="00DA50C0">
            <w:pPr>
              <w:pStyle w:val="TableTextRight"/>
            </w:pPr>
            <w:r>
              <w:t>83,305</w:t>
            </w:r>
          </w:p>
        </w:tc>
      </w:tr>
      <w:tr w:rsidR="00D31BFE" w14:paraId="4339CC63" w14:textId="77777777" w:rsidTr="00E3488C">
        <w:trPr>
          <w:trHeight w:val="60"/>
        </w:trPr>
        <w:tc>
          <w:tcPr>
            <w:tcW w:w="4990" w:type="dxa"/>
          </w:tcPr>
          <w:p w14:paraId="750EEC3F" w14:textId="77777777" w:rsidR="00D31BFE" w:rsidRDefault="00D31BFE" w:rsidP="00DA50C0">
            <w:pPr>
              <w:pStyle w:val="TableText"/>
            </w:pPr>
            <w:r>
              <w:t>Bonds held</w:t>
            </w:r>
          </w:p>
        </w:tc>
        <w:tc>
          <w:tcPr>
            <w:tcW w:w="1361" w:type="dxa"/>
          </w:tcPr>
          <w:p w14:paraId="588A10D7" w14:textId="77777777" w:rsidR="00D31BFE" w:rsidRDefault="00D31BFE" w:rsidP="00DA50C0">
            <w:pPr>
              <w:pStyle w:val="TableTextRight"/>
            </w:pPr>
            <w:r>
              <w:t>644,229</w:t>
            </w:r>
          </w:p>
        </w:tc>
        <w:tc>
          <w:tcPr>
            <w:tcW w:w="1361" w:type="dxa"/>
          </w:tcPr>
          <w:p w14:paraId="43B4EDEF" w14:textId="77777777" w:rsidR="00D31BFE" w:rsidRDefault="00D31BFE" w:rsidP="00DA50C0">
            <w:pPr>
              <w:pStyle w:val="TableTextRight"/>
            </w:pPr>
            <w:r>
              <w:t>669,688</w:t>
            </w:r>
          </w:p>
        </w:tc>
        <w:tc>
          <w:tcPr>
            <w:tcW w:w="1361" w:type="dxa"/>
          </w:tcPr>
          <w:p w14:paraId="0F18BDE6" w14:textId="77777777" w:rsidR="00D31BFE" w:rsidRDefault="00D31BFE" w:rsidP="00DA50C0">
            <w:pPr>
              <w:pStyle w:val="TableTextRight"/>
            </w:pPr>
            <w:r>
              <w:t>684,163</w:t>
            </w:r>
          </w:p>
        </w:tc>
      </w:tr>
      <w:tr w:rsidR="00D31BFE" w14:paraId="5E4C77F4" w14:textId="77777777" w:rsidTr="00E3488C">
        <w:trPr>
          <w:trHeight w:val="60"/>
        </w:trPr>
        <w:tc>
          <w:tcPr>
            <w:tcW w:w="4990" w:type="dxa"/>
          </w:tcPr>
          <w:p w14:paraId="1B62D5C6" w14:textId="77777777" w:rsidR="00D31BFE" w:rsidRDefault="00D31BFE" w:rsidP="00DA50C0">
            <w:pPr>
              <w:pStyle w:val="TableText"/>
            </w:pPr>
            <w:r>
              <w:t>Value held</w:t>
            </w:r>
          </w:p>
        </w:tc>
        <w:tc>
          <w:tcPr>
            <w:tcW w:w="1361" w:type="dxa"/>
          </w:tcPr>
          <w:p w14:paraId="39AFBE4F" w14:textId="77777777" w:rsidR="00D31BFE" w:rsidRDefault="00D31BFE" w:rsidP="00DA50C0">
            <w:pPr>
              <w:pStyle w:val="TableTextRight"/>
            </w:pPr>
            <w:r>
              <w:t>$1.13 billion</w:t>
            </w:r>
          </w:p>
        </w:tc>
        <w:tc>
          <w:tcPr>
            <w:tcW w:w="1361" w:type="dxa"/>
          </w:tcPr>
          <w:p w14:paraId="2624AB13" w14:textId="77777777" w:rsidR="00D31BFE" w:rsidRDefault="00D31BFE" w:rsidP="00DA50C0">
            <w:pPr>
              <w:pStyle w:val="TableTextRight"/>
            </w:pPr>
            <w:r>
              <w:t>$1.22 billion</w:t>
            </w:r>
          </w:p>
        </w:tc>
        <w:tc>
          <w:tcPr>
            <w:tcW w:w="1361" w:type="dxa"/>
          </w:tcPr>
          <w:p w14:paraId="67C3D197" w14:textId="77777777" w:rsidR="00D31BFE" w:rsidRDefault="00D31BFE" w:rsidP="00DA50C0">
            <w:pPr>
              <w:pStyle w:val="TableTextRight"/>
            </w:pPr>
            <w:r>
              <w:t>$1.27 billion</w:t>
            </w:r>
          </w:p>
        </w:tc>
      </w:tr>
      <w:tr w:rsidR="00D31BFE" w14:paraId="51E9637E" w14:textId="77777777" w:rsidTr="00E3488C">
        <w:trPr>
          <w:trHeight w:val="60"/>
        </w:trPr>
        <w:tc>
          <w:tcPr>
            <w:tcW w:w="4990" w:type="dxa"/>
          </w:tcPr>
          <w:p w14:paraId="36A2AD46" w14:textId="77777777" w:rsidR="00D31BFE" w:rsidRDefault="00D31BFE" w:rsidP="00DA50C0">
            <w:pPr>
              <w:pStyle w:val="TableText"/>
            </w:pPr>
            <w:r>
              <w:t>Total transactions (bonds lodged and repaid) – RTBA</w:t>
            </w:r>
          </w:p>
        </w:tc>
        <w:tc>
          <w:tcPr>
            <w:tcW w:w="1361" w:type="dxa"/>
          </w:tcPr>
          <w:p w14:paraId="19DE23E8" w14:textId="77777777" w:rsidR="00D31BFE" w:rsidRDefault="00D31BFE" w:rsidP="00DA50C0">
            <w:pPr>
              <w:pStyle w:val="TableTextRight"/>
            </w:pPr>
            <w:r>
              <w:t>461,137</w:t>
            </w:r>
          </w:p>
        </w:tc>
        <w:tc>
          <w:tcPr>
            <w:tcW w:w="1361" w:type="dxa"/>
          </w:tcPr>
          <w:p w14:paraId="7A144E13" w14:textId="77777777" w:rsidR="00D31BFE" w:rsidRDefault="00D31BFE" w:rsidP="00DA50C0">
            <w:pPr>
              <w:pStyle w:val="TableTextRight"/>
            </w:pPr>
            <w:r>
              <w:t>464,053</w:t>
            </w:r>
          </w:p>
        </w:tc>
        <w:tc>
          <w:tcPr>
            <w:tcW w:w="1361" w:type="dxa"/>
          </w:tcPr>
          <w:p w14:paraId="78042416" w14:textId="77777777" w:rsidR="00D31BFE" w:rsidRDefault="00D31BFE" w:rsidP="00DA50C0">
            <w:pPr>
              <w:pStyle w:val="TableTextRight"/>
            </w:pPr>
            <w:r>
              <w:t>492,822</w:t>
            </w:r>
          </w:p>
        </w:tc>
      </w:tr>
      <w:tr w:rsidR="00D31BFE" w14:paraId="25811132" w14:textId="77777777" w:rsidTr="00E3488C">
        <w:trPr>
          <w:trHeight w:val="60"/>
        </w:trPr>
        <w:tc>
          <w:tcPr>
            <w:tcW w:w="4990" w:type="dxa"/>
            <w:gridSpan w:val="4"/>
            <w:shd w:val="clear" w:color="auto" w:fill="B2D5F0"/>
          </w:tcPr>
          <w:p w14:paraId="019AAA3A" w14:textId="77777777" w:rsidR="00D31BFE" w:rsidRDefault="00D31BFE" w:rsidP="00DA50C0">
            <w:pPr>
              <w:pStyle w:val="TableTextBold"/>
            </w:pPr>
            <w:r>
              <w:t>Face-to-face or intensive assistance</w:t>
            </w:r>
          </w:p>
        </w:tc>
      </w:tr>
      <w:tr w:rsidR="00D31BFE" w14:paraId="5BC15575" w14:textId="77777777" w:rsidTr="00E3488C">
        <w:trPr>
          <w:trHeight w:val="60"/>
        </w:trPr>
        <w:tc>
          <w:tcPr>
            <w:tcW w:w="4990" w:type="dxa"/>
            <w:gridSpan w:val="4"/>
            <w:shd w:val="clear" w:color="auto" w:fill="CCE3F5"/>
          </w:tcPr>
          <w:p w14:paraId="637D5F63" w14:textId="77777777" w:rsidR="00D31BFE" w:rsidRDefault="00D31BFE" w:rsidP="00DA50C0">
            <w:pPr>
              <w:pStyle w:val="TableTextBold"/>
            </w:pPr>
            <w:r>
              <w:t>Funded</w:t>
            </w:r>
            <w:r w:rsidRPr="00347F6C">
              <w:rPr>
                <w:rStyle w:val="Strong"/>
              </w:rPr>
              <w:t xml:space="preserve"> </w:t>
            </w:r>
            <w:r>
              <w:t>community</w:t>
            </w:r>
            <w:r w:rsidRPr="00347F6C">
              <w:rPr>
                <w:rStyle w:val="Strong"/>
              </w:rPr>
              <w:t xml:space="preserve"> </w:t>
            </w:r>
            <w:r>
              <w:t>services</w:t>
            </w:r>
          </w:p>
        </w:tc>
      </w:tr>
      <w:tr w:rsidR="00D31BFE" w14:paraId="4FFABA42" w14:textId="77777777" w:rsidTr="00E3488C">
        <w:trPr>
          <w:trHeight w:val="60"/>
        </w:trPr>
        <w:tc>
          <w:tcPr>
            <w:tcW w:w="4990" w:type="dxa"/>
          </w:tcPr>
          <w:p w14:paraId="22F84EA9" w14:textId="77777777" w:rsidR="00D31BFE" w:rsidRDefault="00D31BFE" w:rsidP="00DA50C0">
            <w:pPr>
              <w:pStyle w:val="TableText"/>
            </w:pPr>
            <w:r>
              <w:t>Tenants assisted under the Tenancy Assistance and Advocacy Program</w:t>
            </w:r>
          </w:p>
        </w:tc>
        <w:tc>
          <w:tcPr>
            <w:tcW w:w="1361" w:type="dxa"/>
          </w:tcPr>
          <w:p w14:paraId="2AEE651D" w14:textId="77777777" w:rsidR="00D31BFE" w:rsidRDefault="00D31BFE" w:rsidP="00DA50C0">
            <w:pPr>
              <w:pStyle w:val="TableTextRight"/>
            </w:pPr>
            <w:r>
              <w:t>6,893</w:t>
            </w:r>
          </w:p>
        </w:tc>
        <w:tc>
          <w:tcPr>
            <w:tcW w:w="1361" w:type="dxa"/>
          </w:tcPr>
          <w:p w14:paraId="16A9DA76" w14:textId="77777777" w:rsidR="00D31BFE" w:rsidRDefault="00D31BFE" w:rsidP="00DA50C0">
            <w:pPr>
              <w:pStyle w:val="TableTextRight"/>
            </w:pPr>
            <w:r>
              <w:t>8,195</w:t>
            </w:r>
          </w:p>
        </w:tc>
        <w:tc>
          <w:tcPr>
            <w:tcW w:w="1361" w:type="dxa"/>
          </w:tcPr>
          <w:p w14:paraId="0D2E9AF1" w14:textId="77777777" w:rsidR="00D31BFE" w:rsidRDefault="00D31BFE" w:rsidP="00DA50C0">
            <w:pPr>
              <w:pStyle w:val="TableTextRight"/>
            </w:pPr>
            <w:r>
              <w:t>8,067</w:t>
            </w:r>
          </w:p>
        </w:tc>
      </w:tr>
      <w:tr w:rsidR="00D31BFE" w14:paraId="02BE732B" w14:textId="77777777" w:rsidTr="00E3488C">
        <w:trPr>
          <w:trHeight w:val="60"/>
        </w:trPr>
        <w:tc>
          <w:tcPr>
            <w:tcW w:w="4990" w:type="dxa"/>
            <w:gridSpan w:val="4"/>
            <w:shd w:val="clear" w:color="auto" w:fill="CCE3F5"/>
          </w:tcPr>
          <w:p w14:paraId="60C86458" w14:textId="77777777" w:rsidR="00D31BFE" w:rsidRDefault="00D31BFE" w:rsidP="00DA50C0">
            <w:pPr>
              <w:pStyle w:val="TableTextBold"/>
            </w:pPr>
            <w:r>
              <w:t>Residential</w:t>
            </w:r>
            <w:r w:rsidRPr="00347F6C">
              <w:rPr>
                <w:rStyle w:val="Strong"/>
              </w:rPr>
              <w:t xml:space="preserve"> </w:t>
            </w:r>
            <w:r>
              <w:t>tenancy</w:t>
            </w:r>
            <w:r w:rsidRPr="00347F6C">
              <w:rPr>
                <w:rStyle w:val="Strong"/>
              </w:rPr>
              <w:t xml:space="preserve"> </w:t>
            </w:r>
            <w:r>
              <w:t>inspection</w:t>
            </w:r>
            <w:r w:rsidRPr="00347F6C">
              <w:rPr>
                <w:rStyle w:val="Strong"/>
              </w:rPr>
              <w:t xml:space="preserve"> </w:t>
            </w:r>
            <w:r>
              <w:t>advice</w:t>
            </w:r>
            <w:r w:rsidRPr="00347F6C">
              <w:rPr>
                <w:rStyle w:val="Strong"/>
              </w:rPr>
              <w:t xml:space="preserve"> </w:t>
            </w:r>
            <w:r>
              <w:t>provided</w:t>
            </w:r>
          </w:p>
        </w:tc>
      </w:tr>
      <w:tr w:rsidR="00D31BFE" w14:paraId="5E784A69" w14:textId="77777777" w:rsidTr="00E3488C">
        <w:trPr>
          <w:trHeight w:val="60"/>
        </w:trPr>
        <w:tc>
          <w:tcPr>
            <w:tcW w:w="4990" w:type="dxa"/>
          </w:tcPr>
          <w:p w14:paraId="5F54DB03" w14:textId="77777777" w:rsidR="00D31BFE" w:rsidRDefault="00D31BFE" w:rsidP="00DA50C0">
            <w:pPr>
              <w:pStyle w:val="TableText"/>
            </w:pPr>
            <w:r>
              <w:t>Repair reports</w:t>
            </w:r>
          </w:p>
        </w:tc>
        <w:tc>
          <w:tcPr>
            <w:tcW w:w="1361" w:type="dxa"/>
          </w:tcPr>
          <w:p w14:paraId="5562EA3E" w14:textId="77777777" w:rsidR="00D31BFE" w:rsidRDefault="00D31BFE" w:rsidP="00DA50C0">
            <w:pPr>
              <w:pStyle w:val="TableTextRight"/>
            </w:pPr>
            <w:r>
              <w:t>1,050</w:t>
            </w:r>
          </w:p>
        </w:tc>
        <w:tc>
          <w:tcPr>
            <w:tcW w:w="1361" w:type="dxa"/>
          </w:tcPr>
          <w:p w14:paraId="4EC1296F" w14:textId="77777777" w:rsidR="00D31BFE" w:rsidRDefault="00D31BFE" w:rsidP="00DA50C0">
            <w:pPr>
              <w:pStyle w:val="TableTextRight"/>
            </w:pPr>
            <w:r>
              <w:t>1,049</w:t>
            </w:r>
          </w:p>
        </w:tc>
        <w:tc>
          <w:tcPr>
            <w:tcW w:w="1361" w:type="dxa"/>
          </w:tcPr>
          <w:p w14:paraId="635F6A27" w14:textId="77777777" w:rsidR="00D31BFE" w:rsidRDefault="00D31BFE" w:rsidP="00DA50C0">
            <w:pPr>
              <w:pStyle w:val="TableTextRight"/>
            </w:pPr>
            <w:r>
              <w:t>910</w:t>
            </w:r>
          </w:p>
        </w:tc>
      </w:tr>
      <w:tr w:rsidR="00D31BFE" w14:paraId="03A1B7E3" w14:textId="77777777" w:rsidTr="00E3488C">
        <w:trPr>
          <w:trHeight w:val="60"/>
        </w:trPr>
        <w:tc>
          <w:tcPr>
            <w:tcW w:w="4990" w:type="dxa"/>
          </w:tcPr>
          <w:p w14:paraId="47CB7BBB" w14:textId="77777777" w:rsidR="00D31BFE" w:rsidRDefault="00D31BFE" w:rsidP="00DA50C0">
            <w:pPr>
              <w:pStyle w:val="TableText"/>
            </w:pPr>
            <w:r>
              <w:t>Goods left behind reports</w:t>
            </w:r>
          </w:p>
        </w:tc>
        <w:tc>
          <w:tcPr>
            <w:tcW w:w="1361" w:type="dxa"/>
          </w:tcPr>
          <w:p w14:paraId="645689C0" w14:textId="77777777" w:rsidR="00D31BFE" w:rsidRDefault="00D31BFE" w:rsidP="00DA50C0">
            <w:pPr>
              <w:pStyle w:val="TableTextRight"/>
            </w:pPr>
            <w:r>
              <w:t>3,223</w:t>
            </w:r>
          </w:p>
        </w:tc>
        <w:tc>
          <w:tcPr>
            <w:tcW w:w="1361" w:type="dxa"/>
          </w:tcPr>
          <w:p w14:paraId="66EF7C44" w14:textId="77777777" w:rsidR="00D31BFE" w:rsidRDefault="00D31BFE" w:rsidP="00DA50C0">
            <w:pPr>
              <w:pStyle w:val="TableTextRight"/>
            </w:pPr>
            <w:r>
              <w:t>3,133</w:t>
            </w:r>
          </w:p>
        </w:tc>
        <w:tc>
          <w:tcPr>
            <w:tcW w:w="1361" w:type="dxa"/>
          </w:tcPr>
          <w:p w14:paraId="0C7F1DAA" w14:textId="77777777" w:rsidR="00D31BFE" w:rsidRDefault="00D31BFE" w:rsidP="00DA50C0">
            <w:pPr>
              <w:pStyle w:val="TableTextRight"/>
            </w:pPr>
            <w:r>
              <w:t>2,336</w:t>
            </w:r>
          </w:p>
        </w:tc>
      </w:tr>
      <w:tr w:rsidR="00D31BFE" w14:paraId="3BBDE462" w14:textId="77777777" w:rsidTr="00E3488C">
        <w:trPr>
          <w:trHeight w:val="60"/>
        </w:trPr>
        <w:tc>
          <w:tcPr>
            <w:tcW w:w="4990" w:type="dxa"/>
          </w:tcPr>
          <w:p w14:paraId="6E182A9F" w14:textId="77777777" w:rsidR="00D31BFE" w:rsidRDefault="00D31BFE" w:rsidP="00DA50C0">
            <w:pPr>
              <w:pStyle w:val="TableText"/>
            </w:pPr>
            <w:r>
              <w:t>Rental reports</w:t>
            </w:r>
          </w:p>
        </w:tc>
        <w:tc>
          <w:tcPr>
            <w:tcW w:w="1361" w:type="dxa"/>
          </w:tcPr>
          <w:p w14:paraId="30280794" w14:textId="77777777" w:rsidR="00D31BFE" w:rsidRDefault="00D31BFE" w:rsidP="00DA50C0">
            <w:pPr>
              <w:pStyle w:val="TableTextRight"/>
            </w:pPr>
            <w:r>
              <w:t>1,373</w:t>
            </w:r>
          </w:p>
        </w:tc>
        <w:tc>
          <w:tcPr>
            <w:tcW w:w="1361" w:type="dxa"/>
          </w:tcPr>
          <w:p w14:paraId="0AB78F50" w14:textId="77777777" w:rsidR="00D31BFE" w:rsidRDefault="00D31BFE" w:rsidP="00DA50C0">
            <w:pPr>
              <w:pStyle w:val="TableTextRight"/>
            </w:pPr>
            <w:r>
              <w:t>1,518</w:t>
            </w:r>
          </w:p>
        </w:tc>
        <w:tc>
          <w:tcPr>
            <w:tcW w:w="1361" w:type="dxa"/>
          </w:tcPr>
          <w:p w14:paraId="3F019BAC" w14:textId="77777777" w:rsidR="00D31BFE" w:rsidRDefault="00D31BFE" w:rsidP="00DA50C0">
            <w:pPr>
              <w:pStyle w:val="TableTextRight"/>
            </w:pPr>
            <w:r>
              <w:t>1,258</w:t>
            </w:r>
          </w:p>
        </w:tc>
      </w:tr>
    </w:tbl>
    <w:p w14:paraId="416A5801" w14:textId="77777777" w:rsidR="00D31BFE" w:rsidRDefault="00D31BFE" w:rsidP="004D56A7">
      <w:pPr>
        <w:pStyle w:val="Heading4"/>
        <w:pageBreakBefore/>
      </w:pPr>
      <w:r>
        <w:lastRenderedPageBreak/>
        <w:t>Supporting tenancies through the coronavirus crisis</w:t>
      </w:r>
    </w:p>
    <w:p w14:paraId="27BF02B2" w14:textId="77777777" w:rsidR="00D31BFE" w:rsidRDefault="00D31BFE" w:rsidP="00D31BFE">
      <w:pPr>
        <w:pStyle w:val="BodyText"/>
      </w:pPr>
      <w:r>
        <w:t xml:space="preserve">New temporary laws were introduced during the year to protect Victorian tenants from the economic impact of the coronavirus (COVID-19) pandemic. The </w:t>
      </w:r>
      <w:r w:rsidRPr="009F0D4B">
        <w:rPr>
          <w:rStyle w:val="Emphasis"/>
        </w:rPr>
        <w:t>COVID-19 Omnibus (Emergency Measures) Act 2020</w:t>
      </w:r>
      <w:r>
        <w:t xml:space="preserve">, which received Royal Assent on 24 April 2020, inserted a new Part 16 (COVID-19 temporary measures) into the </w:t>
      </w:r>
      <w:r w:rsidRPr="009F0D4B">
        <w:rPr>
          <w:rStyle w:val="Emphasis"/>
        </w:rPr>
        <w:t>Residential Tenancies Act 1997</w:t>
      </w:r>
      <w:r>
        <w:t>.</w:t>
      </w:r>
    </w:p>
    <w:p w14:paraId="65D72274" w14:textId="77777777" w:rsidR="00D31BFE" w:rsidRDefault="00D31BFE" w:rsidP="00D31BFE">
      <w:pPr>
        <w:pStyle w:val="BodyText"/>
      </w:pPr>
      <w:r>
        <w:t>The laws implement a moratorium on evictions (except in specified circumstances), suspend rent increases, and establish a new dispute resolution process for residential tenancies (discussed below). The laws also provide for tenants to end a tenancy early in cases of severe hardship and to be exempt from paying lease break fees in these cases. Tenants experiencing family violence can terminate their tenancies and apply to the Victorian Civil and Administrative Tribunal (VCAT) for a tenancy agreement on the same terms. Listings on residential tenancies databases are prohibited for payment breaches due to COVID-19 related financial hardship.</w:t>
      </w:r>
    </w:p>
    <w:p w14:paraId="0951BA66" w14:textId="14F7D858" w:rsidR="00D31BFE" w:rsidRDefault="00D31BFE" w:rsidP="00D31BFE">
      <w:pPr>
        <w:pStyle w:val="BodyText"/>
      </w:pPr>
      <w:r>
        <w:t>To complement the legislative measures, rent relief grants are available to eligible tenants experiencing COVID-19 related financial hardship and who have reached an agreement regarding rent</w:t>
      </w:r>
      <w:r w:rsidR="000965E1">
        <w:t> </w:t>
      </w:r>
      <w:r>
        <w:t>reduction with their landlord. Land tax relief is also available through the State Revenue Office for</w:t>
      </w:r>
      <w:r w:rsidR="000965E1">
        <w:t> </w:t>
      </w:r>
      <w:r>
        <w:t>landlords.</w:t>
      </w:r>
    </w:p>
    <w:p w14:paraId="1F689101" w14:textId="77777777" w:rsidR="00D31BFE" w:rsidRDefault="00D31BFE" w:rsidP="00D31BFE">
      <w:pPr>
        <w:pStyle w:val="BodyText"/>
      </w:pPr>
      <w:r>
        <w:t>The measures ensure that landlords and tenants who cannot reach agreement on reduced rent terms have access to support to do so, through the Residential Tenancies Dispute Resolution Scheme, which launched in April 2020. This scheme is designed to help landlords and tenants reach agreement quickly, and in a manner tailored to their needs.</w:t>
      </w:r>
    </w:p>
    <w:p w14:paraId="098FA4D0" w14:textId="77777777" w:rsidR="00D31BFE" w:rsidRDefault="00D31BFE" w:rsidP="00D31BFE">
      <w:pPr>
        <w:pStyle w:val="BodyText"/>
      </w:pPr>
      <w:r>
        <w:t>The dispute resolution scheme established a single point of entry for residential tenancy</w:t>
      </w:r>
      <w:r>
        <w:rPr>
          <w:rFonts w:ascii="Cambria Math" w:hAnsi="Cambria Math" w:cs="Cambria Math"/>
        </w:rPr>
        <w:t> </w:t>
      </w:r>
      <w:r>
        <w:t>disputes related to COVID-19, providing advice and information to landlords and tenants, as well as dispute resolution services. It registers reduced rent agreements negotiated by landlords and tenants. Support is provided to ensure that the dispute resolution process is fair and reasonable and provides fair and appropriate outcomes to all parties.</w:t>
      </w:r>
    </w:p>
    <w:p w14:paraId="66B2840C" w14:textId="77777777" w:rsidR="00D31BFE" w:rsidRDefault="00D31BFE" w:rsidP="00D31BFE">
      <w:pPr>
        <w:pStyle w:val="BodyText"/>
      </w:pPr>
      <w:r>
        <w:t>We partnered with the Dispute Settlement Centre of Victoria to deliver the scheme, creating a process that quickly delivers effective outcomes for landlords and tenants.</w:t>
      </w:r>
    </w:p>
    <w:p w14:paraId="69809AF2" w14:textId="645EF50D" w:rsidR="00D31BFE" w:rsidRDefault="00D31BFE" w:rsidP="00D31BFE">
      <w:pPr>
        <w:pStyle w:val="BodyText"/>
      </w:pPr>
      <w:proofErr w:type="gramStart"/>
      <w:r>
        <w:t>At</w:t>
      </w:r>
      <w:proofErr w:type="gramEnd"/>
      <w:r>
        <w:t xml:space="preserve"> 30 June 2020, over 16,900 rent reduction agreements were registered with us, with an average 27</w:t>
      </w:r>
      <w:r w:rsidR="000965E1">
        <w:t> </w:t>
      </w:r>
      <w:r>
        <w:t>per cent reduction in weekly rent payable. More than 5,400 disputes between landlords and tenants were resolved, and over 2,000 matters were referred to VCAT for resolution. In addition, over 1,600 matters were referred to the scheme’s Chief Dispute Resolution Officer with more than 400 of these matters completed through alternate dispute resolution.</w:t>
      </w:r>
    </w:p>
    <w:p w14:paraId="05C526E9" w14:textId="77777777" w:rsidR="00D31BFE" w:rsidRDefault="00D31BFE" w:rsidP="00D31BFE">
      <w:pPr>
        <w:pStyle w:val="BodyText"/>
      </w:pPr>
      <w:r>
        <w:t>We ensured that vulnerable groups had access to the dispute resolution scheme, by including information translated into a number of languages, and establishing a dedicated hotline for culturally and linguistically diverse communities.</w:t>
      </w:r>
    </w:p>
    <w:p w14:paraId="777268D2" w14:textId="77777777" w:rsidR="00D31BFE" w:rsidRDefault="00D31BFE" w:rsidP="00D31BFE">
      <w:pPr>
        <w:pStyle w:val="Heading4"/>
      </w:pPr>
      <w:r>
        <w:t>Residential tenancies reform</w:t>
      </w:r>
    </w:p>
    <w:p w14:paraId="7B2C389F" w14:textId="77777777" w:rsidR="00D31BFE" w:rsidRDefault="00D31BFE" w:rsidP="00D31BFE">
      <w:pPr>
        <w:pStyle w:val="BodyText"/>
      </w:pPr>
      <w:r>
        <w:t xml:space="preserve">The </w:t>
      </w:r>
      <w:r w:rsidRPr="009F0D4B">
        <w:rPr>
          <w:rStyle w:val="Emphasis"/>
        </w:rPr>
        <w:t>Residential Tenancies Amendment Act 2018</w:t>
      </w:r>
      <w:r>
        <w:t xml:space="preserve"> (Amendment Act) passed the Parliament in September 2018, with a package of more than 130 reforms focused on strengthening renters’ rights. Implementation of the reforms commenced with early reforms including the introduction of long-term leases, an electronic ‘red book’ and limiting rent increases to once every 12 months for rented premises.</w:t>
      </w:r>
    </w:p>
    <w:p w14:paraId="6A85212C" w14:textId="77777777" w:rsidR="00D31BFE" w:rsidRDefault="00D31BFE" w:rsidP="00D31BFE">
      <w:pPr>
        <w:pStyle w:val="BodyText"/>
      </w:pPr>
      <w:r>
        <w:lastRenderedPageBreak/>
        <w:t>Laws making it easier for tenants to keep pets have already come into effect. Landlords may now only refuse permission for pets with approval from VCAT.</w:t>
      </w:r>
    </w:p>
    <w:p w14:paraId="1056871A" w14:textId="77777777" w:rsidR="00D31BFE" w:rsidRDefault="00D31BFE" w:rsidP="00D31BFE">
      <w:pPr>
        <w:pStyle w:val="BodyText"/>
      </w:pPr>
      <w:r>
        <w:t>The full implementation date of these reforms has been delayed from the original date of 1 July 2020, reflecting the significant disruption caused by the COVID-19 pandemic and the importance of the rental reforms across the community. Implementation of the remaining reforms is expected to commence on 29 March 2021. We continue to consult with key stakeholders to develop regulations, forms and guidelines required to support implementation of the new laws.</w:t>
      </w:r>
    </w:p>
    <w:p w14:paraId="6289BC6C" w14:textId="77777777" w:rsidR="00D31BFE" w:rsidRDefault="00D31BFE" w:rsidP="00D31BFE">
      <w:pPr>
        <w:pStyle w:val="Heading4"/>
      </w:pPr>
      <w:r>
        <w:t>Victorian Property Fund in 2019–20</w:t>
      </w:r>
    </w:p>
    <w:p w14:paraId="590E5C1E" w14:textId="77777777" w:rsidR="00D31BFE" w:rsidRDefault="00D31BFE" w:rsidP="00D31BFE">
      <w:pPr>
        <w:pStyle w:val="BodyText"/>
      </w:pPr>
      <w:r>
        <w:t>The Estate</w:t>
      </w:r>
      <w:r w:rsidRPr="00347F6C">
        <w:rPr>
          <w:rStyle w:val="Emphasis"/>
        </w:rPr>
        <w:t xml:space="preserve"> </w:t>
      </w:r>
      <w:r>
        <w:t>Agents</w:t>
      </w:r>
      <w:r w:rsidRPr="00347F6C">
        <w:rPr>
          <w:rStyle w:val="Emphasis"/>
        </w:rPr>
        <w:t xml:space="preserve"> </w:t>
      </w:r>
      <w:r>
        <w:t>Act</w:t>
      </w:r>
      <w:r w:rsidRPr="00347F6C">
        <w:rPr>
          <w:rStyle w:val="Emphasis"/>
        </w:rPr>
        <w:t xml:space="preserve"> </w:t>
      </w:r>
      <w:r>
        <w:t>1980 allows the Minister for Consumer Affairs to make grants from the Victorian Property Fund (VPF) for certain purposes.</w:t>
      </w:r>
    </w:p>
    <w:p w14:paraId="16F0BF6C" w14:textId="56F7AD73" w:rsidR="00D31BFE" w:rsidRDefault="00D31BFE" w:rsidP="00D31BFE">
      <w:pPr>
        <w:pStyle w:val="BodyText"/>
      </w:pPr>
      <w:r>
        <w:t>The Minister makes her decision on grants after consultation with us, the Estate Agents Council and</w:t>
      </w:r>
      <w:r w:rsidR="000965E1">
        <w:t> </w:t>
      </w:r>
      <w:r>
        <w:t>any industry associations, government departments and other organisations, as appropriate.</w:t>
      </w:r>
    </w:p>
    <w:p w14:paraId="2CEC4184" w14:textId="77777777" w:rsidR="00D31BFE" w:rsidRDefault="00D31BFE" w:rsidP="00D31BFE">
      <w:pPr>
        <w:pStyle w:val="BodyText"/>
      </w:pPr>
      <w:r>
        <w:t>We administer the VPF grants program. This includes evaluating applications, making recommendations about proposals to the Minister, and administering the grants awarded.</w:t>
      </w:r>
    </w:p>
    <w:p w14:paraId="7E9A3007" w14:textId="77777777" w:rsidR="00D31BFE" w:rsidRDefault="00D31BFE" w:rsidP="00D31BFE">
      <w:pPr>
        <w:pStyle w:val="BodyText"/>
      </w:pPr>
      <w:r>
        <w:t xml:space="preserve">In 2019–20 the Real Estate Institute of Victoria (REIV) received a grant of $175,385 to carry out professional development training for estate agents, helping to build their knowledge and understanding of tenancy laws and regulations. The training covers a range of consumer-protection related topics, including reforms to the </w:t>
      </w:r>
      <w:r w:rsidRPr="009F0D4B">
        <w:rPr>
          <w:rStyle w:val="Emphasis"/>
        </w:rPr>
        <w:t>Residential Tenancies Act 1997</w:t>
      </w:r>
      <w:r>
        <w:t xml:space="preserve"> and best-practice methods for property managers to support tenants experiencing family violence.</w:t>
      </w:r>
    </w:p>
    <w:p w14:paraId="7C317CE4" w14:textId="262E693B" w:rsidR="00D31BFE" w:rsidRDefault="00D31BFE" w:rsidP="00D31BFE">
      <w:pPr>
        <w:pStyle w:val="BodyText"/>
      </w:pPr>
      <w:r>
        <w:t>We managed 19 VPF grants in 2019–20 for community housing organisations (CHOs), totalling $58.2</w:t>
      </w:r>
      <w:r w:rsidR="000965E1">
        <w:t> </w:t>
      </w:r>
      <w:r>
        <w:t>million. VPF housing grants help fund CHOs carry out social housing development projects that increase the number of safe and affordable housing units available for low income and disadvantaged persons. VPF housing grants also enable CHOs to build to a higher environmental standard, reducing utility bills and increasing thermal comfort for tenants.</w:t>
      </w:r>
    </w:p>
    <w:p w14:paraId="11913CE1" w14:textId="3CC1694C" w:rsidR="00D31BFE" w:rsidRDefault="00D31BFE" w:rsidP="00D31BFE">
      <w:pPr>
        <w:pStyle w:val="BodyText"/>
      </w:pPr>
      <w:r>
        <w:t xml:space="preserve">This year </w:t>
      </w:r>
      <w:proofErr w:type="spellStart"/>
      <w:r>
        <w:t>HousingFirst</w:t>
      </w:r>
      <w:proofErr w:type="spellEnd"/>
      <w:r>
        <w:t xml:space="preserve"> broke ground on its St Kilda Apartment project, a major social housing development adjacent to the St Kilda Botanical Gardens. Part-funded by an $8 million VPF grant, the $19 million project involves the redevelopment of a heritage-listed building and will deliver fifty new self-contained units to accommodate vulnerable women and their children fleeing family violence. An</w:t>
      </w:r>
      <w:r w:rsidR="000965E1">
        <w:t> </w:t>
      </w:r>
      <w:r>
        <w:t>on-site support hub will allow residents to access social support services and clinical care, including programs to help keep children in school and assist families stay together.</w:t>
      </w:r>
    </w:p>
    <w:p w14:paraId="0BD93592" w14:textId="5DF0CEC3" w:rsidR="00D31BFE" w:rsidRDefault="00D31BFE" w:rsidP="00D31BFE">
      <w:pPr>
        <w:pStyle w:val="BodyText"/>
      </w:pPr>
      <w:r>
        <w:t>Another event saw Launch Housing install the first of 48 transportable studio units on a number of vacant sites in Footscray. Part-funded through a VPF grant of $3 million, this innovative project demonstrates how government land reserved for future road widening purposes can be flexibly used to accommodate low-income singles who have been priced out of the private rental market. The architecturally designed modular housing units have a lifespan of approximately 50 years and can be</w:t>
      </w:r>
      <w:r w:rsidR="000965E1">
        <w:t> </w:t>
      </w:r>
      <w:r>
        <w:t>transported numerous times.</w:t>
      </w:r>
    </w:p>
    <w:p w14:paraId="2B5DEA34" w14:textId="77777777" w:rsidR="00E3488C" w:rsidRPr="00E3488C" w:rsidRDefault="00E3488C" w:rsidP="00E3488C">
      <w:pPr>
        <w:pStyle w:val="BodyText"/>
      </w:pPr>
      <w:r w:rsidRPr="00E3488C">
        <w:br w:type="page"/>
      </w:r>
    </w:p>
    <w:p w14:paraId="26E8CD80" w14:textId="74B3A8C1" w:rsidR="00D31BFE" w:rsidRDefault="00D31BFE" w:rsidP="00D31BFE">
      <w:pPr>
        <w:pStyle w:val="Caption"/>
      </w:pPr>
      <w:r>
        <w:lastRenderedPageBreak/>
        <w:t>Table 6: Grants made from the Victorian Property Fund in 2019–20</w:t>
      </w:r>
    </w:p>
    <w:p w14:paraId="4C206876" w14:textId="77F7C234" w:rsidR="00D31BFE" w:rsidRDefault="00D31BFE" w:rsidP="00D31BFE">
      <w:pPr>
        <w:pStyle w:val="BodyText"/>
      </w:pPr>
      <w:r>
        <w:t>The table below details grants made in 2019–20 only; grants which were made in previous years, and</w:t>
      </w:r>
      <w:r w:rsidR="000965E1">
        <w:t> </w:t>
      </w:r>
      <w:r>
        <w:t>involve payments throughout 2019–20, are not included.</w:t>
      </w:r>
    </w:p>
    <w:tbl>
      <w:tblPr>
        <w:tblStyle w:val="TableGrid"/>
        <w:tblW w:w="9072" w:type="dxa"/>
        <w:tblLayout w:type="fixed"/>
        <w:tblLook w:val="06A0" w:firstRow="1" w:lastRow="0" w:firstColumn="1" w:lastColumn="0" w:noHBand="1" w:noVBand="1"/>
      </w:tblPr>
      <w:tblGrid>
        <w:gridCol w:w="1985"/>
        <w:gridCol w:w="5102"/>
        <w:gridCol w:w="1985"/>
      </w:tblGrid>
      <w:tr w:rsidR="00D31BFE" w14:paraId="40B09938" w14:textId="77777777" w:rsidTr="00E3488C">
        <w:trPr>
          <w:cnfStyle w:val="100000000000" w:firstRow="1" w:lastRow="0" w:firstColumn="0" w:lastColumn="0" w:oddVBand="0" w:evenVBand="0" w:oddHBand="0" w:evenHBand="0" w:firstRowFirstColumn="0" w:firstRowLastColumn="0" w:lastRowFirstColumn="0" w:lastRowLastColumn="0"/>
          <w:trHeight w:val="60"/>
          <w:tblHeader/>
        </w:trPr>
        <w:tc>
          <w:tcPr>
            <w:tcW w:w="1985" w:type="dxa"/>
          </w:tcPr>
          <w:p w14:paraId="12546337" w14:textId="77777777" w:rsidR="00D31BFE" w:rsidRPr="00FC56D9" w:rsidRDefault="00D31BFE" w:rsidP="00DA50C0">
            <w:pPr>
              <w:pStyle w:val="TableColHead"/>
            </w:pPr>
            <w:r>
              <w:t>Recipient</w:t>
            </w:r>
          </w:p>
        </w:tc>
        <w:tc>
          <w:tcPr>
            <w:tcW w:w="5103" w:type="dxa"/>
          </w:tcPr>
          <w:p w14:paraId="4A6F017B" w14:textId="77777777" w:rsidR="00D31BFE" w:rsidRDefault="00D31BFE" w:rsidP="00DA50C0">
            <w:pPr>
              <w:pStyle w:val="TableColHead"/>
            </w:pPr>
            <w:r>
              <w:t>Description of funded program</w:t>
            </w:r>
          </w:p>
        </w:tc>
        <w:tc>
          <w:tcPr>
            <w:tcW w:w="1985" w:type="dxa"/>
          </w:tcPr>
          <w:p w14:paraId="1F98B6FC" w14:textId="77777777" w:rsidR="00D31BFE" w:rsidRDefault="00D31BFE" w:rsidP="00DA50C0">
            <w:pPr>
              <w:pStyle w:val="TableColHeadRight"/>
            </w:pPr>
            <w:r>
              <w:t>Value (ex GST)</w:t>
            </w:r>
          </w:p>
        </w:tc>
      </w:tr>
      <w:tr w:rsidR="00D31BFE" w14:paraId="23627F43" w14:textId="77777777" w:rsidTr="00E3488C">
        <w:trPr>
          <w:trHeight w:val="60"/>
        </w:trPr>
        <w:tc>
          <w:tcPr>
            <w:tcW w:w="1985" w:type="dxa"/>
          </w:tcPr>
          <w:p w14:paraId="51F2D19C" w14:textId="77777777" w:rsidR="00D31BFE" w:rsidRDefault="00D31BFE" w:rsidP="00DA50C0">
            <w:pPr>
              <w:pStyle w:val="TableText"/>
            </w:pPr>
            <w:r>
              <w:t>Real Estate Institute of Victoria</w:t>
            </w:r>
          </w:p>
        </w:tc>
        <w:tc>
          <w:tcPr>
            <w:tcW w:w="5103" w:type="dxa"/>
          </w:tcPr>
          <w:p w14:paraId="6B602676" w14:textId="77777777" w:rsidR="00D31BFE" w:rsidRDefault="00D31BFE" w:rsidP="00DA50C0">
            <w:pPr>
              <w:pStyle w:val="TableText"/>
            </w:pPr>
            <w:r>
              <w:t>Professional development training for estate agents, helping to build their knowledge and understanding of tenancy laws and regulations. The training covers a range of consumer protection-related topics, including reforms to the Residential Tenancies Act and best-practice methods for property managers to support tenants experiencing family violence.</w:t>
            </w:r>
          </w:p>
        </w:tc>
        <w:tc>
          <w:tcPr>
            <w:tcW w:w="1985" w:type="dxa"/>
          </w:tcPr>
          <w:p w14:paraId="62B06012" w14:textId="77777777" w:rsidR="00D31BFE" w:rsidRDefault="00D31BFE" w:rsidP="00DA50C0">
            <w:pPr>
              <w:pStyle w:val="TableTextRight"/>
            </w:pPr>
            <w:r>
              <w:t>$175,385</w:t>
            </w:r>
          </w:p>
        </w:tc>
      </w:tr>
    </w:tbl>
    <w:p w14:paraId="14B8F653" w14:textId="77777777" w:rsidR="00D31BFE" w:rsidRDefault="00D31BFE" w:rsidP="00D31BFE">
      <w:pPr>
        <w:pStyle w:val="Heading2"/>
      </w:pPr>
      <w:bookmarkStart w:id="18" w:name="_Toc55998361"/>
      <w:r>
        <w:lastRenderedPageBreak/>
        <w:t>Trust funds managed by Consumer Affairs Victoria</w:t>
      </w:r>
      <w:bookmarkEnd w:id="18"/>
    </w:p>
    <w:p w14:paraId="16CE7E7C" w14:textId="77777777" w:rsidR="00D31BFE" w:rsidRDefault="00D31BFE" w:rsidP="00D31BFE">
      <w:pPr>
        <w:pStyle w:val="BodyText"/>
      </w:pPr>
      <w:r>
        <w:t>We manage eight funds established by Acts of Parliament. The funds, and their expenditure purposes, are reflected in Table 7.</w:t>
      </w:r>
    </w:p>
    <w:p w14:paraId="0AD71498" w14:textId="77777777" w:rsidR="00D31BFE" w:rsidRDefault="00D31BFE" w:rsidP="00D31BFE">
      <w:pPr>
        <w:pStyle w:val="Caption"/>
      </w:pPr>
      <w:r>
        <w:t>Table 7: Trust funds we administer</w:t>
      </w:r>
    </w:p>
    <w:tbl>
      <w:tblPr>
        <w:tblStyle w:val="TableGrid"/>
        <w:tblW w:w="9072" w:type="dxa"/>
        <w:tblLayout w:type="fixed"/>
        <w:tblLook w:val="06A0" w:firstRow="1" w:lastRow="0" w:firstColumn="1" w:lastColumn="0" w:noHBand="1" w:noVBand="1"/>
      </w:tblPr>
      <w:tblGrid>
        <w:gridCol w:w="2835"/>
        <w:gridCol w:w="6237"/>
      </w:tblGrid>
      <w:tr w:rsidR="00D31BFE" w14:paraId="5B5094CA" w14:textId="77777777" w:rsidTr="00E3488C">
        <w:trPr>
          <w:cnfStyle w:val="100000000000" w:firstRow="1" w:lastRow="0" w:firstColumn="0" w:lastColumn="0" w:oddVBand="0" w:evenVBand="0" w:oddHBand="0" w:evenHBand="0" w:firstRowFirstColumn="0" w:firstRowLastColumn="0" w:lastRowFirstColumn="0" w:lastRowLastColumn="0"/>
          <w:trHeight w:val="60"/>
          <w:tblHeader/>
        </w:trPr>
        <w:tc>
          <w:tcPr>
            <w:tcW w:w="2835" w:type="dxa"/>
          </w:tcPr>
          <w:p w14:paraId="783DD1DF" w14:textId="77777777" w:rsidR="00D31BFE" w:rsidRDefault="00D31BFE" w:rsidP="00DA50C0">
            <w:pPr>
              <w:pStyle w:val="TableColHead"/>
            </w:pPr>
            <w:r>
              <w:t>Trust fund</w:t>
            </w:r>
          </w:p>
        </w:tc>
        <w:tc>
          <w:tcPr>
            <w:tcW w:w="6237" w:type="dxa"/>
          </w:tcPr>
          <w:p w14:paraId="76A9633A" w14:textId="77777777" w:rsidR="00D31BFE" w:rsidRDefault="00D31BFE" w:rsidP="00DA50C0">
            <w:pPr>
              <w:pStyle w:val="TableColHead"/>
            </w:pPr>
            <w:r>
              <w:t>Expenditure includes</w:t>
            </w:r>
          </w:p>
        </w:tc>
      </w:tr>
      <w:tr w:rsidR="00D31BFE" w14:paraId="30AE2A24" w14:textId="77777777" w:rsidTr="00E3488C">
        <w:trPr>
          <w:trHeight w:val="60"/>
        </w:trPr>
        <w:tc>
          <w:tcPr>
            <w:tcW w:w="2835" w:type="dxa"/>
          </w:tcPr>
          <w:p w14:paraId="3D68F8CD" w14:textId="77777777" w:rsidR="00D31BFE" w:rsidRDefault="00D31BFE" w:rsidP="00DA50C0">
            <w:pPr>
              <w:pStyle w:val="TableText"/>
            </w:pPr>
            <w:r>
              <w:t>Domestic Builders Fund</w:t>
            </w:r>
          </w:p>
        </w:tc>
        <w:tc>
          <w:tcPr>
            <w:tcW w:w="6237" w:type="dxa"/>
          </w:tcPr>
          <w:p w14:paraId="7F1DAE21" w14:textId="77777777" w:rsidR="00D31BFE" w:rsidRDefault="00D31BFE" w:rsidP="00DA50C0">
            <w:pPr>
              <w:pStyle w:val="TableText"/>
            </w:pPr>
            <w:r>
              <w:t xml:space="preserve">Administration of the </w:t>
            </w:r>
            <w:r w:rsidRPr="009F0D4B">
              <w:rPr>
                <w:rStyle w:val="Emphasis"/>
              </w:rPr>
              <w:t>Domestic Building Contracts Act 1995</w:t>
            </w:r>
            <w:r>
              <w:t>, costs relating to the Victorian Civil and Administrative Tribunal (VCAT) Building and Property List and Domestic Building Dispute Resolution Victoria (DBDRV).</w:t>
            </w:r>
          </w:p>
        </w:tc>
      </w:tr>
      <w:tr w:rsidR="00D31BFE" w14:paraId="0963DBB9" w14:textId="77777777" w:rsidTr="00E3488C">
        <w:trPr>
          <w:trHeight w:val="60"/>
        </w:trPr>
        <w:tc>
          <w:tcPr>
            <w:tcW w:w="2835" w:type="dxa"/>
          </w:tcPr>
          <w:p w14:paraId="24936E30" w14:textId="77777777" w:rsidR="00D31BFE" w:rsidRDefault="00D31BFE" w:rsidP="00DA50C0">
            <w:pPr>
              <w:pStyle w:val="TableText"/>
            </w:pPr>
            <w:r>
              <w:t>Motor Car Traders Guarantee Fund</w:t>
            </w:r>
          </w:p>
        </w:tc>
        <w:tc>
          <w:tcPr>
            <w:tcW w:w="6237" w:type="dxa"/>
          </w:tcPr>
          <w:p w14:paraId="46F6E960" w14:textId="77777777" w:rsidR="00D31BFE" w:rsidRDefault="00D31BFE" w:rsidP="00DA50C0">
            <w:pPr>
              <w:pStyle w:val="TableText"/>
            </w:pPr>
            <w:r>
              <w:t>Administration of the</w:t>
            </w:r>
            <w:r w:rsidRPr="009F0D4B">
              <w:rPr>
                <w:rStyle w:val="Emphasis"/>
              </w:rPr>
              <w:t xml:space="preserve"> Motor Car Traders Act 1986</w:t>
            </w:r>
            <w:r>
              <w:t>, guarantee fund claims.</w:t>
            </w:r>
          </w:p>
        </w:tc>
      </w:tr>
      <w:tr w:rsidR="00D31BFE" w14:paraId="23738BF5" w14:textId="77777777" w:rsidTr="00E3488C">
        <w:trPr>
          <w:trHeight w:val="60"/>
        </w:trPr>
        <w:tc>
          <w:tcPr>
            <w:tcW w:w="2835" w:type="dxa"/>
          </w:tcPr>
          <w:p w14:paraId="56F1057F" w14:textId="77777777" w:rsidR="00D31BFE" w:rsidRDefault="00D31BFE" w:rsidP="00DA50C0">
            <w:pPr>
              <w:pStyle w:val="TableText"/>
            </w:pPr>
            <w:r>
              <w:t>Residential Bonds Account</w:t>
            </w:r>
          </w:p>
        </w:tc>
        <w:tc>
          <w:tcPr>
            <w:tcW w:w="6237" w:type="dxa"/>
          </w:tcPr>
          <w:p w14:paraId="776CC94D" w14:textId="77777777" w:rsidR="00D31BFE" w:rsidRDefault="00D31BFE" w:rsidP="00DA50C0">
            <w:pPr>
              <w:pStyle w:val="TableText"/>
            </w:pPr>
            <w:r>
              <w:t>Bonds held on trust for Victorian tenants and landlords.</w:t>
            </w:r>
          </w:p>
        </w:tc>
      </w:tr>
      <w:tr w:rsidR="00D31BFE" w14:paraId="5F8FB6C2" w14:textId="77777777" w:rsidTr="00E3488C">
        <w:trPr>
          <w:trHeight w:val="60"/>
        </w:trPr>
        <w:tc>
          <w:tcPr>
            <w:tcW w:w="2835" w:type="dxa"/>
          </w:tcPr>
          <w:p w14:paraId="22CCE895" w14:textId="77777777" w:rsidR="00D31BFE" w:rsidRDefault="00D31BFE" w:rsidP="00DA50C0">
            <w:pPr>
              <w:pStyle w:val="TableText"/>
            </w:pPr>
            <w:r>
              <w:t>Residential Bonds Investment Income Account</w:t>
            </w:r>
          </w:p>
        </w:tc>
        <w:tc>
          <w:tcPr>
            <w:tcW w:w="6237" w:type="dxa"/>
          </w:tcPr>
          <w:p w14:paraId="2A0366E9" w14:textId="77777777" w:rsidR="00D31BFE" w:rsidRDefault="00D31BFE" w:rsidP="00DA50C0">
            <w:pPr>
              <w:pStyle w:val="TableText"/>
            </w:pPr>
            <w:r>
              <w:t>Administration of the Residential Tenancies Bond Authority, transfers to the Residential Tenancies Fund.</w:t>
            </w:r>
          </w:p>
        </w:tc>
      </w:tr>
      <w:tr w:rsidR="00D31BFE" w14:paraId="18554D00" w14:textId="77777777" w:rsidTr="00E3488C">
        <w:trPr>
          <w:trHeight w:val="60"/>
        </w:trPr>
        <w:tc>
          <w:tcPr>
            <w:tcW w:w="2835" w:type="dxa"/>
          </w:tcPr>
          <w:p w14:paraId="27632092" w14:textId="77777777" w:rsidR="00D31BFE" w:rsidRDefault="00D31BFE" w:rsidP="00DA50C0">
            <w:pPr>
              <w:pStyle w:val="TableText"/>
            </w:pPr>
            <w:r>
              <w:t>Residential Tenancies Fund</w:t>
            </w:r>
          </w:p>
        </w:tc>
        <w:tc>
          <w:tcPr>
            <w:tcW w:w="6237" w:type="dxa"/>
          </w:tcPr>
          <w:p w14:paraId="20E550B1" w14:textId="77777777" w:rsidR="00D31BFE" w:rsidRDefault="00D31BFE" w:rsidP="00DA50C0">
            <w:pPr>
              <w:pStyle w:val="TableText"/>
            </w:pPr>
            <w:r>
              <w:t xml:space="preserve">Administration of the </w:t>
            </w:r>
            <w:r w:rsidRPr="009F0D4B">
              <w:rPr>
                <w:rStyle w:val="Emphasis"/>
              </w:rPr>
              <w:t>Residential Tenancies Act 1997</w:t>
            </w:r>
            <w:r>
              <w:t>, costs relating to the VCAT Residential Tenancies List.</w:t>
            </w:r>
          </w:p>
        </w:tc>
      </w:tr>
      <w:tr w:rsidR="00D31BFE" w14:paraId="22519D35" w14:textId="77777777" w:rsidTr="00E3488C">
        <w:trPr>
          <w:trHeight w:val="60"/>
        </w:trPr>
        <w:tc>
          <w:tcPr>
            <w:tcW w:w="2835" w:type="dxa"/>
          </w:tcPr>
          <w:p w14:paraId="1B77C368" w14:textId="77777777" w:rsidR="00D31BFE" w:rsidRDefault="00D31BFE" w:rsidP="00DA50C0">
            <w:pPr>
              <w:pStyle w:val="TableText"/>
            </w:pPr>
            <w:r>
              <w:t>Sex Work Regulation Fund</w:t>
            </w:r>
          </w:p>
        </w:tc>
        <w:tc>
          <w:tcPr>
            <w:tcW w:w="6237" w:type="dxa"/>
          </w:tcPr>
          <w:p w14:paraId="5C902E6B" w14:textId="77777777" w:rsidR="00D31BFE" w:rsidRDefault="00D31BFE" w:rsidP="00DA50C0">
            <w:pPr>
              <w:pStyle w:val="TableText"/>
            </w:pPr>
            <w:r>
              <w:t xml:space="preserve">Administration of the </w:t>
            </w:r>
            <w:r w:rsidRPr="009F0D4B">
              <w:rPr>
                <w:rStyle w:val="Emphasis"/>
              </w:rPr>
              <w:t>Sex Work Act 1994</w:t>
            </w:r>
            <w:r>
              <w:t>.</w:t>
            </w:r>
          </w:p>
        </w:tc>
      </w:tr>
      <w:tr w:rsidR="00D31BFE" w14:paraId="6CF83352" w14:textId="77777777" w:rsidTr="00E3488C">
        <w:trPr>
          <w:trHeight w:val="60"/>
        </w:trPr>
        <w:tc>
          <w:tcPr>
            <w:tcW w:w="2835" w:type="dxa"/>
          </w:tcPr>
          <w:p w14:paraId="3008C808" w14:textId="77777777" w:rsidR="00D31BFE" w:rsidRDefault="00D31BFE" w:rsidP="00DA50C0">
            <w:pPr>
              <w:pStyle w:val="TableText"/>
            </w:pPr>
            <w:r>
              <w:t>Victorian Consumer Law Fund</w:t>
            </w:r>
          </w:p>
        </w:tc>
        <w:tc>
          <w:tcPr>
            <w:tcW w:w="6237" w:type="dxa"/>
          </w:tcPr>
          <w:p w14:paraId="5BEEA336" w14:textId="77777777" w:rsidR="00D31BFE" w:rsidRDefault="00D31BFE" w:rsidP="00DA50C0">
            <w:pPr>
              <w:pStyle w:val="TableText"/>
            </w:pPr>
            <w:r>
              <w:t xml:space="preserve">Administration of the </w:t>
            </w:r>
            <w:r w:rsidRPr="009F0D4B">
              <w:rPr>
                <w:rStyle w:val="Emphasis"/>
              </w:rPr>
              <w:t xml:space="preserve">Australian Consumer Law and </w:t>
            </w:r>
            <w:proofErr w:type="gramStart"/>
            <w:r w:rsidRPr="009F0D4B">
              <w:rPr>
                <w:rStyle w:val="Emphasis"/>
              </w:rPr>
              <w:t>Fair Trading</w:t>
            </w:r>
            <w:proofErr w:type="gramEnd"/>
            <w:r w:rsidRPr="009F0D4B">
              <w:rPr>
                <w:rStyle w:val="Emphasis"/>
              </w:rPr>
              <w:t xml:space="preserve"> Act 2012</w:t>
            </w:r>
            <w:r>
              <w:t xml:space="preserve"> Part 7, Division 2, s.102A to E, orders for payment to non-party consumers, special purpose grants.</w:t>
            </w:r>
          </w:p>
        </w:tc>
      </w:tr>
      <w:tr w:rsidR="00D31BFE" w14:paraId="094CBB29" w14:textId="77777777" w:rsidTr="00E3488C">
        <w:trPr>
          <w:trHeight w:val="60"/>
        </w:trPr>
        <w:tc>
          <w:tcPr>
            <w:tcW w:w="2835" w:type="dxa"/>
          </w:tcPr>
          <w:p w14:paraId="08D5AF6D" w14:textId="77777777" w:rsidR="00D31BFE" w:rsidRDefault="00D31BFE" w:rsidP="00DA50C0">
            <w:pPr>
              <w:pStyle w:val="TableText"/>
            </w:pPr>
            <w:r>
              <w:t>Victorian Property Fund</w:t>
            </w:r>
          </w:p>
        </w:tc>
        <w:tc>
          <w:tcPr>
            <w:tcW w:w="6237" w:type="dxa"/>
          </w:tcPr>
          <w:p w14:paraId="08B7ABF6" w14:textId="77777777" w:rsidR="00D31BFE" w:rsidRDefault="00D31BFE" w:rsidP="00DA50C0">
            <w:pPr>
              <w:pStyle w:val="TableText"/>
            </w:pPr>
            <w:r>
              <w:t xml:space="preserve">Administration of the </w:t>
            </w:r>
            <w:r w:rsidRPr="009F0D4B">
              <w:rPr>
                <w:rStyle w:val="Emphasis"/>
              </w:rPr>
              <w:t>Estate Agents Act 1980</w:t>
            </w:r>
            <w:r>
              <w:t xml:space="preserve"> and other real estate related legislation as permitted by s.75 of the Act, grants relating to property and housing as permitted by s.76(3) of the Act, operation of the Estate Agents Council, trust fund claims, costs relating to the VCAT Owners Corporation List.</w:t>
            </w:r>
          </w:p>
        </w:tc>
      </w:tr>
    </w:tbl>
    <w:p w14:paraId="5FB4CF9C" w14:textId="77777777" w:rsidR="00D31BFE" w:rsidRDefault="00D31BFE" w:rsidP="00D31BFE">
      <w:pPr>
        <w:pStyle w:val="Heading2"/>
      </w:pPr>
      <w:bookmarkStart w:id="19" w:name="_Toc55998362"/>
      <w:r>
        <w:lastRenderedPageBreak/>
        <w:t>Reducing red tape</w:t>
      </w:r>
      <w:bookmarkEnd w:id="19"/>
    </w:p>
    <w:p w14:paraId="368D8AF5" w14:textId="77777777" w:rsidR="00D31BFE" w:rsidRDefault="00D31BFE" w:rsidP="00D31BFE">
      <w:pPr>
        <w:pStyle w:val="BodyText"/>
      </w:pPr>
      <w:r>
        <w:t>In June 2019, the Minister for Consumer Affairs issued a reducing red tape Statement of Expectations (SOE) to Consumer Affairs Victoria and the Business Licensing Authority for 2019–21.</w:t>
      </w:r>
    </w:p>
    <w:p w14:paraId="6F18B96F" w14:textId="426762ED" w:rsidR="00D31BFE" w:rsidRDefault="00D31BFE" w:rsidP="00D31BFE">
      <w:pPr>
        <w:pStyle w:val="BodyText"/>
      </w:pPr>
      <w:r>
        <w:t>This SOE sets out the Minister’s expectations for our continued contribution to the government’s Regulation Reform Program to reduce red tape affecting businesses, not-for-profit organisations, government service providers and households by promoting greater efficiency and effectiveness in</w:t>
      </w:r>
      <w:r w:rsidR="00D51FF2">
        <w:t> </w:t>
      </w:r>
      <w:r>
        <w:t>the</w:t>
      </w:r>
      <w:r w:rsidR="00D51FF2">
        <w:t> </w:t>
      </w:r>
      <w:r>
        <w:t>administration and enforcement of regulation. This SOE also outlines key governance and performance objectives and targets aimed at improving the administration and enforcement of regulation and thus reducing its cost impact on business and the community.</w:t>
      </w:r>
    </w:p>
    <w:p w14:paraId="228ECEC3" w14:textId="134AFDDC" w:rsidR="00D31BFE" w:rsidRDefault="00D31BFE" w:rsidP="00D31BFE">
      <w:pPr>
        <w:pStyle w:val="BodyText"/>
      </w:pPr>
      <w:r>
        <w:t xml:space="preserve">The projects identified in the SOE fall under the three broad objectives of improved timeliness, </w:t>
      </w:r>
      <w:r w:rsidR="00D51FF2">
        <w:br/>
      </w:r>
      <w:r>
        <w:t>risk-based strategies, and compliance-related assistance and advice.</w:t>
      </w:r>
    </w:p>
    <w:p w14:paraId="5B9ED6FF" w14:textId="77777777" w:rsidR="00D31BFE" w:rsidRDefault="00D31BFE" w:rsidP="00D31BFE">
      <w:pPr>
        <w:pStyle w:val="Heading3"/>
      </w:pPr>
      <w:bookmarkStart w:id="20" w:name="_Toc55998363"/>
      <w:r>
        <w:t>Improved timeliness</w:t>
      </w:r>
      <w:bookmarkEnd w:id="20"/>
    </w:p>
    <w:p w14:paraId="77AACB67" w14:textId="297E7AF6" w:rsidR="00D31BFE" w:rsidRPr="00D31BFE" w:rsidRDefault="00D31BFE" w:rsidP="00D31BFE">
      <w:pPr>
        <w:pStyle w:val="BodyText"/>
      </w:pPr>
      <w:r>
        <w:t>We made it easier for licensees and registrants to submit their required information, check on their</w:t>
      </w:r>
      <w:r w:rsidR="00D51FF2">
        <w:t> </w:t>
      </w:r>
      <w:r>
        <w:t xml:space="preserve">application status and remain compliant with their obligations via online systems. For more information, see </w:t>
      </w:r>
      <w:hyperlink w:anchor="_Making_it_easier" w:history="1">
        <w:r w:rsidRPr="00D31BFE">
          <w:rPr>
            <w:rStyle w:val="Hyperlink"/>
          </w:rPr>
          <w:t>‘Making it easier to comply’</w:t>
        </w:r>
      </w:hyperlink>
      <w:r>
        <w:t xml:space="preserve"> </w:t>
      </w:r>
      <w:r w:rsidRPr="00D31BFE">
        <w:t xml:space="preserve">on page </w:t>
      </w:r>
      <w:r w:rsidRPr="00D31BFE">
        <w:fldChar w:fldCharType="begin"/>
      </w:r>
      <w:r w:rsidRPr="00D31BFE">
        <w:instrText xml:space="preserve"> PAGEREF _Ref55931270 \h </w:instrText>
      </w:r>
      <w:r w:rsidRPr="00D31BFE">
        <w:fldChar w:fldCharType="separate"/>
      </w:r>
      <w:r w:rsidR="006F187D">
        <w:rPr>
          <w:noProof/>
        </w:rPr>
        <w:t>12</w:t>
      </w:r>
      <w:r w:rsidRPr="00D31BFE">
        <w:fldChar w:fldCharType="end"/>
      </w:r>
      <w:r w:rsidRPr="00D31BFE">
        <w:t>.</w:t>
      </w:r>
    </w:p>
    <w:p w14:paraId="6E4A154B" w14:textId="77777777" w:rsidR="00D31BFE" w:rsidRPr="00D31BFE" w:rsidRDefault="00D31BFE" w:rsidP="00D31BFE">
      <w:pPr>
        <w:pStyle w:val="BodyText"/>
      </w:pPr>
      <w:r w:rsidRPr="00D31BFE">
        <w:t>We engaged directly with multiple industries to improve their compliance experience. This included identifying the systems and business process changes required to implement the Professional Engineers Registration Scheme, working closely with the Victorian Building Authority.</w:t>
      </w:r>
    </w:p>
    <w:p w14:paraId="2B1FC739" w14:textId="77777777" w:rsidR="00D31BFE" w:rsidRPr="00D31BFE" w:rsidRDefault="00D31BFE" w:rsidP="00D31BFE">
      <w:pPr>
        <w:pStyle w:val="BodyText"/>
      </w:pPr>
      <w:r w:rsidRPr="00D31BFE">
        <w:t>We developed business and technology frameworks that include functionality for registered charities to notify us of their charity status, an enhancement which will benefit charities who fundraise in Victoria by reducing the current fundraising administrative burden.</w:t>
      </w:r>
    </w:p>
    <w:p w14:paraId="7D2A9B9D" w14:textId="77777777" w:rsidR="00D31BFE" w:rsidRPr="00D31BFE" w:rsidRDefault="00D31BFE" w:rsidP="00D31BFE">
      <w:pPr>
        <w:pStyle w:val="Heading3"/>
      </w:pPr>
      <w:bookmarkStart w:id="21" w:name="_Toc55998364"/>
      <w:r w:rsidRPr="00D31BFE">
        <w:t>Risk-based strategies</w:t>
      </w:r>
      <w:bookmarkEnd w:id="21"/>
    </w:p>
    <w:p w14:paraId="66A0C1EE" w14:textId="77777777" w:rsidR="00D31BFE" w:rsidRPr="00D31BFE" w:rsidRDefault="00D31BFE" w:rsidP="00D31BFE">
      <w:pPr>
        <w:pStyle w:val="BodyText"/>
      </w:pPr>
      <w:r w:rsidRPr="00D31BFE">
        <w:t>We embedded our compliance operations, to ensure that risk is at the centre of compliance decision making. Our regulatory approach enables us to focus on areas of greatest risk to the achievement of regulatory outcomes.</w:t>
      </w:r>
    </w:p>
    <w:p w14:paraId="403CB6E1" w14:textId="62DA13B7" w:rsidR="00D31BFE" w:rsidRDefault="00D31BFE" w:rsidP="00D31BFE">
      <w:pPr>
        <w:pStyle w:val="BodyText"/>
      </w:pPr>
      <w:r w:rsidRPr="00D31BFE">
        <w:t xml:space="preserve">We refined our compliance model by strengthening the risk assessment process and enhancing compliance intelligence to inform inspection targeting. See </w:t>
      </w:r>
      <w:hyperlink w:anchor="_Risk-based" w:history="1">
        <w:r w:rsidRPr="00D31BFE">
          <w:rPr>
            <w:rStyle w:val="Hyperlink"/>
          </w:rPr>
          <w:t>‘Our regulatory approach – Risk-based’</w:t>
        </w:r>
      </w:hyperlink>
      <w:r w:rsidRPr="00D31BFE">
        <w:t xml:space="preserve"> on</w:t>
      </w:r>
      <w:r w:rsidR="00D51FF2">
        <w:t> </w:t>
      </w:r>
      <w:r w:rsidRPr="00D31BFE">
        <w:t xml:space="preserve">page </w:t>
      </w:r>
      <w:r w:rsidRPr="00D31BFE">
        <w:fldChar w:fldCharType="begin"/>
      </w:r>
      <w:r w:rsidRPr="00D31BFE">
        <w:instrText xml:space="preserve"> PAGEREF _Ref55931252 \h </w:instrText>
      </w:r>
      <w:r w:rsidRPr="00D31BFE">
        <w:fldChar w:fldCharType="separate"/>
      </w:r>
      <w:r w:rsidR="006F187D">
        <w:rPr>
          <w:noProof/>
        </w:rPr>
        <w:t>7</w:t>
      </w:r>
      <w:r w:rsidRPr="00D31BFE">
        <w:fldChar w:fldCharType="end"/>
      </w:r>
      <w:r w:rsidRPr="00D31BFE">
        <w:t xml:space="preserve"> for more details.</w:t>
      </w:r>
    </w:p>
    <w:p w14:paraId="7440B365" w14:textId="77777777" w:rsidR="00D31BFE" w:rsidRDefault="00D31BFE" w:rsidP="00D31BFE">
      <w:pPr>
        <w:pStyle w:val="Heading3"/>
      </w:pPr>
      <w:bookmarkStart w:id="22" w:name="_Toc55998365"/>
      <w:r>
        <w:t>Compliance related assistance and advice</w:t>
      </w:r>
      <w:bookmarkEnd w:id="22"/>
    </w:p>
    <w:p w14:paraId="712F2BD7" w14:textId="77777777" w:rsidR="00D31BFE" w:rsidRDefault="00D31BFE" w:rsidP="00D31BFE">
      <w:pPr>
        <w:pStyle w:val="BodyText"/>
      </w:pPr>
      <w:r>
        <w:t xml:space="preserve">We provided easy to navigate, online advice in relation to the early release of the </w:t>
      </w:r>
      <w:r w:rsidRPr="009F0D4B">
        <w:rPr>
          <w:rStyle w:val="Emphasis"/>
        </w:rPr>
        <w:t>Residential Tenancies Act 1997</w:t>
      </w:r>
      <w:r w:rsidRPr="00D31BFE">
        <w:t xml:space="preserve"> reforms, in</w:t>
      </w:r>
      <w:r>
        <w:t>cluding information and access to prescribed forms.</w:t>
      </w:r>
    </w:p>
    <w:p w14:paraId="39B1C494" w14:textId="77777777" w:rsidR="00D31BFE" w:rsidRDefault="00D31BFE" w:rsidP="00D31BFE">
      <w:pPr>
        <w:pStyle w:val="BodyText"/>
      </w:pPr>
      <w:r>
        <w:t>We improved delivery of user-focused information through our website, new digital prescribed products and CAV’s other communications channels.</w:t>
      </w:r>
    </w:p>
    <w:p w14:paraId="2B63D3AA" w14:textId="1F5BA695" w:rsidR="00ED6A34" w:rsidRDefault="00ED6A34" w:rsidP="00A75F3C">
      <w:pPr>
        <w:pStyle w:val="BodyText"/>
      </w:pPr>
    </w:p>
    <w:p w14:paraId="1D337FAF" w14:textId="77777777" w:rsidR="00B65A4B" w:rsidRDefault="00B65A4B" w:rsidP="00BB1C65">
      <w:pPr>
        <w:pStyle w:val="Heading2"/>
        <w:sectPr w:rsidR="00B65A4B" w:rsidSect="001B396A">
          <w:footerReference w:type="default" r:id="rId16"/>
          <w:footnotePr>
            <w:pos w:val="beneathText"/>
            <w:numRestart w:val="eachPage"/>
          </w:footnotePr>
          <w:pgSz w:w="11906" w:h="16838" w:code="9"/>
          <w:pgMar w:top="1418" w:right="1418" w:bottom="1134" w:left="1418" w:header="510" w:footer="510" w:gutter="0"/>
          <w:cols w:space="708"/>
          <w:titlePg/>
          <w:docGrid w:linePitch="360"/>
        </w:sectPr>
      </w:pPr>
    </w:p>
    <w:p w14:paraId="2FBBE65E" w14:textId="38B67D5C" w:rsidR="00ED6A34" w:rsidRDefault="00ED6A34" w:rsidP="00132675">
      <w:pPr>
        <w:pStyle w:val="Heading2"/>
        <w:spacing w:after="160"/>
      </w:pPr>
      <w:bookmarkStart w:id="23" w:name="_Toc55998366"/>
      <w:r>
        <w:lastRenderedPageBreak/>
        <w:t>Financial</w:t>
      </w:r>
      <w:r w:rsidR="001C3C79">
        <w:t xml:space="preserve"> </w:t>
      </w:r>
      <w:r>
        <w:t>information</w:t>
      </w:r>
      <w:r w:rsidR="001C3C79">
        <w:t xml:space="preserve"> </w:t>
      </w:r>
      <w:r>
        <w:t>201</w:t>
      </w:r>
      <w:r w:rsidR="00A66C4F">
        <w:t>9</w:t>
      </w:r>
      <w:r>
        <w:t>–</w:t>
      </w:r>
      <w:r w:rsidR="00A66C4F">
        <w:t>20</w:t>
      </w:r>
      <w:bookmarkEnd w:id="23"/>
    </w:p>
    <w:tbl>
      <w:tblPr>
        <w:tblStyle w:val="TableGrid"/>
        <w:tblW w:w="20979" w:type="dxa"/>
        <w:tblLayout w:type="fixed"/>
        <w:tblLook w:val="06A0" w:firstRow="1" w:lastRow="0" w:firstColumn="1" w:lastColumn="0" w:noHBand="1" w:noVBand="1"/>
      </w:tblPr>
      <w:tblGrid>
        <w:gridCol w:w="7340"/>
        <w:gridCol w:w="1704"/>
        <w:gridCol w:w="1705"/>
        <w:gridCol w:w="1705"/>
        <w:gridCol w:w="1705"/>
        <w:gridCol w:w="1705"/>
        <w:gridCol w:w="1705"/>
        <w:gridCol w:w="1705"/>
        <w:gridCol w:w="1705"/>
      </w:tblGrid>
      <w:tr w:rsidR="00F6299A" w14:paraId="62E9813F" w14:textId="77777777" w:rsidTr="00A66C4F">
        <w:trPr>
          <w:cnfStyle w:val="100000000000" w:firstRow="1" w:lastRow="0" w:firstColumn="0" w:lastColumn="0" w:oddVBand="0" w:evenVBand="0" w:oddHBand="0" w:evenHBand="0" w:firstRowFirstColumn="0" w:firstRowLastColumn="0" w:lastRowFirstColumn="0" w:lastRowLastColumn="0"/>
          <w:trHeight w:val="60"/>
          <w:tblHeader/>
        </w:trPr>
        <w:tc>
          <w:tcPr>
            <w:tcW w:w="7340" w:type="dxa"/>
          </w:tcPr>
          <w:p w14:paraId="5681742C" w14:textId="77777777" w:rsidR="00F6299A" w:rsidRDefault="00F6299A" w:rsidP="00F6299A">
            <w:pPr>
              <w:pStyle w:val="TableColHead"/>
            </w:pPr>
          </w:p>
        </w:tc>
        <w:tc>
          <w:tcPr>
            <w:tcW w:w="1704" w:type="dxa"/>
          </w:tcPr>
          <w:p w14:paraId="3F529586" w14:textId="192A07E3" w:rsidR="00F6299A" w:rsidRDefault="00F6299A" w:rsidP="00F6299A">
            <w:pPr>
              <w:pStyle w:val="TableColHeadRight"/>
            </w:pPr>
            <w:r>
              <w:t>Victorian Consumer Law Fund</w:t>
            </w:r>
          </w:p>
        </w:tc>
        <w:tc>
          <w:tcPr>
            <w:tcW w:w="1705" w:type="dxa"/>
          </w:tcPr>
          <w:p w14:paraId="5E3F11D7" w14:textId="705ABCBB" w:rsidR="00F6299A" w:rsidRDefault="00F6299A" w:rsidP="00F6299A">
            <w:pPr>
              <w:pStyle w:val="TableColHeadRight"/>
            </w:pPr>
            <w:r>
              <w:t>Domestic Builders Fund</w:t>
            </w:r>
          </w:p>
        </w:tc>
        <w:tc>
          <w:tcPr>
            <w:tcW w:w="1705" w:type="dxa"/>
          </w:tcPr>
          <w:p w14:paraId="349C4EFB" w14:textId="082057E1" w:rsidR="00F6299A" w:rsidRDefault="00F6299A" w:rsidP="00F6299A">
            <w:pPr>
              <w:pStyle w:val="TableColHeadRight"/>
            </w:pPr>
            <w:r>
              <w:t>Motor Car Traders’ Guarantee Fund</w:t>
            </w:r>
          </w:p>
        </w:tc>
        <w:tc>
          <w:tcPr>
            <w:tcW w:w="1705" w:type="dxa"/>
          </w:tcPr>
          <w:p w14:paraId="6B8EBFE8" w14:textId="0992DC3C" w:rsidR="00F6299A" w:rsidRDefault="00F6299A" w:rsidP="00F6299A">
            <w:pPr>
              <w:pStyle w:val="TableColHeadRight"/>
            </w:pPr>
            <w:r>
              <w:t>Residential Bonds Investment Income Account</w:t>
            </w:r>
          </w:p>
        </w:tc>
        <w:tc>
          <w:tcPr>
            <w:tcW w:w="1705" w:type="dxa"/>
          </w:tcPr>
          <w:p w14:paraId="5E65277B" w14:textId="3DDCC4E8" w:rsidR="00F6299A" w:rsidRDefault="00F6299A" w:rsidP="00F6299A">
            <w:pPr>
              <w:pStyle w:val="TableColHeadRight"/>
            </w:pPr>
            <w:r>
              <w:t>Residential Tenancies Fund</w:t>
            </w:r>
          </w:p>
        </w:tc>
        <w:tc>
          <w:tcPr>
            <w:tcW w:w="1705" w:type="dxa"/>
          </w:tcPr>
          <w:p w14:paraId="69A891CB" w14:textId="55B0F9E4" w:rsidR="00F6299A" w:rsidRDefault="00F6299A" w:rsidP="00F6299A">
            <w:pPr>
              <w:pStyle w:val="TableColHeadRight"/>
            </w:pPr>
            <w:r>
              <w:t>Sex Work Regulation Fund</w:t>
            </w:r>
          </w:p>
        </w:tc>
        <w:tc>
          <w:tcPr>
            <w:tcW w:w="1705" w:type="dxa"/>
          </w:tcPr>
          <w:p w14:paraId="02EDF91C" w14:textId="30C01713" w:rsidR="00F6299A" w:rsidRDefault="00F6299A" w:rsidP="00F6299A">
            <w:pPr>
              <w:pStyle w:val="TableColHeadRight"/>
            </w:pPr>
            <w:r>
              <w:t>Victorian Property Fund</w:t>
            </w:r>
          </w:p>
        </w:tc>
        <w:tc>
          <w:tcPr>
            <w:tcW w:w="1705" w:type="dxa"/>
          </w:tcPr>
          <w:p w14:paraId="0158DA44" w14:textId="77777777" w:rsidR="00F6299A" w:rsidRDefault="00F6299A" w:rsidP="00F6299A">
            <w:pPr>
              <w:pStyle w:val="TableColHeadRight"/>
            </w:pPr>
            <w:r>
              <w:t>Trust Funds Total</w:t>
            </w:r>
          </w:p>
          <w:p w14:paraId="3498BF23" w14:textId="48BA1BA6" w:rsidR="00F6299A" w:rsidRDefault="00F6299A" w:rsidP="00F6299A">
            <w:pPr>
              <w:pStyle w:val="TableColHeadRight"/>
            </w:pPr>
            <w:r>
              <w:t>2019–20</w:t>
            </w:r>
          </w:p>
        </w:tc>
      </w:tr>
      <w:tr w:rsidR="00F6299A" w14:paraId="1137D50F" w14:textId="77777777" w:rsidTr="00A66C4F">
        <w:trPr>
          <w:trHeight w:val="60"/>
        </w:trPr>
        <w:tc>
          <w:tcPr>
            <w:tcW w:w="20979" w:type="dxa"/>
            <w:gridSpan w:val="9"/>
            <w:shd w:val="clear" w:color="auto" w:fill="B2D5F0"/>
          </w:tcPr>
          <w:p w14:paraId="33103E6E" w14:textId="36B62A79" w:rsidR="00F6299A" w:rsidRPr="00E3488C" w:rsidRDefault="00F6299A" w:rsidP="00F6299A">
            <w:pPr>
              <w:pStyle w:val="TableTextBold"/>
            </w:pPr>
            <w:r w:rsidRPr="00E3488C">
              <w:t>CAV trust funds revenue</w:t>
            </w:r>
          </w:p>
        </w:tc>
      </w:tr>
      <w:tr w:rsidR="00F6299A" w14:paraId="05E1D8A6" w14:textId="77777777" w:rsidTr="00A66C4F">
        <w:trPr>
          <w:trHeight w:val="60"/>
        </w:trPr>
        <w:tc>
          <w:tcPr>
            <w:tcW w:w="7340" w:type="dxa"/>
          </w:tcPr>
          <w:p w14:paraId="25F564C9" w14:textId="57DF9F76" w:rsidR="00F6299A" w:rsidRDefault="00F6299A" w:rsidP="00F6299A">
            <w:pPr>
              <w:pStyle w:val="TableText"/>
            </w:pPr>
            <w:r>
              <w:t>Revenue recognition, estate agent and conveyancer trust accounts</w:t>
            </w:r>
          </w:p>
        </w:tc>
        <w:tc>
          <w:tcPr>
            <w:tcW w:w="1704" w:type="dxa"/>
          </w:tcPr>
          <w:p w14:paraId="52283FAC" w14:textId="77777777" w:rsidR="00F6299A" w:rsidRDefault="00F6299A" w:rsidP="00F6299A">
            <w:pPr>
              <w:spacing w:line="240" w:lineRule="auto"/>
              <w:rPr>
                <w:rFonts w:ascii="VIC-SemiBold" w:hAnsi="VIC-SemiBold" w:cstheme="minorBidi"/>
              </w:rPr>
            </w:pPr>
          </w:p>
        </w:tc>
        <w:tc>
          <w:tcPr>
            <w:tcW w:w="1705" w:type="dxa"/>
          </w:tcPr>
          <w:p w14:paraId="6D1F7C5A" w14:textId="77777777" w:rsidR="00F6299A" w:rsidRDefault="00F6299A" w:rsidP="00F6299A">
            <w:pPr>
              <w:spacing w:line="240" w:lineRule="auto"/>
              <w:rPr>
                <w:rFonts w:ascii="VIC-SemiBold" w:hAnsi="VIC-SemiBold" w:cstheme="minorBidi"/>
              </w:rPr>
            </w:pPr>
          </w:p>
        </w:tc>
        <w:tc>
          <w:tcPr>
            <w:tcW w:w="1705" w:type="dxa"/>
          </w:tcPr>
          <w:p w14:paraId="6BF284D9" w14:textId="77777777" w:rsidR="00F6299A" w:rsidRDefault="00F6299A" w:rsidP="00F6299A">
            <w:pPr>
              <w:spacing w:line="240" w:lineRule="auto"/>
              <w:rPr>
                <w:rFonts w:ascii="VIC-SemiBold" w:hAnsi="VIC-SemiBold" w:cstheme="minorBidi"/>
              </w:rPr>
            </w:pPr>
          </w:p>
        </w:tc>
        <w:tc>
          <w:tcPr>
            <w:tcW w:w="1705" w:type="dxa"/>
          </w:tcPr>
          <w:p w14:paraId="51DF7849" w14:textId="77777777" w:rsidR="00F6299A" w:rsidRDefault="00F6299A" w:rsidP="00F6299A">
            <w:pPr>
              <w:spacing w:line="240" w:lineRule="auto"/>
              <w:rPr>
                <w:rFonts w:ascii="VIC-SemiBold" w:hAnsi="VIC-SemiBold" w:cstheme="minorBidi"/>
              </w:rPr>
            </w:pPr>
          </w:p>
        </w:tc>
        <w:tc>
          <w:tcPr>
            <w:tcW w:w="1705" w:type="dxa"/>
          </w:tcPr>
          <w:p w14:paraId="05166150" w14:textId="77777777" w:rsidR="00F6299A" w:rsidRDefault="00F6299A" w:rsidP="00F6299A">
            <w:pPr>
              <w:spacing w:line="240" w:lineRule="auto"/>
              <w:rPr>
                <w:rFonts w:ascii="VIC-SemiBold" w:hAnsi="VIC-SemiBold" w:cstheme="minorBidi"/>
              </w:rPr>
            </w:pPr>
          </w:p>
        </w:tc>
        <w:tc>
          <w:tcPr>
            <w:tcW w:w="1705" w:type="dxa"/>
          </w:tcPr>
          <w:p w14:paraId="469FF6E7" w14:textId="77777777" w:rsidR="00F6299A" w:rsidRDefault="00F6299A" w:rsidP="00F6299A">
            <w:pPr>
              <w:spacing w:line="240" w:lineRule="auto"/>
              <w:rPr>
                <w:rFonts w:ascii="VIC-SemiBold" w:hAnsi="VIC-SemiBold" w:cstheme="minorBidi"/>
              </w:rPr>
            </w:pPr>
          </w:p>
        </w:tc>
        <w:tc>
          <w:tcPr>
            <w:tcW w:w="1705" w:type="dxa"/>
          </w:tcPr>
          <w:p w14:paraId="01CFE8A5" w14:textId="34F61578" w:rsidR="00F6299A" w:rsidRDefault="00F6299A" w:rsidP="00F6299A">
            <w:pPr>
              <w:pStyle w:val="TableTextRight"/>
            </w:pPr>
            <w:r>
              <w:t>12,305,330</w:t>
            </w:r>
          </w:p>
        </w:tc>
        <w:tc>
          <w:tcPr>
            <w:tcW w:w="1705" w:type="dxa"/>
          </w:tcPr>
          <w:p w14:paraId="201CA490" w14:textId="77ABE639" w:rsidR="00F6299A" w:rsidRDefault="00F6299A" w:rsidP="00F6299A">
            <w:pPr>
              <w:pStyle w:val="TableTextRight"/>
            </w:pPr>
            <w:r>
              <w:t>12,305,330</w:t>
            </w:r>
          </w:p>
        </w:tc>
      </w:tr>
      <w:tr w:rsidR="00F6299A" w14:paraId="2BEDF1F4" w14:textId="77777777" w:rsidTr="00A66C4F">
        <w:trPr>
          <w:trHeight w:val="60"/>
        </w:trPr>
        <w:tc>
          <w:tcPr>
            <w:tcW w:w="7340" w:type="dxa"/>
          </w:tcPr>
          <w:p w14:paraId="4441027D" w14:textId="1E7DC639" w:rsidR="00F6299A" w:rsidRDefault="00F6299A" w:rsidP="00F6299A">
            <w:pPr>
              <w:pStyle w:val="TableText"/>
            </w:pPr>
            <w:r>
              <w:t>Revenue recognition, residential tenancy bonds</w:t>
            </w:r>
          </w:p>
        </w:tc>
        <w:tc>
          <w:tcPr>
            <w:tcW w:w="1704" w:type="dxa"/>
          </w:tcPr>
          <w:p w14:paraId="0D09595E" w14:textId="77777777" w:rsidR="00F6299A" w:rsidRDefault="00F6299A" w:rsidP="00F6299A">
            <w:pPr>
              <w:spacing w:line="240" w:lineRule="auto"/>
              <w:rPr>
                <w:rFonts w:ascii="VIC-SemiBold" w:hAnsi="VIC-SemiBold" w:cstheme="minorBidi"/>
              </w:rPr>
            </w:pPr>
          </w:p>
        </w:tc>
        <w:tc>
          <w:tcPr>
            <w:tcW w:w="1705" w:type="dxa"/>
          </w:tcPr>
          <w:p w14:paraId="3AB62A77" w14:textId="77777777" w:rsidR="00F6299A" w:rsidRDefault="00F6299A" w:rsidP="00F6299A">
            <w:pPr>
              <w:spacing w:line="240" w:lineRule="auto"/>
              <w:rPr>
                <w:rFonts w:ascii="VIC-SemiBold" w:hAnsi="VIC-SemiBold" w:cstheme="minorBidi"/>
              </w:rPr>
            </w:pPr>
          </w:p>
        </w:tc>
        <w:tc>
          <w:tcPr>
            <w:tcW w:w="1705" w:type="dxa"/>
          </w:tcPr>
          <w:p w14:paraId="7987DD5C" w14:textId="77777777" w:rsidR="00F6299A" w:rsidRDefault="00F6299A" w:rsidP="00F6299A">
            <w:pPr>
              <w:spacing w:line="240" w:lineRule="auto"/>
              <w:rPr>
                <w:rFonts w:ascii="VIC-SemiBold" w:hAnsi="VIC-SemiBold" w:cstheme="minorBidi"/>
              </w:rPr>
            </w:pPr>
          </w:p>
        </w:tc>
        <w:tc>
          <w:tcPr>
            <w:tcW w:w="1705" w:type="dxa"/>
          </w:tcPr>
          <w:p w14:paraId="6C441339" w14:textId="2088E641" w:rsidR="00F6299A" w:rsidRDefault="00F6299A" w:rsidP="00F6299A">
            <w:pPr>
              <w:pStyle w:val="TableTextRight"/>
            </w:pPr>
            <w:r>
              <w:t>23,049,092</w:t>
            </w:r>
          </w:p>
        </w:tc>
        <w:tc>
          <w:tcPr>
            <w:tcW w:w="1705" w:type="dxa"/>
          </w:tcPr>
          <w:p w14:paraId="0AA254D7" w14:textId="77777777" w:rsidR="00F6299A" w:rsidRDefault="00F6299A" w:rsidP="00F6299A">
            <w:pPr>
              <w:spacing w:line="240" w:lineRule="auto"/>
              <w:rPr>
                <w:rFonts w:ascii="VIC-SemiBold" w:hAnsi="VIC-SemiBold" w:cstheme="minorBidi"/>
              </w:rPr>
            </w:pPr>
          </w:p>
        </w:tc>
        <w:tc>
          <w:tcPr>
            <w:tcW w:w="1705" w:type="dxa"/>
          </w:tcPr>
          <w:p w14:paraId="109D7B93" w14:textId="77777777" w:rsidR="00F6299A" w:rsidRDefault="00F6299A" w:rsidP="00F6299A">
            <w:pPr>
              <w:spacing w:line="240" w:lineRule="auto"/>
              <w:rPr>
                <w:rFonts w:ascii="VIC-SemiBold" w:hAnsi="VIC-SemiBold" w:cstheme="minorBidi"/>
              </w:rPr>
            </w:pPr>
          </w:p>
        </w:tc>
        <w:tc>
          <w:tcPr>
            <w:tcW w:w="1705" w:type="dxa"/>
          </w:tcPr>
          <w:p w14:paraId="049A641D" w14:textId="77777777" w:rsidR="00F6299A" w:rsidRDefault="00F6299A" w:rsidP="00F6299A">
            <w:pPr>
              <w:spacing w:line="240" w:lineRule="auto"/>
              <w:rPr>
                <w:rFonts w:ascii="VIC-SemiBold" w:hAnsi="VIC-SemiBold" w:cstheme="minorBidi"/>
              </w:rPr>
            </w:pPr>
          </w:p>
        </w:tc>
        <w:tc>
          <w:tcPr>
            <w:tcW w:w="1705" w:type="dxa"/>
          </w:tcPr>
          <w:p w14:paraId="31FF585F" w14:textId="01E29D85" w:rsidR="00F6299A" w:rsidRDefault="00F6299A" w:rsidP="00F6299A">
            <w:pPr>
              <w:pStyle w:val="TableTextRight"/>
            </w:pPr>
            <w:r>
              <w:t>23,049,092</w:t>
            </w:r>
          </w:p>
        </w:tc>
      </w:tr>
      <w:tr w:rsidR="00F6299A" w14:paraId="2B51D66D" w14:textId="77777777" w:rsidTr="00A66C4F">
        <w:trPr>
          <w:trHeight w:val="60"/>
        </w:trPr>
        <w:tc>
          <w:tcPr>
            <w:tcW w:w="7340" w:type="dxa"/>
          </w:tcPr>
          <w:p w14:paraId="6267F561" w14:textId="36EAC024" w:rsidR="00F6299A" w:rsidRDefault="00F6299A" w:rsidP="00F6299A">
            <w:pPr>
              <w:pStyle w:val="TableText"/>
            </w:pPr>
            <w:r>
              <w:t>Fees income</w:t>
            </w:r>
          </w:p>
        </w:tc>
        <w:tc>
          <w:tcPr>
            <w:tcW w:w="1704" w:type="dxa"/>
          </w:tcPr>
          <w:p w14:paraId="493D7EFA" w14:textId="77777777" w:rsidR="00F6299A" w:rsidRDefault="00F6299A" w:rsidP="00F6299A">
            <w:pPr>
              <w:spacing w:line="240" w:lineRule="auto"/>
              <w:rPr>
                <w:rFonts w:ascii="VIC-SemiBold" w:hAnsi="VIC-SemiBold" w:cstheme="minorBidi"/>
              </w:rPr>
            </w:pPr>
          </w:p>
        </w:tc>
        <w:tc>
          <w:tcPr>
            <w:tcW w:w="1705" w:type="dxa"/>
          </w:tcPr>
          <w:p w14:paraId="573D1682" w14:textId="52BC5E90" w:rsidR="00F6299A" w:rsidRDefault="00F6299A" w:rsidP="00F6299A">
            <w:pPr>
              <w:pStyle w:val="TableTextRight"/>
            </w:pPr>
            <w:r>
              <w:t>675,601</w:t>
            </w:r>
          </w:p>
        </w:tc>
        <w:tc>
          <w:tcPr>
            <w:tcW w:w="1705" w:type="dxa"/>
          </w:tcPr>
          <w:p w14:paraId="5D956353" w14:textId="3B8235DC" w:rsidR="00F6299A" w:rsidRDefault="00F6299A" w:rsidP="00F6299A">
            <w:pPr>
              <w:pStyle w:val="TableTextRight"/>
            </w:pPr>
            <w:r>
              <w:t>3,106,820</w:t>
            </w:r>
          </w:p>
        </w:tc>
        <w:tc>
          <w:tcPr>
            <w:tcW w:w="1705" w:type="dxa"/>
          </w:tcPr>
          <w:p w14:paraId="471048C9" w14:textId="77777777" w:rsidR="00F6299A" w:rsidRDefault="00F6299A" w:rsidP="00F6299A">
            <w:pPr>
              <w:spacing w:line="240" w:lineRule="auto"/>
              <w:rPr>
                <w:rFonts w:ascii="VIC-SemiBold" w:hAnsi="VIC-SemiBold" w:cstheme="minorBidi"/>
              </w:rPr>
            </w:pPr>
          </w:p>
        </w:tc>
        <w:tc>
          <w:tcPr>
            <w:tcW w:w="1705" w:type="dxa"/>
          </w:tcPr>
          <w:p w14:paraId="56C5147F" w14:textId="2B2C2BCB" w:rsidR="00F6299A" w:rsidRDefault="00F6299A" w:rsidP="00F6299A">
            <w:pPr>
              <w:pStyle w:val="TableTextRight"/>
            </w:pPr>
            <w:r>
              <w:t>2,337,038</w:t>
            </w:r>
          </w:p>
        </w:tc>
        <w:tc>
          <w:tcPr>
            <w:tcW w:w="1705" w:type="dxa"/>
          </w:tcPr>
          <w:p w14:paraId="61B01EEE" w14:textId="78A38CE8" w:rsidR="00F6299A" w:rsidRDefault="00F6299A" w:rsidP="00F6299A">
            <w:pPr>
              <w:pStyle w:val="TableTextRight"/>
            </w:pPr>
            <w:r>
              <w:t>489,206</w:t>
            </w:r>
          </w:p>
        </w:tc>
        <w:tc>
          <w:tcPr>
            <w:tcW w:w="1705" w:type="dxa"/>
          </w:tcPr>
          <w:p w14:paraId="3C9F85A6" w14:textId="7E3C7C72" w:rsidR="00F6299A" w:rsidRDefault="00F6299A" w:rsidP="00F6299A">
            <w:pPr>
              <w:pStyle w:val="TableTextRight"/>
            </w:pPr>
            <w:r>
              <w:t>7,175,541</w:t>
            </w:r>
          </w:p>
        </w:tc>
        <w:tc>
          <w:tcPr>
            <w:tcW w:w="1705" w:type="dxa"/>
          </w:tcPr>
          <w:p w14:paraId="4ED70E71" w14:textId="32C9B849" w:rsidR="00F6299A" w:rsidRDefault="00F6299A" w:rsidP="00F6299A">
            <w:pPr>
              <w:pStyle w:val="TableTextRight"/>
            </w:pPr>
            <w:r>
              <w:t>13,784,206</w:t>
            </w:r>
          </w:p>
        </w:tc>
      </w:tr>
      <w:tr w:rsidR="00F6299A" w14:paraId="5D859866" w14:textId="77777777" w:rsidTr="00A66C4F">
        <w:trPr>
          <w:trHeight w:val="60"/>
        </w:trPr>
        <w:tc>
          <w:tcPr>
            <w:tcW w:w="7340" w:type="dxa"/>
          </w:tcPr>
          <w:p w14:paraId="7D9BD11C" w14:textId="0E060B57" w:rsidR="00F6299A" w:rsidRDefault="00F6299A" w:rsidP="00F6299A">
            <w:pPr>
              <w:pStyle w:val="TableText"/>
            </w:pPr>
            <w:r>
              <w:t>Interest income</w:t>
            </w:r>
          </w:p>
        </w:tc>
        <w:tc>
          <w:tcPr>
            <w:tcW w:w="1704" w:type="dxa"/>
          </w:tcPr>
          <w:p w14:paraId="5DB2243E" w14:textId="76072442" w:rsidR="00F6299A" w:rsidRDefault="00F6299A" w:rsidP="00F6299A">
            <w:pPr>
              <w:pStyle w:val="TableTextRight"/>
            </w:pPr>
            <w:r>
              <w:t>52,314</w:t>
            </w:r>
          </w:p>
        </w:tc>
        <w:tc>
          <w:tcPr>
            <w:tcW w:w="1705" w:type="dxa"/>
          </w:tcPr>
          <w:p w14:paraId="16254F25" w14:textId="269C80C0" w:rsidR="00F6299A" w:rsidRDefault="00F6299A" w:rsidP="00F6299A">
            <w:pPr>
              <w:pStyle w:val="TableTextRight"/>
            </w:pPr>
            <w:r>
              <w:t>233,988</w:t>
            </w:r>
          </w:p>
        </w:tc>
        <w:tc>
          <w:tcPr>
            <w:tcW w:w="1705" w:type="dxa"/>
          </w:tcPr>
          <w:p w14:paraId="3059F225" w14:textId="00FDA3E3" w:rsidR="00F6299A" w:rsidRDefault="00F6299A" w:rsidP="00F6299A">
            <w:pPr>
              <w:pStyle w:val="TableTextRight"/>
            </w:pPr>
            <w:r>
              <w:t>52,313</w:t>
            </w:r>
          </w:p>
        </w:tc>
        <w:tc>
          <w:tcPr>
            <w:tcW w:w="1705" w:type="dxa"/>
          </w:tcPr>
          <w:p w14:paraId="05AB35A9" w14:textId="0F4E0B0C" w:rsidR="00F6299A" w:rsidRDefault="00F6299A" w:rsidP="00F6299A">
            <w:pPr>
              <w:pStyle w:val="TableTextRight"/>
            </w:pPr>
            <w:r>
              <w:t>436,379</w:t>
            </w:r>
          </w:p>
        </w:tc>
        <w:tc>
          <w:tcPr>
            <w:tcW w:w="1705" w:type="dxa"/>
          </w:tcPr>
          <w:p w14:paraId="14363B0F" w14:textId="6E645154" w:rsidR="00F6299A" w:rsidRDefault="00F6299A" w:rsidP="00F6299A">
            <w:pPr>
              <w:pStyle w:val="TableTextRight"/>
            </w:pPr>
            <w:r>
              <w:t>515,942</w:t>
            </w:r>
          </w:p>
        </w:tc>
        <w:tc>
          <w:tcPr>
            <w:tcW w:w="1705" w:type="dxa"/>
          </w:tcPr>
          <w:p w14:paraId="7F847DCB" w14:textId="69FDEA63" w:rsidR="00F6299A" w:rsidRDefault="00F6299A" w:rsidP="00F6299A">
            <w:pPr>
              <w:pStyle w:val="TableTextRight"/>
            </w:pPr>
            <w:r>
              <w:t>8,911</w:t>
            </w:r>
          </w:p>
        </w:tc>
        <w:tc>
          <w:tcPr>
            <w:tcW w:w="1705" w:type="dxa"/>
          </w:tcPr>
          <w:p w14:paraId="18DAE2AA" w14:textId="564A06E0" w:rsidR="00F6299A" w:rsidRDefault="00F6299A" w:rsidP="00F6299A">
            <w:pPr>
              <w:pStyle w:val="TableTextRight"/>
            </w:pPr>
            <w:r>
              <w:t>2,257,363</w:t>
            </w:r>
          </w:p>
        </w:tc>
        <w:tc>
          <w:tcPr>
            <w:tcW w:w="1705" w:type="dxa"/>
          </w:tcPr>
          <w:p w14:paraId="2036486F" w14:textId="4077781C" w:rsidR="00F6299A" w:rsidRDefault="00F6299A" w:rsidP="00F6299A">
            <w:pPr>
              <w:pStyle w:val="TableTextRight"/>
            </w:pPr>
            <w:r>
              <w:t>3,557,210</w:t>
            </w:r>
          </w:p>
        </w:tc>
      </w:tr>
      <w:tr w:rsidR="00F6299A" w14:paraId="07B9E81A" w14:textId="77777777" w:rsidTr="00A66C4F">
        <w:trPr>
          <w:trHeight w:val="60"/>
        </w:trPr>
        <w:tc>
          <w:tcPr>
            <w:tcW w:w="7340" w:type="dxa"/>
          </w:tcPr>
          <w:p w14:paraId="6934653B" w14:textId="4EF37536" w:rsidR="00F6299A" w:rsidRDefault="00F6299A" w:rsidP="00F6299A">
            <w:pPr>
              <w:pStyle w:val="TableText"/>
            </w:pPr>
            <w:r>
              <w:t>Transferred from the Victorian Building Authority</w:t>
            </w:r>
            <w:r>
              <w:rPr>
                <w:vertAlign w:val="superscript"/>
              </w:rPr>
              <w:footnoteReference w:id="22"/>
            </w:r>
          </w:p>
        </w:tc>
        <w:tc>
          <w:tcPr>
            <w:tcW w:w="1704" w:type="dxa"/>
          </w:tcPr>
          <w:p w14:paraId="1A1C8305" w14:textId="77777777" w:rsidR="00F6299A" w:rsidRDefault="00F6299A" w:rsidP="00F6299A">
            <w:pPr>
              <w:spacing w:line="240" w:lineRule="auto"/>
              <w:rPr>
                <w:rFonts w:ascii="VIC-SemiBold" w:hAnsi="VIC-SemiBold" w:cstheme="minorBidi"/>
              </w:rPr>
            </w:pPr>
          </w:p>
        </w:tc>
        <w:tc>
          <w:tcPr>
            <w:tcW w:w="1705" w:type="dxa"/>
          </w:tcPr>
          <w:p w14:paraId="52DB1096" w14:textId="277554F8" w:rsidR="00F6299A" w:rsidRDefault="00F6299A" w:rsidP="00F6299A">
            <w:pPr>
              <w:pStyle w:val="TableTextRight"/>
            </w:pPr>
            <w:r>
              <w:t>19,166,535</w:t>
            </w:r>
          </w:p>
        </w:tc>
        <w:tc>
          <w:tcPr>
            <w:tcW w:w="1705" w:type="dxa"/>
          </w:tcPr>
          <w:p w14:paraId="3918260E" w14:textId="77777777" w:rsidR="00F6299A" w:rsidRDefault="00F6299A" w:rsidP="00F6299A">
            <w:pPr>
              <w:spacing w:line="240" w:lineRule="auto"/>
              <w:rPr>
                <w:rFonts w:ascii="VIC-SemiBold" w:hAnsi="VIC-SemiBold" w:cstheme="minorBidi"/>
              </w:rPr>
            </w:pPr>
          </w:p>
        </w:tc>
        <w:tc>
          <w:tcPr>
            <w:tcW w:w="1705" w:type="dxa"/>
          </w:tcPr>
          <w:p w14:paraId="6E78BF93" w14:textId="77777777" w:rsidR="00F6299A" w:rsidRDefault="00F6299A" w:rsidP="00F6299A">
            <w:pPr>
              <w:spacing w:line="240" w:lineRule="auto"/>
              <w:rPr>
                <w:rFonts w:ascii="VIC-SemiBold" w:hAnsi="VIC-SemiBold" w:cstheme="minorBidi"/>
              </w:rPr>
            </w:pPr>
          </w:p>
        </w:tc>
        <w:tc>
          <w:tcPr>
            <w:tcW w:w="1705" w:type="dxa"/>
          </w:tcPr>
          <w:p w14:paraId="295A5819" w14:textId="77777777" w:rsidR="00F6299A" w:rsidRDefault="00F6299A" w:rsidP="00F6299A">
            <w:pPr>
              <w:spacing w:line="240" w:lineRule="auto"/>
              <w:rPr>
                <w:rFonts w:ascii="VIC-SemiBold" w:hAnsi="VIC-SemiBold" w:cstheme="minorBidi"/>
              </w:rPr>
            </w:pPr>
          </w:p>
        </w:tc>
        <w:tc>
          <w:tcPr>
            <w:tcW w:w="1705" w:type="dxa"/>
          </w:tcPr>
          <w:p w14:paraId="09F28DED" w14:textId="77777777" w:rsidR="00F6299A" w:rsidRDefault="00F6299A" w:rsidP="00F6299A">
            <w:pPr>
              <w:spacing w:line="240" w:lineRule="auto"/>
              <w:rPr>
                <w:rFonts w:ascii="VIC-SemiBold" w:hAnsi="VIC-SemiBold" w:cstheme="minorBidi"/>
              </w:rPr>
            </w:pPr>
          </w:p>
        </w:tc>
        <w:tc>
          <w:tcPr>
            <w:tcW w:w="1705" w:type="dxa"/>
          </w:tcPr>
          <w:p w14:paraId="393B8494" w14:textId="77777777" w:rsidR="00F6299A" w:rsidRDefault="00F6299A" w:rsidP="00F6299A">
            <w:pPr>
              <w:spacing w:line="240" w:lineRule="auto"/>
              <w:rPr>
                <w:rFonts w:ascii="VIC-SemiBold" w:hAnsi="VIC-SemiBold" w:cstheme="minorBidi"/>
              </w:rPr>
            </w:pPr>
          </w:p>
        </w:tc>
        <w:tc>
          <w:tcPr>
            <w:tcW w:w="1705" w:type="dxa"/>
          </w:tcPr>
          <w:p w14:paraId="3B5A068B" w14:textId="2DCE5A8F" w:rsidR="00F6299A" w:rsidRDefault="00F6299A" w:rsidP="00F6299A">
            <w:pPr>
              <w:pStyle w:val="TableTextRight"/>
            </w:pPr>
            <w:r>
              <w:t>19,166,535</w:t>
            </w:r>
          </w:p>
        </w:tc>
      </w:tr>
      <w:tr w:rsidR="00F6299A" w14:paraId="6574517E" w14:textId="77777777" w:rsidTr="00A66C4F">
        <w:trPr>
          <w:trHeight w:val="60"/>
        </w:trPr>
        <w:tc>
          <w:tcPr>
            <w:tcW w:w="7340" w:type="dxa"/>
          </w:tcPr>
          <w:p w14:paraId="0209EC9D" w14:textId="01B0F6CB" w:rsidR="00F6299A" w:rsidRDefault="00F6299A" w:rsidP="00F6299A">
            <w:pPr>
              <w:pStyle w:val="TableText"/>
            </w:pPr>
            <w:r>
              <w:t>Other revenue</w:t>
            </w:r>
          </w:p>
        </w:tc>
        <w:tc>
          <w:tcPr>
            <w:tcW w:w="1704" w:type="dxa"/>
          </w:tcPr>
          <w:p w14:paraId="51C6FB3B" w14:textId="635BEBB7" w:rsidR="00F6299A" w:rsidRDefault="00F6299A" w:rsidP="00F6299A">
            <w:pPr>
              <w:pStyle w:val="TableTextRight"/>
            </w:pPr>
            <w:r>
              <w:t>255,715</w:t>
            </w:r>
          </w:p>
        </w:tc>
        <w:tc>
          <w:tcPr>
            <w:tcW w:w="1705" w:type="dxa"/>
          </w:tcPr>
          <w:p w14:paraId="59A0E91E" w14:textId="2CAE5414" w:rsidR="00F6299A" w:rsidRDefault="00F6299A" w:rsidP="00F6299A">
            <w:pPr>
              <w:pStyle w:val="TableTextRight"/>
            </w:pPr>
            <w:r>
              <w:t>3,797</w:t>
            </w:r>
          </w:p>
        </w:tc>
        <w:tc>
          <w:tcPr>
            <w:tcW w:w="1705" w:type="dxa"/>
          </w:tcPr>
          <w:p w14:paraId="0D1BF6D9" w14:textId="77777777" w:rsidR="00F6299A" w:rsidRDefault="00F6299A" w:rsidP="00F6299A">
            <w:pPr>
              <w:spacing w:line="240" w:lineRule="auto"/>
              <w:rPr>
                <w:rFonts w:ascii="VIC-SemiBold" w:hAnsi="VIC-SemiBold" w:cstheme="minorBidi"/>
              </w:rPr>
            </w:pPr>
          </w:p>
        </w:tc>
        <w:tc>
          <w:tcPr>
            <w:tcW w:w="1705" w:type="dxa"/>
          </w:tcPr>
          <w:p w14:paraId="04D9993C" w14:textId="3A0D1E9C" w:rsidR="00F6299A" w:rsidRDefault="00F6299A" w:rsidP="00F6299A">
            <w:pPr>
              <w:pStyle w:val="TableTextRight"/>
            </w:pPr>
            <w:r>
              <w:t>13,829</w:t>
            </w:r>
          </w:p>
        </w:tc>
        <w:tc>
          <w:tcPr>
            <w:tcW w:w="1705" w:type="dxa"/>
          </w:tcPr>
          <w:p w14:paraId="2AD84154" w14:textId="245C1187" w:rsidR="00F6299A" w:rsidRDefault="00F6299A" w:rsidP="00F6299A">
            <w:pPr>
              <w:spacing w:line="240" w:lineRule="auto"/>
              <w:rPr>
                <w:rFonts w:ascii="VIC-SemiBold" w:hAnsi="VIC-SemiBold" w:cstheme="minorBidi"/>
              </w:rPr>
            </w:pPr>
            <w:r>
              <w:t>183,423</w:t>
            </w:r>
          </w:p>
        </w:tc>
        <w:tc>
          <w:tcPr>
            <w:tcW w:w="1705" w:type="dxa"/>
          </w:tcPr>
          <w:p w14:paraId="454F05A3" w14:textId="77777777" w:rsidR="00F6299A" w:rsidRDefault="00F6299A" w:rsidP="00F6299A">
            <w:pPr>
              <w:spacing w:line="240" w:lineRule="auto"/>
              <w:rPr>
                <w:rFonts w:ascii="VIC-SemiBold" w:hAnsi="VIC-SemiBold" w:cstheme="minorBidi"/>
              </w:rPr>
            </w:pPr>
          </w:p>
        </w:tc>
        <w:tc>
          <w:tcPr>
            <w:tcW w:w="1705" w:type="dxa"/>
          </w:tcPr>
          <w:p w14:paraId="03981B0E" w14:textId="0FE5109A" w:rsidR="00F6299A" w:rsidRDefault="00F6299A" w:rsidP="00F6299A">
            <w:pPr>
              <w:pStyle w:val="TableTextRight"/>
            </w:pPr>
            <w:r>
              <w:t>102,984</w:t>
            </w:r>
          </w:p>
        </w:tc>
        <w:tc>
          <w:tcPr>
            <w:tcW w:w="1705" w:type="dxa"/>
          </w:tcPr>
          <w:p w14:paraId="7D529D95" w14:textId="4CDA2CB8" w:rsidR="00F6299A" w:rsidRDefault="00F6299A" w:rsidP="00F6299A">
            <w:pPr>
              <w:pStyle w:val="TableTextRight"/>
            </w:pPr>
            <w:r>
              <w:t>559,748</w:t>
            </w:r>
          </w:p>
        </w:tc>
      </w:tr>
      <w:tr w:rsidR="00F6299A" w14:paraId="1438F694" w14:textId="77777777" w:rsidTr="00A66C4F">
        <w:trPr>
          <w:trHeight w:val="60"/>
        </w:trPr>
        <w:tc>
          <w:tcPr>
            <w:tcW w:w="7340" w:type="dxa"/>
          </w:tcPr>
          <w:p w14:paraId="3A672C0F" w14:textId="3661D65A" w:rsidR="00F6299A" w:rsidRDefault="00F6299A" w:rsidP="00F6299A">
            <w:pPr>
              <w:pStyle w:val="TableText"/>
            </w:pPr>
            <w:r>
              <w:t>Penalty income</w:t>
            </w:r>
          </w:p>
        </w:tc>
        <w:tc>
          <w:tcPr>
            <w:tcW w:w="1704" w:type="dxa"/>
          </w:tcPr>
          <w:p w14:paraId="23121AC3" w14:textId="71C77A26" w:rsidR="00F6299A" w:rsidRDefault="00F6299A" w:rsidP="00F6299A">
            <w:pPr>
              <w:pStyle w:val="TableTextRight"/>
            </w:pPr>
            <w:r>
              <w:t>335,079</w:t>
            </w:r>
          </w:p>
        </w:tc>
        <w:tc>
          <w:tcPr>
            <w:tcW w:w="1705" w:type="dxa"/>
          </w:tcPr>
          <w:p w14:paraId="0899601E" w14:textId="77777777" w:rsidR="00F6299A" w:rsidRDefault="00F6299A" w:rsidP="00F6299A">
            <w:pPr>
              <w:spacing w:line="240" w:lineRule="auto"/>
              <w:rPr>
                <w:rFonts w:ascii="VIC-SemiBold" w:hAnsi="VIC-SemiBold" w:cstheme="minorBidi"/>
              </w:rPr>
            </w:pPr>
          </w:p>
        </w:tc>
        <w:tc>
          <w:tcPr>
            <w:tcW w:w="1705" w:type="dxa"/>
          </w:tcPr>
          <w:p w14:paraId="7F0917FE" w14:textId="57031D56" w:rsidR="00F6299A" w:rsidRDefault="00F6299A" w:rsidP="00F6299A">
            <w:pPr>
              <w:pStyle w:val="TableTextRight"/>
            </w:pPr>
            <w:r>
              <w:t>27,404</w:t>
            </w:r>
          </w:p>
        </w:tc>
        <w:tc>
          <w:tcPr>
            <w:tcW w:w="1705" w:type="dxa"/>
          </w:tcPr>
          <w:p w14:paraId="1AEA54DA" w14:textId="77777777" w:rsidR="00F6299A" w:rsidRDefault="00F6299A" w:rsidP="00F6299A">
            <w:pPr>
              <w:spacing w:line="240" w:lineRule="auto"/>
              <w:rPr>
                <w:rFonts w:ascii="VIC-SemiBold" w:hAnsi="VIC-SemiBold" w:cstheme="minorBidi"/>
              </w:rPr>
            </w:pPr>
          </w:p>
        </w:tc>
        <w:tc>
          <w:tcPr>
            <w:tcW w:w="1705" w:type="dxa"/>
          </w:tcPr>
          <w:p w14:paraId="2AC5E020" w14:textId="076EF880" w:rsidR="00F6299A" w:rsidRDefault="00F6299A" w:rsidP="00F6299A">
            <w:pPr>
              <w:pStyle w:val="TableTextRight"/>
            </w:pPr>
            <w:r>
              <w:t>18,373</w:t>
            </w:r>
          </w:p>
        </w:tc>
        <w:tc>
          <w:tcPr>
            <w:tcW w:w="1705" w:type="dxa"/>
          </w:tcPr>
          <w:p w14:paraId="0433F68F" w14:textId="4740078A" w:rsidR="00F6299A" w:rsidRDefault="00F6299A" w:rsidP="00F6299A">
            <w:pPr>
              <w:spacing w:line="240" w:lineRule="auto"/>
              <w:rPr>
                <w:rFonts w:ascii="VIC-SemiBold" w:hAnsi="VIC-SemiBold" w:cstheme="minorBidi"/>
              </w:rPr>
            </w:pPr>
            <w:r>
              <w:t>28,000</w:t>
            </w:r>
          </w:p>
        </w:tc>
        <w:tc>
          <w:tcPr>
            <w:tcW w:w="1705" w:type="dxa"/>
          </w:tcPr>
          <w:p w14:paraId="588671A3" w14:textId="5DEC425F" w:rsidR="00F6299A" w:rsidRDefault="00F6299A" w:rsidP="00F6299A">
            <w:pPr>
              <w:pStyle w:val="TableTextRight"/>
            </w:pPr>
            <w:r>
              <w:t>52,135</w:t>
            </w:r>
          </w:p>
        </w:tc>
        <w:tc>
          <w:tcPr>
            <w:tcW w:w="1705" w:type="dxa"/>
          </w:tcPr>
          <w:p w14:paraId="38C26211" w14:textId="6520FF54" w:rsidR="00F6299A" w:rsidRDefault="00F6299A" w:rsidP="00F6299A">
            <w:pPr>
              <w:pStyle w:val="TableTextRight"/>
            </w:pPr>
            <w:r>
              <w:t>460,991</w:t>
            </w:r>
          </w:p>
        </w:tc>
      </w:tr>
      <w:tr w:rsidR="00F6299A" w14:paraId="562249B4" w14:textId="77777777" w:rsidTr="00A66C4F">
        <w:trPr>
          <w:trHeight w:val="60"/>
        </w:trPr>
        <w:tc>
          <w:tcPr>
            <w:tcW w:w="7340" w:type="dxa"/>
          </w:tcPr>
          <w:p w14:paraId="68583B6B" w14:textId="3F540E06" w:rsidR="00F6299A" w:rsidRDefault="00F6299A" w:rsidP="00F6299A">
            <w:pPr>
              <w:pStyle w:val="TableText"/>
            </w:pPr>
            <w:r>
              <w:t>Transfers</w:t>
            </w:r>
          </w:p>
        </w:tc>
        <w:tc>
          <w:tcPr>
            <w:tcW w:w="1704" w:type="dxa"/>
          </w:tcPr>
          <w:p w14:paraId="1BEC65CB" w14:textId="77777777" w:rsidR="00F6299A" w:rsidRDefault="00F6299A" w:rsidP="00F6299A">
            <w:pPr>
              <w:spacing w:line="240" w:lineRule="auto"/>
              <w:rPr>
                <w:rFonts w:ascii="VIC-SemiBold" w:hAnsi="VIC-SemiBold" w:cstheme="minorBidi"/>
              </w:rPr>
            </w:pPr>
          </w:p>
        </w:tc>
        <w:tc>
          <w:tcPr>
            <w:tcW w:w="1705" w:type="dxa"/>
          </w:tcPr>
          <w:p w14:paraId="5709E221" w14:textId="77777777" w:rsidR="00F6299A" w:rsidRDefault="00F6299A" w:rsidP="00F6299A">
            <w:pPr>
              <w:spacing w:line="240" w:lineRule="auto"/>
              <w:rPr>
                <w:rFonts w:ascii="VIC-SemiBold" w:hAnsi="VIC-SemiBold" w:cstheme="minorBidi"/>
              </w:rPr>
            </w:pPr>
          </w:p>
        </w:tc>
        <w:tc>
          <w:tcPr>
            <w:tcW w:w="1705" w:type="dxa"/>
          </w:tcPr>
          <w:p w14:paraId="3134ED79" w14:textId="77777777" w:rsidR="00F6299A" w:rsidRDefault="00F6299A" w:rsidP="00F6299A">
            <w:pPr>
              <w:spacing w:line="240" w:lineRule="auto"/>
              <w:rPr>
                <w:rFonts w:ascii="VIC-SemiBold" w:hAnsi="VIC-SemiBold" w:cstheme="minorBidi"/>
              </w:rPr>
            </w:pPr>
          </w:p>
        </w:tc>
        <w:tc>
          <w:tcPr>
            <w:tcW w:w="1705" w:type="dxa"/>
          </w:tcPr>
          <w:p w14:paraId="5686FA7F" w14:textId="3096E9DF" w:rsidR="00F6299A" w:rsidRDefault="00F6299A" w:rsidP="00F6299A">
            <w:pPr>
              <w:pStyle w:val="TableTextRight"/>
            </w:pPr>
            <w:r>
              <w:t>(15,000,000)</w:t>
            </w:r>
          </w:p>
        </w:tc>
        <w:tc>
          <w:tcPr>
            <w:tcW w:w="1705" w:type="dxa"/>
          </w:tcPr>
          <w:p w14:paraId="1344B52D" w14:textId="40066855" w:rsidR="00F6299A" w:rsidRDefault="00F6299A" w:rsidP="00F6299A">
            <w:pPr>
              <w:pStyle w:val="TableTextRight"/>
            </w:pPr>
            <w:r>
              <w:t>29,500,000</w:t>
            </w:r>
          </w:p>
        </w:tc>
        <w:tc>
          <w:tcPr>
            <w:tcW w:w="1705" w:type="dxa"/>
          </w:tcPr>
          <w:p w14:paraId="4DE74D6C" w14:textId="599872B8" w:rsidR="00F6299A" w:rsidRDefault="00F6299A" w:rsidP="00F6299A">
            <w:pPr>
              <w:pStyle w:val="TableTextRight"/>
            </w:pPr>
            <w:r>
              <w:t>350,000</w:t>
            </w:r>
          </w:p>
        </w:tc>
        <w:tc>
          <w:tcPr>
            <w:tcW w:w="1705" w:type="dxa"/>
          </w:tcPr>
          <w:p w14:paraId="3D920C6A" w14:textId="6D017A80" w:rsidR="00F6299A" w:rsidRDefault="00F6299A" w:rsidP="00F6299A">
            <w:pPr>
              <w:pStyle w:val="TableTextRight"/>
            </w:pPr>
            <w:r>
              <w:t>(14,500,000)</w:t>
            </w:r>
          </w:p>
        </w:tc>
        <w:tc>
          <w:tcPr>
            <w:tcW w:w="1705" w:type="dxa"/>
          </w:tcPr>
          <w:p w14:paraId="26F312BB" w14:textId="6E6BDC35" w:rsidR="00F6299A" w:rsidRDefault="00F6299A" w:rsidP="00F6299A">
            <w:pPr>
              <w:pStyle w:val="TableTextRight"/>
            </w:pPr>
            <w:r>
              <w:t>350,000</w:t>
            </w:r>
          </w:p>
        </w:tc>
      </w:tr>
      <w:tr w:rsidR="00F6299A" w14:paraId="7A871DD2" w14:textId="77777777" w:rsidTr="00A66C4F">
        <w:trPr>
          <w:trHeight w:val="60"/>
        </w:trPr>
        <w:tc>
          <w:tcPr>
            <w:tcW w:w="7340" w:type="dxa"/>
            <w:shd w:val="clear" w:color="auto" w:fill="CCE3F5"/>
          </w:tcPr>
          <w:p w14:paraId="7C7259F3" w14:textId="01E14E31" w:rsidR="00F6299A" w:rsidRPr="00E3488C" w:rsidRDefault="00F6299A" w:rsidP="00F6299A">
            <w:pPr>
              <w:pStyle w:val="TableTextBold"/>
            </w:pPr>
            <w:r w:rsidRPr="00E3488C">
              <w:t>Total CAV trust funds revenue</w:t>
            </w:r>
          </w:p>
        </w:tc>
        <w:tc>
          <w:tcPr>
            <w:tcW w:w="1704" w:type="dxa"/>
            <w:shd w:val="clear" w:color="auto" w:fill="CCE3F5"/>
          </w:tcPr>
          <w:p w14:paraId="49F1BE21" w14:textId="6C895D75" w:rsidR="00F6299A" w:rsidRPr="00E3488C" w:rsidRDefault="00F6299A" w:rsidP="00F6299A">
            <w:pPr>
              <w:pStyle w:val="TableTextRightBold"/>
            </w:pPr>
            <w:r w:rsidRPr="00E3488C">
              <w:t>643,108</w:t>
            </w:r>
          </w:p>
        </w:tc>
        <w:tc>
          <w:tcPr>
            <w:tcW w:w="1705" w:type="dxa"/>
            <w:shd w:val="clear" w:color="auto" w:fill="CCE3F5"/>
          </w:tcPr>
          <w:p w14:paraId="5A17E5C2" w14:textId="00547121" w:rsidR="00F6299A" w:rsidRPr="00E3488C" w:rsidRDefault="00F6299A" w:rsidP="00F6299A">
            <w:pPr>
              <w:pStyle w:val="TableTextRightBold"/>
            </w:pPr>
            <w:r w:rsidRPr="00E3488C">
              <w:t>20,079,921</w:t>
            </w:r>
          </w:p>
        </w:tc>
        <w:tc>
          <w:tcPr>
            <w:tcW w:w="1705" w:type="dxa"/>
            <w:shd w:val="clear" w:color="auto" w:fill="CCE3F5"/>
          </w:tcPr>
          <w:p w14:paraId="61D62149" w14:textId="75AE68B2" w:rsidR="00F6299A" w:rsidRPr="00E3488C" w:rsidRDefault="00F6299A" w:rsidP="00F6299A">
            <w:pPr>
              <w:pStyle w:val="TableTextRightBold"/>
            </w:pPr>
            <w:r w:rsidRPr="00E3488C">
              <w:t>3,186,537</w:t>
            </w:r>
          </w:p>
        </w:tc>
        <w:tc>
          <w:tcPr>
            <w:tcW w:w="1705" w:type="dxa"/>
            <w:shd w:val="clear" w:color="auto" w:fill="CCE3F5"/>
          </w:tcPr>
          <w:p w14:paraId="6EC7D73E" w14:textId="1D94F1DD" w:rsidR="00F6299A" w:rsidRPr="00E3488C" w:rsidRDefault="00F6299A" w:rsidP="00F6299A">
            <w:pPr>
              <w:pStyle w:val="TableTextRightBold"/>
            </w:pPr>
            <w:r w:rsidRPr="00E3488C">
              <w:t>8,499,300</w:t>
            </w:r>
          </w:p>
        </w:tc>
        <w:tc>
          <w:tcPr>
            <w:tcW w:w="1705" w:type="dxa"/>
            <w:shd w:val="clear" w:color="auto" w:fill="CCE3F5"/>
          </w:tcPr>
          <w:p w14:paraId="03994AAE" w14:textId="47290B36" w:rsidR="00F6299A" w:rsidRPr="00E3488C" w:rsidRDefault="00F6299A" w:rsidP="00F6299A">
            <w:pPr>
              <w:pStyle w:val="TableTextRightBold"/>
            </w:pPr>
            <w:r w:rsidRPr="00E3488C">
              <w:t>32,554,776</w:t>
            </w:r>
          </w:p>
        </w:tc>
        <w:tc>
          <w:tcPr>
            <w:tcW w:w="1705" w:type="dxa"/>
            <w:shd w:val="clear" w:color="auto" w:fill="CCE3F5"/>
          </w:tcPr>
          <w:p w14:paraId="2AD2B115" w14:textId="6C772597" w:rsidR="00F6299A" w:rsidRPr="00E3488C" w:rsidRDefault="00F6299A" w:rsidP="00F6299A">
            <w:pPr>
              <w:pStyle w:val="TableTextRightBold"/>
            </w:pPr>
            <w:r w:rsidRPr="00E3488C">
              <w:t>876,117</w:t>
            </w:r>
          </w:p>
        </w:tc>
        <w:tc>
          <w:tcPr>
            <w:tcW w:w="1705" w:type="dxa"/>
            <w:shd w:val="clear" w:color="auto" w:fill="CCE3F5"/>
          </w:tcPr>
          <w:p w14:paraId="6FE02B1F" w14:textId="7A64EAF8" w:rsidR="00F6299A" w:rsidRPr="00E3488C" w:rsidRDefault="00F6299A" w:rsidP="00F6299A">
            <w:pPr>
              <w:pStyle w:val="TableTextRightBold"/>
            </w:pPr>
            <w:r w:rsidRPr="00E3488C">
              <w:t>7,393,353</w:t>
            </w:r>
          </w:p>
        </w:tc>
        <w:tc>
          <w:tcPr>
            <w:tcW w:w="1705" w:type="dxa"/>
            <w:shd w:val="clear" w:color="auto" w:fill="CCE3F5"/>
          </w:tcPr>
          <w:p w14:paraId="05E342D2" w14:textId="20207F0C" w:rsidR="00F6299A" w:rsidRPr="00E3488C" w:rsidRDefault="00F6299A" w:rsidP="00F6299A">
            <w:pPr>
              <w:pStyle w:val="TableTextRightBold"/>
            </w:pPr>
            <w:r w:rsidRPr="00E3488C">
              <w:t>73,233,112</w:t>
            </w:r>
          </w:p>
        </w:tc>
      </w:tr>
      <w:tr w:rsidR="00F6299A" w14:paraId="28E70F5B" w14:textId="77777777" w:rsidTr="00A66C4F">
        <w:trPr>
          <w:trHeight w:val="60"/>
        </w:trPr>
        <w:tc>
          <w:tcPr>
            <w:tcW w:w="20979" w:type="dxa"/>
            <w:gridSpan w:val="9"/>
            <w:shd w:val="clear" w:color="auto" w:fill="B2D5F0"/>
          </w:tcPr>
          <w:p w14:paraId="2C8FEF96" w14:textId="1368A5AD" w:rsidR="00F6299A" w:rsidRPr="00E3488C" w:rsidRDefault="00F6299A" w:rsidP="00F6299A">
            <w:pPr>
              <w:pStyle w:val="TableTextBold"/>
            </w:pPr>
            <w:r w:rsidRPr="00E3488C">
              <w:t>CAV trust funds expenditure</w:t>
            </w:r>
          </w:p>
        </w:tc>
      </w:tr>
      <w:tr w:rsidR="00F6299A" w14:paraId="21319131" w14:textId="77777777" w:rsidTr="00A66C4F">
        <w:trPr>
          <w:trHeight w:val="60"/>
        </w:trPr>
        <w:tc>
          <w:tcPr>
            <w:tcW w:w="7340" w:type="dxa"/>
          </w:tcPr>
          <w:p w14:paraId="4344E2EF" w14:textId="51D2A12C" w:rsidR="00F6299A" w:rsidRDefault="00F6299A" w:rsidP="00F6299A">
            <w:pPr>
              <w:pStyle w:val="TableText"/>
            </w:pPr>
            <w:r>
              <w:t>Audit services</w:t>
            </w:r>
          </w:p>
        </w:tc>
        <w:tc>
          <w:tcPr>
            <w:tcW w:w="1704" w:type="dxa"/>
          </w:tcPr>
          <w:p w14:paraId="44C2D29A" w14:textId="77777777" w:rsidR="00F6299A" w:rsidRDefault="00F6299A" w:rsidP="00F6299A">
            <w:pPr>
              <w:spacing w:line="240" w:lineRule="auto"/>
              <w:rPr>
                <w:rFonts w:ascii="VIC-SemiBold" w:hAnsi="VIC-SemiBold" w:cstheme="minorBidi"/>
              </w:rPr>
            </w:pPr>
          </w:p>
        </w:tc>
        <w:tc>
          <w:tcPr>
            <w:tcW w:w="1705" w:type="dxa"/>
          </w:tcPr>
          <w:p w14:paraId="01162761" w14:textId="77777777" w:rsidR="00F6299A" w:rsidRDefault="00F6299A" w:rsidP="00F6299A">
            <w:pPr>
              <w:spacing w:line="240" w:lineRule="auto"/>
              <w:rPr>
                <w:rFonts w:ascii="VIC-SemiBold" w:hAnsi="VIC-SemiBold" w:cstheme="minorBidi"/>
              </w:rPr>
            </w:pPr>
          </w:p>
        </w:tc>
        <w:tc>
          <w:tcPr>
            <w:tcW w:w="1705" w:type="dxa"/>
          </w:tcPr>
          <w:p w14:paraId="49F16803" w14:textId="77777777" w:rsidR="00F6299A" w:rsidRDefault="00F6299A" w:rsidP="00F6299A">
            <w:pPr>
              <w:spacing w:line="240" w:lineRule="auto"/>
              <w:rPr>
                <w:rFonts w:ascii="VIC-SemiBold" w:hAnsi="VIC-SemiBold" w:cstheme="minorBidi"/>
              </w:rPr>
            </w:pPr>
          </w:p>
        </w:tc>
        <w:tc>
          <w:tcPr>
            <w:tcW w:w="1705" w:type="dxa"/>
          </w:tcPr>
          <w:p w14:paraId="4D3028A3" w14:textId="32A481CD" w:rsidR="00F6299A" w:rsidRDefault="00F6299A" w:rsidP="00F6299A">
            <w:pPr>
              <w:pStyle w:val="TableTextRight"/>
            </w:pPr>
            <w:r>
              <w:t>19,110</w:t>
            </w:r>
          </w:p>
        </w:tc>
        <w:tc>
          <w:tcPr>
            <w:tcW w:w="1705" w:type="dxa"/>
          </w:tcPr>
          <w:p w14:paraId="4B93C995" w14:textId="77777777" w:rsidR="00F6299A" w:rsidRDefault="00F6299A" w:rsidP="00F6299A">
            <w:pPr>
              <w:spacing w:line="240" w:lineRule="auto"/>
              <w:rPr>
                <w:rFonts w:ascii="VIC-SemiBold" w:hAnsi="VIC-SemiBold" w:cstheme="minorBidi"/>
              </w:rPr>
            </w:pPr>
          </w:p>
        </w:tc>
        <w:tc>
          <w:tcPr>
            <w:tcW w:w="1705" w:type="dxa"/>
          </w:tcPr>
          <w:p w14:paraId="7FA94732" w14:textId="77777777" w:rsidR="00F6299A" w:rsidRDefault="00F6299A" w:rsidP="00F6299A">
            <w:pPr>
              <w:spacing w:line="240" w:lineRule="auto"/>
              <w:rPr>
                <w:rFonts w:ascii="VIC-SemiBold" w:hAnsi="VIC-SemiBold" w:cstheme="minorBidi"/>
              </w:rPr>
            </w:pPr>
          </w:p>
        </w:tc>
        <w:tc>
          <w:tcPr>
            <w:tcW w:w="1705" w:type="dxa"/>
          </w:tcPr>
          <w:p w14:paraId="1C1D42DA" w14:textId="77777777" w:rsidR="00F6299A" w:rsidRDefault="00F6299A" w:rsidP="00F6299A">
            <w:pPr>
              <w:spacing w:line="240" w:lineRule="auto"/>
              <w:rPr>
                <w:rFonts w:ascii="VIC-SemiBold" w:hAnsi="VIC-SemiBold" w:cstheme="minorBidi"/>
              </w:rPr>
            </w:pPr>
          </w:p>
        </w:tc>
        <w:tc>
          <w:tcPr>
            <w:tcW w:w="1705" w:type="dxa"/>
          </w:tcPr>
          <w:p w14:paraId="299A5813" w14:textId="628FB4D1" w:rsidR="00F6299A" w:rsidRDefault="00F6299A" w:rsidP="00F6299A">
            <w:pPr>
              <w:pStyle w:val="TableTextRight"/>
            </w:pPr>
            <w:r>
              <w:t>19,110</w:t>
            </w:r>
          </w:p>
        </w:tc>
      </w:tr>
      <w:tr w:rsidR="00F6299A" w14:paraId="08C58791" w14:textId="77777777" w:rsidTr="00A66C4F">
        <w:trPr>
          <w:trHeight w:val="60"/>
        </w:trPr>
        <w:tc>
          <w:tcPr>
            <w:tcW w:w="7340" w:type="dxa"/>
          </w:tcPr>
          <w:p w14:paraId="059BD8CD" w14:textId="51BD07F1" w:rsidR="00F6299A" w:rsidRDefault="00F6299A" w:rsidP="00F6299A">
            <w:pPr>
              <w:pStyle w:val="TableText"/>
            </w:pPr>
            <w:r>
              <w:t>Claims on consumer guarantee funds</w:t>
            </w:r>
          </w:p>
        </w:tc>
        <w:tc>
          <w:tcPr>
            <w:tcW w:w="1704" w:type="dxa"/>
          </w:tcPr>
          <w:p w14:paraId="46D8D556" w14:textId="77777777" w:rsidR="00F6299A" w:rsidRDefault="00F6299A" w:rsidP="00F6299A">
            <w:pPr>
              <w:spacing w:line="240" w:lineRule="auto"/>
              <w:rPr>
                <w:rFonts w:ascii="VIC-SemiBold" w:hAnsi="VIC-SemiBold" w:cstheme="minorBidi"/>
              </w:rPr>
            </w:pPr>
          </w:p>
        </w:tc>
        <w:tc>
          <w:tcPr>
            <w:tcW w:w="1705" w:type="dxa"/>
          </w:tcPr>
          <w:p w14:paraId="077D2C2C" w14:textId="77777777" w:rsidR="00F6299A" w:rsidRDefault="00F6299A" w:rsidP="00F6299A">
            <w:pPr>
              <w:spacing w:line="240" w:lineRule="auto"/>
              <w:rPr>
                <w:rFonts w:ascii="VIC-SemiBold" w:hAnsi="VIC-SemiBold" w:cstheme="minorBidi"/>
              </w:rPr>
            </w:pPr>
          </w:p>
        </w:tc>
        <w:tc>
          <w:tcPr>
            <w:tcW w:w="1705" w:type="dxa"/>
          </w:tcPr>
          <w:p w14:paraId="681444FC" w14:textId="33E8D63A" w:rsidR="00F6299A" w:rsidRDefault="00F6299A" w:rsidP="00F6299A">
            <w:pPr>
              <w:pStyle w:val="TableTextRight"/>
            </w:pPr>
            <w:r>
              <w:t>164,397</w:t>
            </w:r>
          </w:p>
        </w:tc>
        <w:tc>
          <w:tcPr>
            <w:tcW w:w="1705" w:type="dxa"/>
          </w:tcPr>
          <w:p w14:paraId="6CA76FCE" w14:textId="77777777" w:rsidR="00F6299A" w:rsidRDefault="00F6299A" w:rsidP="00F6299A">
            <w:pPr>
              <w:spacing w:line="240" w:lineRule="auto"/>
              <w:rPr>
                <w:rFonts w:ascii="VIC-SemiBold" w:hAnsi="VIC-SemiBold" w:cstheme="minorBidi"/>
              </w:rPr>
            </w:pPr>
          </w:p>
        </w:tc>
        <w:tc>
          <w:tcPr>
            <w:tcW w:w="1705" w:type="dxa"/>
          </w:tcPr>
          <w:p w14:paraId="6E792021" w14:textId="77777777" w:rsidR="00F6299A" w:rsidRDefault="00F6299A" w:rsidP="00F6299A">
            <w:pPr>
              <w:spacing w:line="240" w:lineRule="auto"/>
              <w:rPr>
                <w:rFonts w:ascii="VIC-SemiBold" w:hAnsi="VIC-SemiBold" w:cstheme="minorBidi"/>
              </w:rPr>
            </w:pPr>
          </w:p>
        </w:tc>
        <w:tc>
          <w:tcPr>
            <w:tcW w:w="1705" w:type="dxa"/>
          </w:tcPr>
          <w:p w14:paraId="37D27A37" w14:textId="77777777" w:rsidR="00F6299A" w:rsidRDefault="00F6299A" w:rsidP="00F6299A">
            <w:pPr>
              <w:spacing w:line="240" w:lineRule="auto"/>
              <w:rPr>
                <w:rFonts w:ascii="VIC-SemiBold" w:hAnsi="VIC-SemiBold" w:cstheme="minorBidi"/>
              </w:rPr>
            </w:pPr>
          </w:p>
        </w:tc>
        <w:tc>
          <w:tcPr>
            <w:tcW w:w="1705" w:type="dxa"/>
          </w:tcPr>
          <w:p w14:paraId="20A75CEF" w14:textId="752D713F" w:rsidR="00F6299A" w:rsidRDefault="00F6299A" w:rsidP="00F6299A">
            <w:pPr>
              <w:pStyle w:val="TableTextRight"/>
            </w:pPr>
            <w:r>
              <w:t>1,367,397</w:t>
            </w:r>
          </w:p>
        </w:tc>
        <w:tc>
          <w:tcPr>
            <w:tcW w:w="1705" w:type="dxa"/>
          </w:tcPr>
          <w:p w14:paraId="4FA50534" w14:textId="218B5BF4" w:rsidR="00F6299A" w:rsidRDefault="00F6299A" w:rsidP="00F6299A">
            <w:pPr>
              <w:pStyle w:val="TableTextRight"/>
            </w:pPr>
            <w:r>
              <w:t>1,531,794</w:t>
            </w:r>
          </w:p>
        </w:tc>
      </w:tr>
      <w:tr w:rsidR="00F6299A" w14:paraId="5EAA033F" w14:textId="77777777" w:rsidTr="00A66C4F">
        <w:trPr>
          <w:trHeight w:val="60"/>
        </w:trPr>
        <w:tc>
          <w:tcPr>
            <w:tcW w:w="7340" w:type="dxa"/>
          </w:tcPr>
          <w:p w14:paraId="1CEE79D4" w14:textId="69A2B7D4" w:rsidR="00F6299A" w:rsidRDefault="00F6299A" w:rsidP="00F6299A">
            <w:pPr>
              <w:pStyle w:val="TableText"/>
            </w:pPr>
            <w:r>
              <w:t>Contractors, consultants and professional services</w:t>
            </w:r>
          </w:p>
        </w:tc>
        <w:tc>
          <w:tcPr>
            <w:tcW w:w="1704" w:type="dxa"/>
          </w:tcPr>
          <w:p w14:paraId="03C47DAE" w14:textId="77777777" w:rsidR="00F6299A" w:rsidRDefault="00F6299A" w:rsidP="00F6299A">
            <w:pPr>
              <w:spacing w:line="240" w:lineRule="auto"/>
              <w:rPr>
                <w:rFonts w:ascii="VIC-SemiBold" w:hAnsi="VIC-SemiBold" w:cstheme="minorBidi"/>
              </w:rPr>
            </w:pPr>
          </w:p>
        </w:tc>
        <w:tc>
          <w:tcPr>
            <w:tcW w:w="1705" w:type="dxa"/>
          </w:tcPr>
          <w:p w14:paraId="24163083" w14:textId="35DEAAC8" w:rsidR="00F6299A" w:rsidRDefault="00F6299A" w:rsidP="00F6299A">
            <w:pPr>
              <w:pStyle w:val="TableTextRight"/>
            </w:pPr>
            <w:r>
              <w:t>326,153</w:t>
            </w:r>
          </w:p>
        </w:tc>
        <w:tc>
          <w:tcPr>
            <w:tcW w:w="1705" w:type="dxa"/>
          </w:tcPr>
          <w:p w14:paraId="024FE331" w14:textId="592169F7" w:rsidR="00F6299A" w:rsidRDefault="00F6299A" w:rsidP="00F6299A">
            <w:pPr>
              <w:pStyle w:val="TableTextRight"/>
            </w:pPr>
            <w:r>
              <w:t>67,649</w:t>
            </w:r>
          </w:p>
        </w:tc>
        <w:tc>
          <w:tcPr>
            <w:tcW w:w="1705" w:type="dxa"/>
          </w:tcPr>
          <w:p w14:paraId="4DCB7ADC" w14:textId="604CE705" w:rsidR="00F6299A" w:rsidRDefault="00F6299A" w:rsidP="00F6299A">
            <w:pPr>
              <w:pStyle w:val="TableTextRight"/>
            </w:pPr>
            <w:r>
              <w:t>897,227</w:t>
            </w:r>
          </w:p>
        </w:tc>
        <w:tc>
          <w:tcPr>
            <w:tcW w:w="1705" w:type="dxa"/>
          </w:tcPr>
          <w:p w14:paraId="12351C46" w14:textId="313FE11E" w:rsidR="00F6299A" w:rsidRDefault="00F6299A" w:rsidP="00F6299A">
            <w:pPr>
              <w:pStyle w:val="TableTextRight"/>
            </w:pPr>
            <w:r>
              <w:t>403,481</w:t>
            </w:r>
          </w:p>
        </w:tc>
        <w:tc>
          <w:tcPr>
            <w:tcW w:w="1705" w:type="dxa"/>
          </w:tcPr>
          <w:p w14:paraId="1A8A6573" w14:textId="3338B9F6" w:rsidR="00F6299A" w:rsidRDefault="00F6299A" w:rsidP="00F6299A">
            <w:pPr>
              <w:pStyle w:val="TableTextRight"/>
            </w:pPr>
            <w:r>
              <w:t>56,221</w:t>
            </w:r>
          </w:p>
        </w:tc>
        <w:tc>
          <w:tcPr>
            <w:tcW w:w="1705" w:type="dxa"/>
          </w:tcPr>
          <w:p w14:paraId="4A62B336" w14:textId="79BA9DF6" w:rsidR="00F6299A" w:rsidRDefault="00F6299A" w:rsidP="00F6299A">
            <w:pPr>
              <w:pStyle w:val="TableTextRight"/>
            </w:pPr>
            <w:r>
              <w:t>969,801</w:t>
            </w:r>
          </w:p>
        </w:tc>
        <w:tc>
          <w:tcPr>
            <w:tcW w:w="1705" w:type="dxa"/>
          </w:tcPr>
          <w:p w14:paraId="4781EE91" w14:textId="5E29100B" w:rsidR="00F6299A" w:rsidRDefault="00F6299A" w:rsidP="00F6299A">
            <w:pPr>
              <w:pStyle w:val="TableTextRight"/>
            </w:pPr>
            <w:r>
              <w:t>2,720,532</w:t>
            </w:r>
          </w:p>
        </w:tc>
      </w:tr>
      <w:tr w:rsidR="00F6299A" w14:paraId="58482D61" w14:textId="77777777" w:rsidTr="00A66C4F">
        <w:trPr>
          <w:trHeight w:val="60"/>
        </w:trPr>
        <w:tc>
          <w:tcPr>
            <w:tcW w:w="7340" w:type="dxa"/>
          </w:tcPr>
          <w:p w14:paraId="3B4B682C" w14:textId="4A353E6A" w:rsidR="00F6299A" w:rsidRDefault="00F6299A" w:rsidP="00F6299A">
            <w:pPr>
              <w:pStyle w:val="TableText"/>
            </w:pPr>
            <w:r>
              <w:t>Employee related costs</w:t>
            </w:r>
          </w:p>
        </w:tc>
        <w:tc>
          <w:tcPr>
            <w:tcW w:w="1704" w:type="dxa"/>
          </w:tcPr>
          <w:p w14:paraId="56E8231E" w14:textId="77777777" w:rsidR="00F6299A" w:rsidRDefault="00F6299A" w:rsidP="00F6299A">
            <w:pPr>
              <w:spacing w:line="240" w:lineRule="auto"/>
              <w:rPr>
                <w:rFonts w:ascii="VIC-SemiBold" w:hAnsi="VIC-SemiBold" w:cstheme="minorBidi"/>
              </w:rPr>
            </w:pPr>
          </w:p>
        </w:tc>
        <w:tc>
          <w:tcPr>
            <w:tcW w:w="1705" w:type="dxa"/>
          </w:tcPr>
          <w:p w14:paraId="22982C83" w14:textId="0FC0A295" w:rsidR="00F6299A" w:rsidRDefault="00F6299A" w:rsidP="00F6299A">
            <w:pPr>
              <w:pStyle w:val="TableTextRight"/>
            </w:pPr>
            <w:r>
              <w:t>10,181,527</w:t>
            </w:r>
          </w:p>
        </w:tc>
        <w:tc>
          <w:tcPr>
            <w:tcW w:w="1705" w:type="dxa"/>
          </w:tcPr>
          <w:p w14:paraId="42F065AC" w14:textId="1D1A107C" w:rsidR="00F6299A" w:rsidRDefault="00F6299A" w:rsidP="00F6299A">
            <w:pPr>
              <w:pStyle w:val="TableTextRight"/>
            </w:pPr>
            <w:r>
              <w:t>2,094,339</w:t>
            </w:r>
          </w:p>
        </w:tc>
        <w:tc>
          <w:tcPr>
            <w:tcW w:w="1705" w:type="dxa"/>
          </w:tcPr>
          <w:p w14:paraId="1B794749" w14:textId="22B68FDF" w:rsidR="00F6299A" w:rsidRDefault="00F6299A" w:rsidP="00F6299A">
            <w:pPr>
              <w:pStyle w:val="TableTextRight"/>
            </w:pPr>
            <w:r>
              <w:t>2,348,228</w:t>
            </w:r>
          </w:p>
        </w:tc>
        <w:tc>
          <w:tcPr>
            <w:tcW w:w="1705" w:type="dxa"/>
          </w:tcPr>
          <w:p w14:paraId="16B08028" w14:textId="0CFE7CEE" w:rsidR="00F6299A" w:rsidRDefault="00F6299A" w:rsidP="00F6299A">
            <w:pPr>
              <w:pStyle w:val="TableTextRight"/>
            </w:pPr>
            <w:r>
              <w:t>10,976,809</w:t>
            </w:r>
          </w:p>
        </w:tc>
        <w:tc>
          <w:tcPr>
            <w:tcW w:w="1705" w:type="dxa"/>
          </w:tcPr>
          <w:p w14:paraId="0C3140B2" w14:textId="44F15695" w:rsidR="00F6299A" w:rsidRDefault="00F6299A" w:rsidP="00F6299A">
            <w:pPr>
              <w:pStyle w:val="TableTextRight"/>
            </w:pPr>
            <w:r>
              <w:t>1,076,767</w:t>
            </w:r>
          </w:p>
        </w:tc>
        <w:tc>
          <w:tcPr>
            <w:tcW w:w="1705" w:type="dxa"/>
          </w:tcPr>
          <w:p w14:paraId="588BAF0D" w14:textId="25A231CA" w:rsidR="00F6299A" w:rsidRDefault="00F6299A" w:rsidP="00F6299A">
            <w:pPr>
              <w:pStyle w:val="TableTextRight"/>
            </w:pPr>
            <w:r>
              <w:t>11,331,892</w:t>
            </w:r>
          </w:p>
        </w:tc>
        <w:tc>
          <w:tcPr>
            <w:tcW w:w="1705" w:type="dxa"/>
          </w:tcPr>
          <w:p w14:paraId="01C75D05" w14:textId="34C0535A" w:rsidR="00F6299A" w:rsidRDefault="00F6299A" w:rsidP="00F6299A">
            <w:pPr>
              <w:pStyle w:val="TableTextRight"/>
            </w:pPr>
            <w:r>
              <w:t>38,009,562</w:t>
            </w:r>
          </w:p>
        </w:tc>
      </w:tr>
      <w:tr w:rsidR="00F6299A" w14:paraId="4B849A4F" w14:textId="77777777" w:rsidTr="00A66C4F">
        <w:trPr>
          <w:trHeight w:val="60"/>
        </w:trPr>
        <w:tc>
          <w:tcPr>
            <w:tcW w:w="7340" w:type="dxa"/>
          </w:tcPr>
          <w:p w14:paraId="6401D4A7" w14:textId="31968441" w:rsidR="00F6299A" w:rsidRDefault="00F6299A" w:rsidP="00F6299A">
            <w:pPr>
              <w:pStyle w:val="TableText"/>
            </w:pPr>
            <w:r>
              <w:t>Grants paid</w:t>
            </w:r>
          </w:p>
        </w:tc>
        <w:tc>
          <w:tcPr>
            <w:tcW w:w="1704" w:type="dxa"/>
          </w:tcPr>
          <w:p w14:paraId="35480986" w14:textId="54735470" w:rsidR="00F6299A" w:rsidRDefault="00F6299A" w:rsidP="00F6299A">
            <w:pPr>
              <w:pStyle w:val="TableTextRight"/>
            </w:pPr>
            <w:r>
              <w:t>212,454</w:t>
            </w:r>
          </w:p>
        </w:tc>
        <w:tc>
          <w:tcPr>
            <w:tcW w:w="1705" w:type="dxa"/>
          </w:tcPr>
          <w:p w14:paraId="27A22103" w14:textId="7A0EDFE2" w:rsidR="00F6299A" w:rsidRDefault="00F6299A" w:rsidP="00F6299A">
            <w:pPr>
              <w:pStyle w:val="TableTextRight"/>
            </w:pPr>
            <w:r>
              <w:t>3,908,252</w:t>
            </w:r>
          </w:p>
        </w:tc>
        <w:tc>
          <w:tcPr>
            <w:tcW w:w="1705" w:type="dxa"/>
          </w:tcPr>
          <w:p w14:paraId="11D946EF" w14:textId="77777777" w:rsidR="00F6299A" w:rsidRDefault="00F6299A" w:rsidP="00F6299A">
            <w:pPr>
              <w:spacing w:line="240" w:lineRule="auto"/>
              <w:rPr>
                <w:rFonts w:ascii="VIC-SemiBold" w:hAnsi="VIC-SemiBold" w:cstheme="minorBidi"/>
              </w:rPr>
            </w:pPr>
          </w:p>
        </w:tc>
        <w:tc>
          <w:tcPr>
            <w:tcW w:w="1705" w:type="dxa"/>
          </w:tcPr>
          <w:p w14:paraId="5783064E" w14:textId="77777777" w:rsidR="00F6299A" w:rsidRDefault="00F6299A" w:rsidP="00F6299A">
            <w:pPr>
              <w:spacing w:line="240" w:lineRule="auto"/>
              <w:rPr>
                <w:rFonts w:ascii="VIC-SemiBold" w:hAnsi="VIC-SemiBold" w:cstheme="minorBidi"/>
              </w:rPr>
            </w:pPr>
          </w:p>
        </w:tc>
        <w:tc>
          <w:tcPr>
            <w:tcW w:w="1705" w:type="dxa"/>
          </w:tcPr>
          <w:p w14:paraId="5895C31D" w14:textId="2306EC34" w:rsidR="00F6299A" w:rsidRDefault="00F6299A" w:rsidP="00F6299A">
            <w:pPr>
              <w:pStyle w:val="TableTextRight"/>
            </w:pPr>
            <w:r>
              <w:t>18,856,951</w:t>
            </w:r>
          </w:p>
        </w:tc>
        <w:tc>
          <w:tcPr>
            <w:tcW w:w="1705" w:type="dxa"/>
          </w:tcPr>
          <w:p w14:paraId="046B1524" w14:textId="77777777" w:rsidR="00F6299A" w:rsidRDefault="00F6299A" w:rsidP="00F6299A">
            <w:pPr>
              <w:spacing w:line="240" w:lineRule="auto"/>
              <w:rPr>
                <w:rFonts w:ascii="VIC-SemiBold" w:hAnsi="VIC-SemiBold" w:cstheme="minorBidi"/>
              </w:rPr>
            </w:pPr>
          </w:p>
        </w:tc>
        <w:tc>
          <w:tcPr>
            <w:tcW w:w="1705" w:type="dxa"/>
          </w:tcPr>
          <w:p w14:paraId="1B16C53F" w14:textId="2FB7B99F" w:rsidR="00F6299A" w:rsidRDefault="00F6299A" w:rsidP="00F6299A">
            <w:pPr>
              <w:pStyle w:val="TableTextRight"/>
            </w:pPr>
            <w:r>
              <w:t>10,329,477</w:t>
            </w:r>
          </w:p>
        </w:tc>
        <w:tc>
          <w:tcPr>
            <w:tcW w:w="1705" w:type="dxa"/>
          </w:tcPr>
          <w:p w14:paraId="5399BA15" w14:textId="069BD1EE" w:rsidR="00F6299A" w:rsidRDefault="00F6299A" w:rsidP="00F6299A">
            <w:pPr>
              <w:pStyle w:val="TableTextRight"/>
            </w:pPr>
            <w:r>
              <w:t>33,307,134</w:t>
            </w:r>
          </w:p>
        </w:tc>
      </w:tr>
      <w:tr w:rsidR="00F6299A" w14:paraId="2D6EE66E" w14:textId="77777777" w:rsidTr="00A66C4F">
        <w:trPr>
          <w:trHeight w:val="60"/>
        </w:trPr>
        <w:tc>
          <w:tcPr>
            <w:tcW w:w="7340" w:type="dxa"/>
          </w:tcPr>
          <w:p w14:paraId="3920AB02" w14:textId="50EA19BB" w:rsidR="00F6299A" w:rsidRDefault="00F6299A" w:rsidP="00F6299A">
            <w:pPr>
              <w:pStyle w:val="TableText"/>
            </w:pPr>
            <w:r>
              <w:t>Information technology</w:t>
            </w:r>
          </w:p>
        </w:tc>
        <w:tc>
          <w:tcPr>
            <w:tcW w:w="1704" w:type="dxa"/>
          </w:tcPr>
          <w:p w14:paraId="354D2B31" w14:textId="77777777" w:rsidR="00F6299A" w:rsidRDefault="00F6299A" w:rsidP="00F6299A">
            <w:pPr>
              <w:spacing w:line="240" w:lineRule="auto"/>
              <w:rPr>
                <w:rFonts w:ascii="VIC-SemiBold" w:hAnsi="VIC-SemiBold" w:cstheme="minorBidi"/>
              </w:rPr>
            </w:pPr>
          </w:p>
        </w:tc>
        <w:tc>
          <w:tcPr>
            <w:tcW w:w="1705" w:type="dxa"/>
          </w:tcPr>
          <w:p w14:paraId="6C7ECADE" w14:textId="0F572AF9" w:rsidR="00F6299A" w:rsidRDefault="00F6299A" w:rsidP="00F6299A">
            <w:pPr>
              <w:pStyle w:val="TableTextRight"/>
            </w:pPr>
            <w:r>
              <w:t>63,586</w:t>
            </w:r>
          </w:p>
        </w:tc>
        <w:tc>
          <w:tcPr>
            <w:tcW w:w="1705" w:type="dxa"/>
          </w:tcPr>
          <w:p w14:paraId="57399F35" w14:textId="255686F4" w:rsidR="00F6299A" w:rsidRDefault="00F6299A" w:rsidP="00F6299A">
            <w:pPr>
              <w:pStyle w:val="TableTextRight"/>
            </w:pPr>
            <w:r>
              <w:t>51,282</w:t>
            </w:r>
          </w:p>
        </w:tc>
        <w:tc>
          <w:tcPr>
            <w:tcW w:w="1705" w:type="dxa"/>
          </w:tcPr>
          <w:p w14:paraId="589D9822" w14:textId="7B30B4EF" w:rsidR="00F6299A" w:rsidRDefault="00F6299A" w:rsidP="00F6299A">
            <w:pPr>
              <w:pStyle w:val="TableTextRight"/>
            </w:pPr>
            <w:r>
              <w:t>51,672</w:t>
            </w:r>
          </w:p>
        </w:tc>
        <w:tc>
          <w:tcPr>
            <w:tcW w:w="1705" w:type="dxa"/>
          </w:tcPr>
          <w:p w14:paraId="30E22F10" w14:textId="33619131" w:rsidR="00F6299A" w:rsidRDefault="00F6299A" w:rsidP="00F6299A">
            <w:pPr>
              <w:pStyle w:val="TableTextRight"/>
            </w:pPr>
            <w:r>
              <w:t>218,801</w:t>
            </w:r>
          </w:p>
        </w:tc>
        <w:tc>
          <w:tcPr>
            <w:tcW w:w="1705" w:type="dxa"/>
          </w:tcPr>
          <w:p w14:paraId="70344310" w14:textId="7EF3308C" w:rsidR="00F6299A" w:rsidRDefault="00F6299A" w:rsidP="00F6299A">
            <w:pPr>
              <w:pStyle w:val="TableTextRight"/>
            </w:pPr>
            <w:r>
              <w:t>29,101</w:t>
            </w:r>
          </w:p>
        </w:tc>
        <w:tc>
          <w:tcPr>
            <w:tcW w:w="1705" w:type="dxa"/>
          </w:tcPr>
          <w:p w14:paraId="1FFDBD3E" w14:textId="0B4BDC7E" w:rsidR="00F6299A" w:rsidRDefault="00F6299A" w:rsidP="00F6299A">
            <w:pPr>
              <w:pStyle w:val="TableTextRight"/>
            </w:pPr>
            <w:r>
              <w:t>273,933</w:t>
            </w:r>
          </w:p>
        </w:tc>
        <w:tc>
          <w:tcPr>
            <w:tcW w:w="1705" w:type="dxa"/>
          </w:tcPr>
          <w:p w14:paraId="6451B3E3" w14:textId="2BF0CBAC" w:rsidR="00F6299A" w:rsidRDefault="00F6299A" w:rsidP="00F6299A">
            <w:pPr>
              <w:pStyle w:val="TableTextRight"/>
            </w:pPr>
            <w:r>
              <w:t>688,375</w:t>
            </w:r>
          </w:p>
        </w:tc>
      </w:tr>
      <w:tr w:rsidR="00F6299A" w14:paraId="722F5913" w14:textId="77777777" w:rsidTr="00A66C4F">
        <w:trPr>
          <w:trHeight w:val="60"/>
        </w:trPr>
        <w:tc>
          <w:tcPr>
            <w:tcW w:w="7340" w:type="dxa"/>
          </w:tcPr>
          <w:p w14:paraId="128AD112" w14:textId="6A1E3AE1" w:rsidR="00F6299A" w:rsidRDefault="00F6299A" w:rsidP="00F6299A">
            <w:pPr>
              <w:pStyle w:val="TableText"/>
            </w:pPr>
            <w:r>
              <w:t>Occupancy costs</w:t>
            </w:r>
          </w:p>
        </w:tc>
        <w:tc>
          <w:tcPr>
            <w:tcW w:w="1704" w:type="dxa"/>
          </w:tcPr>
          <w:p w14:paraId="72836179" w14:textId="77777777" w:rsidR="00F6299A" w:rsidRDefault="00F6299A" w:rsidP="00F6299A">
            <w:pPr>
              <w:spacing w:line="240" w:lineRule="auto"/>
              <w:rPr>
                <w:rFonts w:ascii="VIC-SemiBold" w:hAnsi="VIC-SemiBold" w:cstheme="minorBidi"/>
              </w:rPr>
            </w:pPr>
          </w:p>
        </w:tc>
        <w:tc>
          <w:tcPr>
            <w:tcW w:w="1705" w:type="dxa"/>
          </w:tcPr>
          <w:p w14:paraId="353F592B" w14:textId="523FFB77" w:rsidR="00F6299A" w:rsidRDefault="00F6299A" w:rsidP="00F6299A">
            <w:pPr>
              <w:pStyle w:val="TableTextRight"/>
            </w:pPr>
            <w:r>
              <w:t>36,470</w:t>
            </w:r>
          </w:p>
        </w:tc>
        <w:tc>
          <w:tcPr>
            <w:tcW w:w="1705" w:type="dxa"/>
          </w:tcPr>
          <w:p w14:paraId="5A4C83FC" w14:textId="18BFE9F4" w:rsidR="00F6299A" w:rsidRDefault="00F6299A" w:rsidP="00F6299A">
            <w:pPr>
              <w:pStyle w:val="TableTextRight"/>
            </w:pPr>
            <w:r>
              <w:t>4,231</w:t>
            </w:r>
          </w:p>
        </w:tc>
        <w:tc>
          <w:tcPr>
            <w:tcW w:w="1705" w:type="dxa"/>
          </w:tcPr>
          <w:p w14:paraId="447051AF" w14:textId="4534425B" w:rsidR="00F6299A" w:rsidRDefault="00F6299A" w:rsidP="00F6299A">
            <w:pPr>
              <w:pStyle w:val="TableTextRight"/>
            </w:pPr>
            <w:r>
              <w:t>21,279</w:t>
            </w:r>
          </w:p>
        </w:tc>
        <w:tc>
          <w:tcPr>
            <w:tcW w:w="1705" w:type="dxa"/>
          </w:tcPr>
          <w:p w14:paraId="23FA7913" w14:textId="0D8D497C" w:rsidR="00F6299A" w:rsidRDefault="00F6299A" w:rsidP="00F6299A">
            <w:pPr>
              <w:pStyle w:val="TableTextRight"/>
            </w:pPr>
            <w:r>
              <w:t>12,728</w:t>
            </w:r>
          </w:p>
        </w:tc>
        <w:tc>
          <w:tcPr>
            <w:tcW w:w="1705" w:type="dxa"/>
          </w:tcPr>
          <w:p w14:paraId="5B0380DA" w14:textId="059F583C" w:rsidR="00F6299A" w:rsidRDefault="00F6299A" w:rsidP="00F6299A">
            <w:pPr>
              <w:pStyle w:val="TableTextRight"/>
            </w:pPr>
            <w:r>
              <w:t>4,143</w:t>
            </w:r>
          </w:p>
        </w:tc>
        <w:tc>
          <w:tcPr>
            <w:tcW w:w="1705" w:type="dxa"/>
          </w:tcPr>
          <w:p w14:paraId="307318D1" w14:textId="5FC19901" w:rsidR="00F6299A" w:rsidRDefault="00F6299A" w:rsidP="00F6299A">
            <w:pPr>
              <w:pStyle w:val="TableTextRight"/>
            </w:pPr>
            <w:r>
              <w:t>20,072</w:t>
            </w:r>
          </w:p>
        </w:tc>
        <w:tc>
          <w:tcPr>
            <w:tcW w:w="1705" w:type="dxa"/>
          </w:tcPr>
          <w:p w14:paraId="4A8BD9CD" w14:textId="21DD70E4" w:rsidR="00F6299A" w:rsidRDefault="00F6299A" w:rsidP="00F6299A">
            <w:pPr>
              <w:pStyle w:val="TableTextRight"/>
            </w:pPr>
            <w:r>
              <w:t>98,923</w:t>
            </w:r>
          </w:p>
        </w:tc>
      </w:tr>
      <w:tr w:rsidR="00F6299A" w14:paraId="20898B7C" w14:textId="77777777" w:rsidTr="00A66C4F">
        <w:trPr>
          <w:trHeight w:val="60"/>
        </w:trPr>
        <w:tc>
          <w:tcPr>
            <w:tcW w:w="7340" w:type="dxa"/>
          </w:tcPr>
          <w:p w14:paraId="1D79124F" w14:textId="1546797D" w:rsidR="00F6299A" w:rsidRDefault="00F6299A" w:rsidP="00F6299A">
            <w:pPr>
              <w:pStyle w:val="TableText"/>
            </w:pPr>
            <w:r>
              <w:t>Other operating costs</w:t>
            </w:r>
          </w:p>
        </w:tc>
        <w:tc>
          <w:tcPr>
            <w:tcW w:w="1704" w:type="dxa"/>
          </w:tcPr>
          <w:p w14:paraId="48C02376" w14:textId="77777777" w:rsidR="00F6299A" w:rsidRDefault="00F6299A" w:rsidP="00F6299A">
            <w:pPr>
              <w:spacing w:line="240" w:lineRule="auto"/>
              <w:rPr>
                <w:rFonts w:ascii="VIC-SemiBold" w:hAnsi="VIC-SemiBold" w:cstheme="minorBidi"/>
              </w:rPr>
            </w:pPr>
          </w:p>
        </w:tc>
        <w:tc>
          <w:tcPr>
            <w:tcW w:w="1705" w:type="dxa"/>
          </w:tcPr>
          <w:p w14:paraId="0E1D39A4" w14:textId="2640E2FA" w:rsidR="00F6299A" w:rsidRDefault="00F6299A" w:rsidP="00F6299A">
            <w:pPr>
              <w:pStyle w:val="TableTextRight"/>
            </w:pPr>
            <w:r>
              <w:t>1,036,282</w:t>
            </w:r>
          </w:p>
        </w:tc>
        <w:tc>
          <w:tcPr>
            <w:tcW w:w="1705" w:type="dxa"/>
          </w:tcPr>
          <w:p w14:paraId="1238FEE7" w14:textId="01EAA924" w:rsidR="00F6299A" w:rsidRDefault="00F6299A" w:rsidP="00F6299A">
            <w:pPr>
              <w:pStyle w:val="TableTextRight"/>
            </w:pPr>
            <w:r>
              <w:t>485,592</w:t>
            </w:r>
          </w:p>
        </w:tc>
        <w:tc>
          <w:tcPr>
            <w:tcW w:w="1705" w:type="dxa"/>
          </w:tcPr>
          <w:p w14:paraId="2F97B1D8" w14:textId="759955A8" w:rsidR="00F6299A" w:rsidRDefault="00F6299A" w:rsidP="00F6299A">
            <w:pPr>
              <w:pStyle w:val="TableTextRight"/>
            </w:pPr>
            <w:r>
              <w:t>648,198</w:t>
            </w:r>
          </w:p>
        </w:tc>
        <w:tc>
          <w:tcPr>
            <w:tcW w:w="1705" w:type="dxa"/>
          </w:tcPr>
          <w:p w14:paraId="698E81B6" w14:textId="150F1969" w:rsidR="00F6299A" w:rsidRDefault="00F6299A" w:rsidP="00F6299A">
            <w:pPr>
              <w:pStyle w:val="TableTextRight"/>
            </w:pPr>
            <w:r>
              <w:t>1,958,396</w:t>
            </w:r>
          </w:p>
        </w:tc>
        <w:tc>
          <w:tcPr>
            <w:tcW w:w="1705" w:type="dxa"/>
          </w:tcPr>
          <w:p w14:paraId="1B12FF95" w14:textId="01094789" w:rsidR="00F6299A" w:rsidRDefault="00F6299A" w:rsidP="00F6299A">
            <w:pPr>
              <w:pStyle w:val="TableTextRight"/>
            </w:pPr>
            <w:r>
              <w:t>219,797</w:t>
            </w:r>
          </w:p>
        </w:tc>
        <w:tc>
          <w:tcPr>
            <w:tcW w:w="1705" w:type="dxa"/>
          </w:tcPr>
          <w:p w14:paraId="42E3B026" w14:textId="05E3C47B" w:rsidR="00F6299A" w:rsidRDefault="00F6299A" w:rsidP="00F6299A">
            <w:pPr>
              <w:pStyle w:val="TableTextRight"/>
            </w:pPr>
            <w:r>
              <w:t>1,637,640</w:t>
            </w:r>
          </w:p>
        </w:tc>
        <w:tc>
          <w:tcPr>
            <w:tcW w:w="1705" w:type="dxa"/>
          </w:tcPr>
          <w:p w14:paraId="33E98469" w14:textId="16FD1FD2" w:rsidR="00F6299A" w:rsidRDefault="00F6299A" w:rsidP="00F6299A">
            <w:pPr>
              <w:pStyle w:val="TableTextRight"/>
            </w:pPr>
            <w:r>
              <w:t>5,985,905</w:t>
            </w:r>
          </w:p>
        </w:tc>
      </w:tr>
      <w:tr w:rsidR="00F6299A" w14:paraId="67F65B85" w14:textId="77777777" w:rsidTr="00A66C4F">
        <w:trPr>
          <w:trHeight w:val="60"/>
        </w:trPr>
        <w:tc>
          <w:tcPr>
            <w:tcW w:w="7340" w:type="dxa"/>
          </w:tcPr>
          <w:p w14:paraId="57B8D7A2" w14:textId="1823B0C3" w:rsidR="00F6299A" w:rsidRDefault="00F6299A" w:rsidP="00F6299A">
            <w:pPr>
              <w:pStyle w:val="TableText"/>
            </w:pPr>
            <w:r>
              <w:t>Outsourced contracted costs</w:t>
            </w:r>
          </w:p>
        </w:tc>
        <w:tc>
          <w:tcPr>
            <w:tcW w:w="1704" w:type="dxa"/>
          </w:tcPr>
          <w:p w14:paraId="6935358B" w14:textId="77777777" w:rsidR="00F6299A" w:rsidRDefault="00F6299A" w:rsidP="00F6299A">
            <w:pPr>
              <w:spacing w:line="240" w:lineRule="auto"/>
              <w:rPr>
                <w:rFonts w:ascii="VIC-SemiBold" w:hAnsi="VIC-SemiBold" w:cstheme="minorBidi"/>
              </w:rPr>
            </w:pPr>
          </w:p>
        </w:tc>
        <w:tc>
          <w:tcPr>
            <w:tcW w:w="1705" w:type="dxa"/>
          </w:tcPr>
          <w:p w14:paraId="39541194" w14:textId="77777777" w:rsidR="00F6299A" w:rsidRDefault="00F6299A" w:rsidP="00F6299A">
            <w:pPr>
              <w:spacing w:line="240" w:lineRule="auto"/>
              <w:rPr>
                <w:rFonts w:ascii="VIC-SemiBold" w:hAnsi="VIC-SemiBold" w:cstheme="minorBidi"/>
              </w:rPr>
            </w:pPr>
          </w:p>
        </w:tc>
        <w:tc>
          <w:tcPr>
            <w:tcW w:w="1705" w:type="dxa"/>
          </w:tcPr>
          <w:p w14:paraId="69332CCF" w14:textId="77777777" w:rsidR="00F6299A" w:rsidRDefault="00F6299A" w:rsidP="00F6299A">
            <w:pPr>
              <w:spacing w:line="240" w:lineRule="auto"/>
              <w:rPr>
                <w:rFonts w:ascii="VIC-SemiBold" w:hAnsi="VIC-SemiBold" w:cstheme="minorBidi"/>
              </w:rPr>
            </w:pPr>
          </w:p>
        </w:tc>
        <w:tc>
          <w:tcPr>
            <w:tcW w:w="1705" w:type="dxa"/>
          </w:tcPr>
          <w:p w14:paraId="6B4AFD6E" w14:textId="52E0181A" w:rsidR="00F6299A" w:rsidRDefault="00F6299A" w:rsidP="00F6299A">
            <w:pPr>
              <w:pStyle w:val="TableTextRight"/>
            </w:pPr>
            <w:r>
              <w:t>5,560,685</w:t>
            </w:r>
          </w:p>
        </w:tc>
        <w:tc>
          <w:tcPr>
            <w:tcW w:w="1705" w:type="dxa"/>
          </w:tcPr>
          <w:p w14:paraId="36E944F2" w14:textId="77777777" w:rsidR="00F6299A" w:rsidRDefault="00F6299A" w:rsidP="00F6299A">
            <w:pPr>
              <w:spacing w:line="240" w:lineRule="auto"/>
              <w:rPr>
                <w:rFonts w:ascii="VIC-SemiBold" w:hAnsi="VIC-SemiBold" w:cstheme="minorBidi"/>
              </w:rPr>
            </w:pPr>
          </w:p>
        </w:tc>
        <w:tc>
          <w:tcPr>
            <w:tcW w:w="1705" w:type="dxa"/>
          </w:tcPr>
          <w:p w14:paraId="2E06C59E" w14:textId="77777777" w:rsidR="00F6299A" w:rsidRDefault="00F6299A" w:rsidP="00F6299A">
            <w:pPr>
              <w:spacing w:line="240" w:lineRule="auto"/>
              <w:rPr>
                <w:rFonts w:ascii="VIC-SemiBold" w:hAnsi="VIC-SemiBold" w:cstheme="minorBidi"/>
              </w:rPr>
            </w:pPr>
          </w:p>
        </w:tc>
        <w:tc>
          <w:tcPr>
            <w:tcW w:w="1705" w:type="dxa"/>
          </w:tcPr>
          <w:p w14:paraId="54D7FFBC" w14:textId="77777777" w:rsidR="00F6299A" w:rsidRDefault="00F6299A" w:rsidP="00F6299A">
            <w:pPr>
              <w:spacing w:line="240" w:lineRule="auto"/>
              <w:rPr>
                <w:rFonts w:ascii="VIC-SemiBold" w:hAnsi="VIC-SemiBold" w:cstheme="minorBidi"/>
              </w:rPr>
            </w:pPr>
          </w:p>
        </w:tc>
        <w:tc>
          <w:tcPr>
            <w:tcW w:w="1705" w:type="dxa"/>
          </w:tcPr>
          <w:p w14:paraId="7D7AB81E" w14:textId="57D32175" w:rsidR="00F6299A" w:rsidRDefault="00F6299A" w:rsidP="00F6299A">
            <w:pPr>
              <w:pStyle w:val="TableTextRight"/>
            </w:pPr>
            <w:r>
              <w:t>5,560,685</w:t>
            </w:r>
          </w:p>
        </w:tc>
      </w:tr>
      <w:tr w:rsidR="00F6299A" w:rsidRPr="00A11832" w14:paraId="20DC4EE1" w14:textId="77777777" w:rsidTr="00A66C4F">
        <w:trPr>
          <w:trHeight w:val="60"/>
        </w:trPr>
        <w:tc>
          <w:tcPr>
            <w:tcW w:w="7340" w:type="dxa"/>
            <w:shd w:val="clear" w:color="auto" w:fill="CCE3F5"/>
          </w:tcPr>
          <w:p w14:paraId="7121EAA2" w14:textId="6DE52134" w:rsidR="00F6299A" w:rsidRPr="00E3488C" w:rsidRDefault="00F6299A" w:rsidP="00F6299A">
            <w:pPr>
              <w:pStyle w:val="TableTextBold"/>
            </w:pPr>
            <w:r w:rsidRPr="00E3488C">
              <w:t>Total CAV trust funds expenditure</w:t>
            </w:r>
          </w:p>
        </w:tc>
        <w:tc>
          <w:tcPr>
            <w:tcW w:w="1704" w:type="dxa"/>
            <w:shd w:val="clear" w:color="auto" w:fill="CCE3F5"/>
          </w:tcPr>
          <w:p w14:paraId="3D334994" w14:textId="1674AFF4" w:rsidR="00F6299A" w:rsidRPr="00A11832" w:rsidRDefault="00F6299A" w:rsidP="00F6299A">
            <w:pPr>
              <w:pStyle w:val="TableTextRightBold"/>
            </w:pPr>
            <w:r>
              <w:t>212,454</w:t>
            </w:r>
          </w:p>
        </w:tc>
        <w:tc>
          <w:tcPr>
            <w:tcW w:w="1705" w:type="dxa"/>
            <w:shd w:val="clear" w:color="auto" w:fill="CCE3F5"/>
          </w:tcPr>
          <w:p w14:paraId="739A8F00" w14:textId="27ADDFBB" w:rsidR="00F6299A" w:rsidRPr="00A11832" w:rsidRDefault="00F6299A" w:rsidP="00F6299A">
            <w:pPr>
              <w:pStyle w:val="TableTextRightBold"/>
            </w:pPr>
            <w:r>
              <w:t>15,552,270</w:t>
            </w:r>
          </w:p>
        </w:tc>
        <w:tc>
          <w:tcPr>
            <w:tcW w:w="1705" w:type="dxa"/>
            <w:shd w:val="clear" w:color="auto" w:fill="CCE3F5"/>
          </w:tcPr>
          <w:p w14:paraId="0B6CE3D8" w14:textId="6DCF13EC" w:rsidR="00F6299A" w:rsidRPr="00A11832" w:rsidRDefault="00F6299A" w:rsidP="00F6299A">
            <w:pPr>
              <w:pStyle w:val="TableTextRightBold"/>
            </w:pPr>
            <w:r>
              <w:t>2,867,490</w:t>
            </w:r>
          </w:p>
        </w:tc>
        <w:tc>
          <w:tcPr>
            <w:tcW w:w="1705" w:type="dxa"/>
            <w:shd w:val="clear" w:color="auto" w:fill="CCE3F5"/>
          </w:tcPr>
          <w:p w14:paraId="6B6D9E39" w14:textId="6C61BD35" w:rsidR="00F6299A" w:rsidRPr="00A11832" w:rsidRDefault="00F6299A" w:rsidP="00F6299A">
            <w:pPr>
              <w:pStyle w:val="TableTextRightBold"/>
            </w:pPr>
            <w:r>
              <w:t>9,546,399</w:t>
            </w:r>
          </w:p>
        </w:tc>
        <w:tc>
          <w:tcPr>
            <w:tcW w:w="1705" w:type="dxa"/>
            <w:shd w:val="clear" w:color="auto" w:fill="CCE3F5"/>
          </w:tcPr>
          <w:p w14:paraId="675BD8DB" w14:textId="5258E5BB" w:rsidR="00F6299A" w:rsidRPr="00A11832" w:rsidRDefault="00F6299A" w:rsidP="00F6299A">
            <w:pPr>
              <w:pStyle w:val="TableTextRightBold"/>
            </w:pPr>
            <w:r>
              <w:t>32,427,166</w:t>
            </w:r>
          </w:p>
        </w:tc>
        <w:tc>
          <w:tcPr>
            <w:tcW w:w="1705" w:type="dxa"/>
            <w:shd w:val="clear" w:color="auto" w:fill="CCE3F5"/>
          </w:tcPr>
          <w:p w14:paraId="499B35FB" w14:textId="2D4255E1" w:rsidR="00F6299A" w:rsidRPr="00A11832" w:rsidRDefault="00F6299A" w:rsidP="00F6299A">
            <w:pPr>
              <w:pStyle w:val="TableTextRightBold"/>
            </w:pPr>
            <w:r>
              <w:t>1,386,029</w:t>
            </w:r>
          </w:p>
        </w:tc>
        <w:tc>
          <w:tcPr>
            <w:tcW w:w="1705" w:type="dxa"/>
            <w:shd w:val="clear" w:color="auto" w:fill="CCE3F5"/>
          </w:tcPr>
          <w:p w14:paraId="6272B1A7" w14:textId="50A0327D" w:rsidR="00F6299A" w:rsidRPr="00A11832" w:rsidRDefault="00F6299A" w:rsidP="00F6299A">
            <w:pPr>
              <w:pStyle w:val="TableTextRightBold"/>
            </w:pPr>
            <w:r>
              <w:t>25,930,212</w:t>
            </w:r>
          </w:p>
        </w:tc>
        <w:tc>
          <w:tcPr>
            <w:tcW w:w="1705" w:type="dxa"/>
            <w:shd w:val="clear" w:color="auto" w:fill="CCE3F5"/>
          </w:tcPr>
          <w:p w14:paraId="65163AD8" w14:textId="094A2A4D" w:rsidR="00F6299A" w:rsidRPr="00A11832" w:rsidRDefault="00F6299A" w:rsidP="00F6299A">
            <w:pPr>
              <w:pStyle w:val="TableTextRightBold"/>
            </w:pPr>
            <w:r>
              <w:t>87,922,020</w:t>
            </w:r>
          </w:p>
        </w:tc>
      </w:tr>
      <w:tr w:rsidR="00F6299A" w:rsidRPr="00A11832" w14:paraId="60AAF79D" w14:textId="77777777" w:rsidTr="00A66C4F">
        <w:trPr>
          <w:trHeight w:val="60"/>
        </w:trPr>
        <w:tc>
          <w:tcPr>
            <w:tcW w:w="7340" w:type="dxa"/>
          </w:tcPr>
          <w:p w14:paraId="3ECAE27C" w14:textId="6E8D6C91" w:rsidR="00F6299A" w:rsidRPr="00E3488C" w:rsidRDefault="00F6299A" w:rsidP="00F6299A">
            <w:pPr>
              <w:pStyle w:val="TableTextBold"/>
            </w:pPr>
            <w:r w:rsidRPr="00E3488C">
              <w:t>Trust funds, opening equity 1 July 2019</w:t>
            </w:r>
          </w:p>
        </w:tc>
        <w:tc>
          <w:tcPr>
            <w:tcW w:w="1704" w:type="dxa"/>
          </w:tcPr>
          <w:p w14:paraId="085F733C" w14:textId="66D4F701" w:rsidR="00F6299A" w:rsidRPr="00A11832" w:rsidRDefault="00F6299A" w:rsidP="00F6299A">
            <w:pPr>
              <w:pStyle w:val="TableTextRightBold"/>
            </w:pPr>
            <w:r>
              <w:t>4,828,730</w:t>
            </w:r>
          </w:p>
        </w:tc>
        <w:tc>
          <w:tcPr>
            <w:tcW w:w="1705" w:type="dxa"/>
          </w:tcPr>
          <w:p w14:paraId="50D48383" w14:textId="1DB7A78E" w:rsidR="00F6299A" w:rsidRPr="00A11832" w:rsidRDefault="00F6299A" w:rsidP="00F6299A">
            <w:pPr>
              <w:pStyle w:val="TableTextRightBold"/>
            </w:pPr>
            <w:r>
              <w:t>21,221,873</w:t>
            </w:r>
          </w:p>
        </w:tc>
        <w:tc>
          <w:tcPr>
            <w:tcW w:w="1705" w:type="dxa"/>
          </w:tcPr>
          <w:p w14:paraId="03C613B5" w14:textId="09EF39E8" w:rsidR="00F6299A" w:rsidRPr="00A11832" w:rsidRDefault="00F6299A" w:rsidP="00F6299A">
            <w:pPr>
              <w:pStyle w:val="TableTextRightBold"/>
            </w:pPr>
            <w:r>
              <w:t>4,921,675</w:t>
            </w:r>
          </w:p>
        </w:tc>
        <w:tc>
          <w:tcPr>
            <w:tcW w:w="1705" w:type="dxa"/>
          </w:tcPr>
          <w:p w14:paraId="60EEB56F" w14:textId="76C18E3E" w:rsidR="00F6299A" w:rsidRPr="00A11832" w:rsidRDefault="00F6299A" w:rsidP="00F6299A">
            <w:pPr>
              <w:pStyle w:val="TableTextRightBold"/>
            </w:pPr>
            <w:r>
              <w:t>34,353,282</w:t>
            </w:r>
          </w:p>
        </w:tc>
        <w:tc>
          <w:tcPr>
            <w:tcW w:w="1705" w:type="dxa"/>
          </w:tcPr>
          <w:p w14:paraId="40B34362" w14:textId="554E8549" w:rsidR="00F6299A" w:rsidRPr="00A11832" w:rsidRDefault="00F6299A" w:rsidP="00F6299A">
            <w:pPr>
              <w:pStyle w:val="TableTextRightBold"/>
            </w:pPr>
            <w:r>
              <w:t>42,681,874</w:t>
            </w:r>
          </w:p>
        </w:tc>
        <w:tc>
          <w:tcPr>
            <w:tcW w:w="1705" w:type="dxa"/>
          </w:tcPr>
          <w:p w14:paraId="382CDB32" w14:textId="2C413FAD" w:rsidR="00F6299A" w:rsidRPr="00A11832" w:rsidRDefault="00F6299A" w:rsidP="00F6299A">
            <w:pPr>
              <w:pStyle w:val="TableTextRightBold"/>
            </w:pPr>
            <w:r>
              <w:t>1,038,545</w:t>
            </w:r>
          </w:p>
        </w:tc>
        <w:tc>
          <w:tcPr>
            <w:tcW w:w="1705" w:type="dxa"/>
          </w:tcPr>
          <w:p w14:paraId="2BE1E9C7" w14:textId="23F466E8" w:rsidR="00F6299A" w:rsidRPr="00A11832" w:rsidRDefault="00F6299A" w:rsidP="00F6299A">
            <w:pPr>
              <w:pStyle w:val="TableTextRightBold"/>
            </w:pPr>
            <w:r>
              <w:t>187,221,861</w:t>
            </w:r>
          </w:p>
        </w:tc>
        <w:tc>
          <w:tcPr>
            <w:tcW w:w="1705" w:type="dxa"/>
          </w:tcPr>
          <w:p w14:paraId="14D23E41" w14:textId="4E46927D" w:rsidR="00F6299A" w:rsidRPr="00A11832" w:rsidRDefault="00F6299A" w:rsidP="00F6299A">
            <w:pPr>
              <w:pStyle w:val="TableTextRightBold"/>
            </w:pPr>
            <w:r>
              <w:t>296,267,840</w:t>
            </w:r>
          </w:p>
        </w:tc>
      </w:tr>
      <w:tr w:rsidR="00F6299A" w14:paraId="045CE751" w14:textId="77777777" w:rsidTr="00A66C4F">
        <w:trPr>
          <w:trHeight w:val="60"/>
        </w:trPr>
        <w:tc>
          <w:tcPr>
            <w:tcW w:w="7340" w:type="dxa"/>
          </w:tcPr>
          <w:p w14:paraId="19EA1E20" w14:textId="240B1E79" w:rsidR="00F6299A" w:rsidRDefault="00F6299A" w:rsidP="00F6299A">
            <w:pPr>
              <w:pStyle w:val="TableText"/>
            </w:pPr>
            <w:r>
              <w:t>Current year operating surplus/(deficit)</w:t>
            </w:r>
          </w:p>
        </w:tc>
        <w:tc>
          <w:tcPr>
            <w:tcW w:w="1704" w:type="dxa"/>
          </w:tcPr>
          <w:p w14:paraId="45926E2B" w14:textId="7180ECEF" w:rsidR="00F6299A" w:rsidRDefault="00F6299A" w:rsidP="00F6299A">
            <w:pPr>
              <w:pStyle w:val="TableTextRight"/>
            </w:pPr>
            <w:r>
              <w:t>430,654</w:t>
            </w:r>
          </w:p>
        </w:tc>
        <w:tc>
          <w:tcPr>
            <w:tcW w:w="1705" w:type="dxa"/>
          </w:tcPr>
          <w:p w14:paraId="1D993879" w14:textId="1BC3919A" w:rsidR="00F6299A" w:rsidRDefault="00F6299A" w:rsidP="00F6299A">
            <w:pPr>
              <w:pStyle w:val="TableTextRight"/>
            </w:pPr>
            <w:r>
              <w:t>4,527,651</w:t>
            </w:r>
          </w:p>
        </w:tc>
        <w:tc>
          <w:tcPr>
            <w:tcW w:w="1705" w:type="dxa"/>
          </w:tcPr>
          <w:p w14:paraId="1A182D10" w14:textId="26CF876C" w:rsidR="00F6299A" w:rsidRDefault="00F6299A" w:rsidP="00F6299A">
            <w:pPr>
              <w:pStyle w:val="TableTextRight"/>
            </w:pPr>
            <w:r>
              <w:t>319,047</w:t>
            </w:r>
          </w:p>
        </w:tc>
        <w:tc>
          <w:tcPr>
            <w:tcW w:w="1705" w:type="dxa"/>
          </w:tcPr>
          <w:p w14:paraId="2C856DA5" w14:textId="29A84FF1" w:rsidR="00F6299A" w:rsidRDefault="00F6299A" w:rsidP="00F6299A">
            <w:pPr>
              <w:pStyle w:val="TableTextRight"/>
            </w:pPr>
            <w:r>
              <w:t>(1,047,099)</w:t>
            </w:r>
          </w:p>
        </w:tc>
        <w:tc>
          <w:tcPr>
            <w:tcW w:w="1705" w:type="dxa"/>
          </w:tcPr>
          <w:p w14:paraId="15CC1A93" w14:textId="2753BAAA" w:rsidR="00F6299A" w:rsidRDefault="00F6299A" w:rsidP="00F6299A">
            <w:pPr>
              <w:pStyle w:val="TableTextRight"/>
            </w:pPr>
            <w:r>
              <w:t>127,610</w:t>
            </w:r>
          </w:p>
        </w:tc>
        <w:tc>
          <w:tcPr>
            <w:tcW w:w="1705" w:type="dxa"/>
          </w:tcPr>
          <w:p w14:paraId="522445C1" w14:textId="1A270D2B" w:rsidR="00F6299A" w:rsidRDefault="00F6299A" w:rsidP="00F6299A">
            <w:pPr>
              <w:pStyle w:val="TableTextRight"/>
            </w:pPr>
            <w:r>
              <w:t>(509,911)</w:t>
            </w:r>
          </w:p>
        </w:tc>
        <w:tc>
          <w:tcPr>
            <w:tcW w:w="1705" w:type="dxa"/>
          </w:tcPr>
          <w:p w14:paraId="5494DA79" w14:textId="5C20B016" w:rsidR="00F6299A" w:rsidRDefault="00F6299A" w:rsidP="00F6299A">
            <w:pPr>
              <w:pStyle w:val="TableTextRight"/>
            </w:pPr>
            <w:r>
              <w:t>(18,536,859)</w:t>
            </w:r>
          </w:p>
        </w:tc>
        <w:tc>
          <w:tcPr>
            <w:tcW w:w="1705" w:type="dxa"/>
          </w:tcPr>
          <w:p w14:paraId="6D8E3A3B" w14:textId="1C61C6B8" w:rsidR="00F6299A" w:rsidRDefault="00F6299A" w:rsidP="00F6299A">
            <w:pPr>
              <w:pStyle w:val="TableTextRight"/>
            </w:pPr>
            <w:r>
              <w:t>(14,688,907)</w:t>
            </w:r>
          </w:p>
        </w:tc>
      </w:tr>
      <w:tr w:rsidR="00F6299A" w14:paraId="282FE226" w14:textId="77777777" w:rsidTr="00A66C4F">
        <w:trPr>
          <w:trHeight w:val="60"/>
        </w:trPr>
        <w:tc>
          <w:tcPr>
            <w:tcW w:w="7340" w:type="dxa"/>
          </w:tcPr>
          <w:p w14:paraId="7B22C7E4" w14:textId="2624F30C" w:rsidR="00F6299A" w:rsidRDefault="00F6299A" w:rsidP="00F6299A">
            <w:pPr>
              <w:pStyle w:val="TableTextBold"/>
            </w:pPr>
            <w:r>
              <w:t>Trust funds, closing equity 30 June 2020</w:t>
            </w:r>
          </w:p>
        </w:tc>
        <w:tc>
          <w:tcPr>
            <w:tcW w:w="1704" w:type="dxa"/>
          </w:tcPr>
          <w:p w14:paraId="005B823F" w14:textId="219D2469" w:rsidR="00F6299A" w:rsidRDefault="00F6299A" w:rsidP="00F6299A">
            <w:pPr>
              <w:pStyle w:val="TableTextRightBold"/>
            </w:pPr>
            <w:r>
              <w:t>5,259,384</w:t>
            </w:r>
          </w:p>
        </w:tc>
        <w:tc>
          <w:tcPr>
            <w:tcW w:w="1705" w:type="dxa"/>
          </w:tcPr>
          <w:p w14:paraId="51A06DA6" w14:textId="74691415" w:rsidR="00F6299A" w:rsidRDefault="00F6299A" w:rsidP="00F6299A">
            <w:pPr>
              <w:pStyle w:val="TableTextRightBold"/>
            </w:pPr>
            <w:r>
              <w:t>25,749,524</w:t>
            </w:r>
          </w:p>
        </w:tc>
        <w:tc>
          <w:tcPr>
            <w:tcW w:w="1705" w:type="dxa"/>
          </w:tcPr>
          <w:p w14:paraId="129B4D14" w14:textId="38C4C50B" w:rsidR="00F6299A" w:rsidRDefault="00F6299A" w:rsidP="00F6299A">
            <w:pPr>
              <w:pStyle w:val="TableTextRightBold"/>
            </w:pPr>
            <w:r>
              <w:t>5,240,722</w:t>
            </w:r>
          </w:p>
        </w:tc>
        <w:tc>
          <w:tcPr>
            <w:tcW w:w="1705" w:type="dxa"/>
          </w:tcPr>
          <w:p w14:paraId="6AE8BCF9" w14:textId="6A3D67C6" w:rsidR="00F6299A" w:rsidRDefault="00F6299A" w:rsidP="00F6299A">
            <w:pPr>
              <w:pStyle w:val="TableTextRightBold"/>
            </w:pPr>
            <w:r>
              <w:t>33,306,183</w:t>
            </w:r>
          </w:p>
        </w:tc>
        <w:tc>
          <w:tcPr>
            <w:tcW w:w="1705" w:type="dxa"/>
          </w:tcPr>
          <w:p w14:paraId="7DA68BF2" w14:textId="6372F207" w:rsidR="00F6299A" w:rsidRDefault="00F6299A" w:rsidP="00F6299A">
            <w:pPr>
              <w:pStyle w:val="TableTextRightBold"/>
            </w:pPr>
            <w:r>
              <w:t>42,809,484</w:t>
            </w:r>
          </w:p>
        </w:tc>
        <w:tc>
          <w:tcPr>
            <w:tcW w:w="1705" w:type="dxa"/>
          </w:tcPr>
          <w:p w14:paraId="7953CDE7" w14:textId="015838B5" w:rsidR="00F6299A" w:rsidRDefault="00F6299A" w:rsidP="00F6299A">
            <w:pPr>
              <w:pStyle w:val="TableTextRightBold"/>
            </w:pPr>
            <w:r>
              <w:t>528,634</w:t>
            </w:r>
          </w:p>
        </w:tc>
        <w:tc>
          <w:tcPr>
            <w:tcW w:w="1705" w:type="dxa"/>
          </w:tcPr>
          <w:p w14:paraId="1F0F1506" w14:textId="570E640A" w:rsidR="00F6299A" w:rsidRDefault="00F6299A" w:rsidP="00F6299A">
            <w:pPr>
              <w:pStyle w:val="TableTextRightBold"/>
            </w:pPr>
            <w:r>
              <w:t>168,685,002</w:t>
            </w:r>
          </w:p>
        </w:tc>
        <w:tc>
          <w:tcPr>
            <w:tcW w:w="1705" w:type="dxa"/>
          </w:tcPr>
          <w:p w14:paraId="20A655A2" w14:textId="297EBC25" w:rsidR="00F6299A" w:rsidRDefault="00F6299A" w:rsidP="00F6299A">
            <w:pPr>
              <w:pStyle w:val="TableTextRightBold"/>
            </w:pPr>
            <w:r>
              <w:t>281,578,933</w:t>
            </w:r>
          </w:p>
        </w:tc>
      </w:tr>
    </w:tbl>
    <w:p w14:paraId="6A2F17C0" w14:textId="77777777" w:rsidR="00132675" w:rsidRDefault="00A66C4F" w:rsidP="000F504E">
      <w:pPr>
        <w:pStyle w:val="BodyText"/>
      </w:pPr>
      <w:r>
        <w:t>Note</w:t>
      </w:r>
      <w:r w:rsidR="001C3C79">
        <w:t xml:space="preserve"> </w:t>
      </w:r>
      <w:r>
        <w:t>that</w:t>
      </w:r>
      <w:r w:rsidR="001C3C79">
        <w:t xml:space="preserve"> </w:t>
      </w:r>
      <w:r>
        <w:t>Consumer</w:t>
      </w:r>
      <w:r w:rsidR="001C3C79">
        <w:t xml:space="preserve"> </w:t>
      </w:r>
      <w:r>
        <w:t>Affairs</w:t>
      </w:r>
      <w:r w:rsidR="001C3C79">
        <w:t xml:space="preserve"> </w:t>
      </w:r>
      <w:r>
        <w:t>Victoria</w:t>
      </w:r>
      <w:r w:rsidR="001C3C79">
        <w:t xml:space="preserve"> </w:t>
      </w:r>
      <w:r>
        <w:t>also</w:t>
      </w:r>
      <w:r w:rsidR="001C3C79">
        <w:t xml:space="preserve"> </w:t>
      </w:r>
      <w:r>
        <w:t>receives</w:t>
      </w:r>
      <w:r w:rsidR="001C3C79">
        <w:t xml:space="preserve"> </w:t>
      </w:r>
      <w:r>
        <w:t>funding</w:t>
      </w:r>
      <w:r w:rsidR="001C3C79">
        <w:t xml:space="preserve"> </w:t>
      </w:r>
      <w:r>
        <w:t>through</w:t>
      </w:r>
      <w:r w:rsidR="001C3C79">
        <w:t xml:space="preserve"> </w:t>
      </w:r>
      <w:r>
        <w:t>appropriations</w:t>
      </w:r>
      <w:r w:rsidR="001C3C79">
        <w:t xml:space="preserve"> </w:t>
      </w:r>
      <w:r>
        <w:t>to</w:t>
      </w:r>
      <w:r w:rsidR="001C3C79">
        <w:t xml:space="preserve"> </w:t>
      </w:r>
      <w:r>
        <w:t>perform</w:t>
      </w:r>
      <w:r w:rsidR="001C3C79">
        <w:t xml:space="preserve"> </w:t>
      </w:r>
      <w:r>
        <w:t>its</w:t>
      </w:r>
      <w:r w:rsidR="001C3C79">
        <w:t xml:space="preserve"> </w:t>
      </w:r>
      <w:r>
        <w:t>functions</w:t>
      </w:r>
      <w:r w:rsidR="001C3C79">
        <w:t xml:space="preserve"> </w:t>
      </w:r>
      <w:r>
        <w:t>each</w:t>
      </w:r>
      <w:r w:rsidR="001C3C79">
        <w:t xml:space="preserve"> </w:t>
      </w:r>
      <w:r>
        <w:t>year.</w:t>
      </w:r>
      <w:r w:rsidR="001C3C79">
        <w:t xml:space="preserve"> </w:t>
      </w:r>
      <w:r>
        <w:t>Annual</w:t>
      </w:r>
      <w:r w:rsidR="001C3C79">
        <w:t xml:space="preserve"> </w:t>
      </w:r>
      <w:r>
        <w:t>reporting</w:t>
      </w:r>
      <w:r w:rsidR="001C3C79">
        <w:t xml:space="preserve"> </w:t>
      </w:r>
      <w:r>
        <w:t>against</w:t>
      </w:r>
      <w:r w:rsidR="001C3C79">
        <w:t xml:space="preserve"> </w:t>
      </w:r>
      <w:r>
        <w:t>that</w:t>
      </w:r>
      <w:r w:rsidR="001C3C79">
        <w:t xml:space="preserve"> </w:t>
      </w:r>
      <w:r>
        <w:t>expenditure</w:t>
      </w:r>
      <w:r w:rsidR="001C3C79">
        <w:t xml:space="preserve"> </w:t>
      </w:r>
      <w:r>
        <w:t>is</w:t>
      </w:r>
      <w:r w:rsidR="001C3C79">
        <w:t xml:space="preserve"> </w:t>
      </w:r>
      <w:r>
        <w:t>contained</w:t>
      </w:r>
      <w:r w:rsidR="001C3C79">
        <w:t xml:space="preserve"> </w:t>
      </w:r>
      <w:r>
        <w:t>in</w:t>
      </w:r>
      <w:r w:rsidR="001C3C79">
        <w:t xml:space="preserve"> </w:t>
      </w:r>
      <w:r>
        <w:t>the</w:t>
      </w:r>
      <w:r w:rsidR="001C3C79">
        <w:t xml:space="preserve"> </w:t>
      </w:r>
      <w:r>
        <w:t>Department</w:t>
      </w:r>
      <w:r w:rsidR="001C3C79">
        <w:t xml:space="preserve"> </w:t>
      </w:r>
      <w:r>
        <w:t>of</w:t>
      </w:r>
      <w:r w:rsidR="001C3C79">
        <w:t xml:space="preserve"> </w:t>
      </w:r>
      <w:r>
        <w:t>Justice</w:t>
      </w:r>
      <w:r w:rsidR="001C3C79">
        <w:t xml:space="preserve"> </w:t>
      </w:r>
      <w:r>
        <w:t>and</w:t>
      </w:r>
      <w:r w:rsidR="001C3C79">
        <w:t xml:space="preserve"> </w:t>
      </w:r>
      <w:r>
        <w:t>Community</w:t>
      </w:r>
      <w:r w:rsidR="001C3C79">
        <w:t xml:space="preserve"> </w:t>
      </w:r>
      <w:r>
        <w:t>Safety</w:t>
      </w:r>
      <w:r w:rsidR="001C3C79">
        <w:t xml:space="preserve"> </w:t>
      </w:r>
      <w:r>
        <w:t>Annual</w:t>
      </w:r>
      <w:r w:rsidR="001C3C79">
        <w:t xml:space="preserve"> </w:t>
      </w:r>
      <w:r>
        <w:t>Report.</w:t>
      </w:r>
    </w:p>
    <w:p w14:paraId="1B9AAE0B" w14:textId="4986D3B6" w:rsidR="00A66C4F" w:rsidRDefault="00A66C4F" w:rsidP="004D56A7">
      <w:pPr>
        <w:pStyle w:val="BodyText"/>
      </w:pPr>
      <w:r>
        <w:t>Where</w:t>
      </w:r>
      <w:r w:rsidR="001C3C79">
        <w:t xml:space="preserve"> </w:t>
      </w:r>
      <w:r>
        <w:t>a</w:t>
      </w:r>
      <w:r w:rsidR="001C3C79">
        <w:t xml:space="preserve"> </w:t>
      </w:r>
      <w:r>
        <w:t>trust</w:t>
      </w:r>
      <w:r w:rsidR="001C3C79">
        <w:t xml:space="preserve"> </w:t>
      </w:r>
      <w:r>
        <w:t>fund</w:t>
      </w:r>
      <w:r w:rsidR="001C3C79">
        <w:t xml:space="preserve"> </w:t>
      </w:r>
      <w:r>
        <w:t>does</w:t>
      </w:r>
      <w:r w:rsidR="001C3C79">
        <w:t xml:space="preserve"> </w:t>
      </w:r>
      <w:r>
        <w:t>not</w:t>
      </w:r>
      <w:r w:rsidR="001C3C79">
        <w:t xml:space="preserve"> </w:t>
      </w:r>
      <w:r>
        <w:t>have</w:t>
      </w:r>
      <w:r w:rsidR="001C3C79">
        <w:t xml:space="preserve"> </w:t>
      </w:r>
      <w:r>
        <w:t>sufficient</w:t>
      </w:r>
      <w:r w:rsidR="001C3C79">
        <w:t xml:space="preserve"> </w:t>
      </w:r>
      <w:r>
        <w:t>funds</w:t>
      </w:r>
      <w:r w:rsidR="001C3C79">
        <w:t xml:space="preserve"> </w:t>
      </w:r>
      <w:r>
        <w:t>to</w:t>
      </w:r>
      <w:r w:rsidR="001C3C79">
        <w:t xml:space="preserve"> </w:t>
      </w:r>
      <w:r>
        <w:t>support</w:t>
      </w:r>
      <w:r w:rsidR="001C3C79">
        <w:t xml:space="preserve"> </w:t>
      </w:r>
      <w:r>
        <w:t>the</w:t>
      </w:r>
      <w:r w:rsidR="001C3C79">
        <w:t xml:space="preserve"> </w:t>
      </w:r>
      <w:r>
        <w:t>work</w:t>
      </w:r>
      <w:r w:rsidR="001C3C79">
        <w:t xml:space="preserve"> </w:t>
      </w:r>
      <w:r>
        <w:t>relating</w:t>
      </w:r>
      <w:r w:rsidR="001C3C79">
        <w:t xml:space="preserve"> </w:t>
      </w:r>
      <w:r>
        <w:t>to</w:t>
      </w:r>
      <w:r w:rsidR="001C3C79">
        <w:t xml:space="preserve"> </w:t>
      </w:r>
      <w:r>
        <w:t>the</w:t>
      </w:r>
      <w:r w:rsidR="001C3C79">
        <w:t xml:space="preserve"> </w:t>
      </w:r>
      <w:r>
        <w:t>administration</w:t>
      </w:r>
      <w:r w:rsidR="001C3C79">
        <w:t xml:space="preserve"> </w:t>
      </w:r>
      <w:r>
        <w:t>of</w:t>
      </w:r>
      <w:r w:rsidR="001C3C79">
        <w:t xml:space="preserve"> </w:t>
      </w:r>
      <w:r>
        <w:t>the</w:t>
      </w:r>
      <w:r w:rsidR="001C3C79">
        <w:t xml:space="preserve"> </w:t>
      </w:r>
      <w:r>
        <w:t>relevant</w:t>
      </w:r>
      <w:r w:rsidR="001C3C79">
        <w:t xml:space="preserve"> </w:t>
      </w:r>
      <w:r>
        <w:t>Act,</w:t>
      </w:r>
      <w:r w:rsidR="001C3C79">
        <w:t xml:space="preserve"> </w:t>
      </w:r>
      <w:r>
        <w:t>we</w:t>
      </w:r>
      <w:r w:rsidR="001C3C79">
        <w:t xml:space="preserve"> </w:t>
      </w:r>
      <w:r>
        <w:t>will</w:t>
      </w:r>
      <w:r w:rsidR="001C3C79">
        <w:t xml:space="preserve"> </w:t>
      </w:r>
      <w:r>
        <w:t>sometimes</w:t>
      </w:r>
      <w:r w:rsidR="001C3C79">
        <w:t xml:space="preserve"> </w:t>
      </w:r>
      <w:r>
        <w:t>supplement</w:t>
      </w:r>
      <w:r w:rsidR="001C3C79">
        <w:t xml:space="preserve"> </w:t>
      </w:r>
      <w:r>
        <w:t>the</w:t>
      </w:r>
      <w:r w:rsidR="001C3C79">
        <w:t xml:space="preserve"> </w:t>
      </w:r>
      <w:r>
        <w:t>trust</w:t>
      </w:r>
      <w:r w:rsidR="001C3C79">
        <w:t xml:space="preserve"> </w:t>
      </w:r>
      <w:r>
        <w:t>fund</w:t>
      </w:r>
      <w:r w:rsidR="001C3C79">
        <w:t xml:space="preserve"> </w:t>
      </w:r>
      <w:r>
        <w:t>with</w:t>
      </w:r>
      <w:r w:rsidR="001C3C79">
        <w:t xml:space="preserve"> </w:t>
      </w:r>
      <w:r>
        <w:t>the</w:t>
      </w:r>
      <w:r w:rsidR="001C3C79">
        <w:t xml:space="preserve"> </w:t>
      </w:r>
      <w:r>
        <w:t>necessary</w:t>
      </w:r>
      <w:r w:rsidR="001C3C79">
        <w:t xml:space="preserve"> </w:t>
      </w:r>
      <w:r>
        <w:t>funding</w:t>
      </w:r>
      <w:r w:rsidR="001C3C79">
        <w:t xml:space="preserve"> </w:t>
      </w:r>
      <w:r>
        <w:t>from</w:t>
      </w:r>
      <w:r w:rsidR="001C3C79">
        <w:t xml:space="preserve"> </w:t>
      </w:r>
      <w:r>
        <w:t>appropriations.</w:t>
      </w:r>
    </w:p>
    <w:p w14:paraId="5474CA8D" w14:textId="77777777" w:rsidR="00767BD4" w:rsidRDefault="00767BD4" w:rsidP="004D56A7">
      <w:pPr>
        <w:pStyle w:val="BodyText"/>
      </w:pPr>
    </w:p>
    <w:p w14:paraId="74671F50" w14:textId="77777777" w:rsidR="00B65A4B" w:rsidRDefault="00B65A4B" w:rsidP="00BB1C65">
      <w:pPr>
        <w:pStyle w:val="Heading2"/>
        <w:sectPr w:rsidR="00B65A4B" w:rsidSect="00B65A4B">
          <w:footnotePr>
            <w:pos w:val="beneathText"/>
            <w:numRestart w:val="eachPage"/>
          </w:footnotePr>
          <w:pgSz w:w="23814" w:h="16840" w:orient="landscape" w:code="9"/>
          <w:pgMar w:top="1418" w:right="1418" w:bottom="1134" w:left="1418" w:header="510" w:footer="510" w:gutter="0"/>
          <w:cols w:space="708"/>
          <w:docGrid w:linePitch="360"/>
        </w:sectPr>
      </w:pPr>
    </w:p>
    <w:p w14:paraId="6F571F56" w14:textId="77777777" w:rsidR="00132675" w:rsidRDefault="00132675" w:rsidP="00132675">
      <w:pPr>
        <w:pStyle w:val="Heading2"/>
      </w:pPr>
      <w:bookmarkStart w:id="24" w:name="_Toc55998367"/>
      <w:r>
        <w:lastRenderedPageBreak/>
        <w:t>Acts and regulations administered by CAV: passed, commenced and revoked in 2019–20</w:t>
      </w:r>
      <w:bookmarkEnd w:id="24"/>
    </w:p>
    <w:p w14:paraId="7C5A0F37" w14:textId="77777777" w:rsidR="00132675" w:rsidRDefault="00132675" w:rsidP="00132675">
      <w:pPr>
        <w:pStyle w:val="Heading3"/>
      </w:pPr>
      <w:bookmarkStart w:id="25" w:name="_Toc55998368"/>
      <w:r>
        <w:t>Acts passed</w:t>
      </w:r>
      <w:bookmarkEnd w:id="25"/>
    </w:p>
    <w:tbl>
      <w:tblPr>
        <w:tblStyle w:val="TableGrid"/>
        <w:tblW w:w="0" w:type="auto"/>
        <w:tblLayout w:type="fixed"/>
        <w:tblLook w:val="06A0" w:firstRow="1" w:lastRow="0" w:firstColumn="1" w:lastColumn="0" w:noHBand="1" w:noVBand="1"/>
      </w:tblPr>
      <w:tblGrid>
        <w:gridCol w:w="7483"/>
        <w:gridCol w:w="2155"/>
      </w:tblGrid>
      <w:tr w:rsidR="00132675" w14:paraId="29CF36BB" w14:textId="77777777" w:rsidTr="00DA50C0">
        <w:trPr>
          <w:cnfStyle w:val="100000000000" w:firstRow="1" w:lastRow="0" w:firstColumn="0" w:lastColumn="0" w:oddVBand="0" w:evenVBand="0" w:oddHBand="0" w:evenHBand="0" w:firstRowFirstColumn="0" w:firstRowLastColumn="0" w:lastRowFirstColumn="0" w:lastRowLastColumn="0"/>
          <w:trHeight w:val="68"/>
          <w:tblHeader/>
        </w:trPr>
        <w:tc>
          <w:tcPr>
            <w:tcW w:w="7483" w:type="dxa"/>
          </w:tcPr>
          <w:p w14:paraId="26069D41" w14:textId="77777777" w:rsidR="00132675" w:rsidRDefault="00132675" w:rsidP="00DA50C0">
            <w:pPr>
              <w:pStyle w:val="TableColHead"/>
            </w:pPr>
            <w:r>
              <w:t>Name</w:t>
            </w:r>
          </w:p>
        </w:tc>
        <w:tc>
          <w:tcPr>
            <w:tcW w:w="2155" w:type="dxa"/>
          </w:tcPr>
          <w:p w14:paraId="66CB8C38" w14:textId="77777777" w:rsidR="00132675" w:rsidRDefault="00132675" w:rsidP="00DA50C0">
            <w:pPr>
              <w:pStyle w:val="TableColHead"/>
            </w:pPr>
            <w:r>
              <w:t>Date of royal assent</w:t>
            </w:r>
          </w:p>
        </w:tc>
      </w:tr>
      <w:tr w:rsidR="00132675" w14:paraId="24FDD3C6" w14:textId="77777777" w:rsidTr="00DA50C0">
        <w:trPr>
          <w:trHeight w:val="68"/>
        </w:trPr>
        <w:tc>
          <w:tcPr>
            <w:tcW w:w="7483" w:type="dxa"/>
          </w:tcPr>
          <w:p w14:paraId="0D737D7A" w14:textId="77777777" w:rsidR="00132675" w:rsidRPr="009F0D4B" w:rsidRDefault="00132675" w:rsidP="00DA50C0">
            <w:pPr>
              <w:pStyle w:val="TableText"/>
              <w:rPr>
                <w:rStyle w:val="Emphasis"/>
              </w:rPr>
            </w:pPr>
            <w:r w:rsidRPr="009F0D4B">
              <w:rPr>
                <w:rStyle w:val="Emphasis"/>
              </w:rPr>
              <w:t>Consumer Legislation Amendment Act 2019</w:t>
            </w:r>
          </w:p>
        </w:tc>
        <w:tc>
          <w:tcPr>
            <w:tcW w:w="2155" w:type="dxa"/>
          </w:tcPr>
          <w:p w14:paraId="22A1671F" w14:textId="77777777" w:rsidR="00132675" w:rsidRDefault="00132675" w:rsidP="00DA50C0">
            <w:pPr>
              <w:pStyle w:val="TableText"/>
            </w:pPr>
            <w:r>
              <w:t>3 December 2019</w:t>
            </w:r>
          </w:p>
        </w:tc>
      </w:tr>
    </w:tbl>
    <w:p w14:paraId="38B21FA8" w14:textId="77777777" w:rsidR="00132675" w:rsidRDefault="00132675" w:rsidP="00132675">
      <w:pPr>
        <w:pStyle w:val="Heading3"/>
      </w:pPr>
      <w:bookmarkStart w:id="26" w:name="_Toc55998369"/>
      <w:r>
        <w:t>Regulations commenced</w:t>
      </w:r>
      <w:bookmarkEnd w:id="26"/>
    </w:p>
    <w:tbl>
      <w:tblPr>
        <w:tblStyle w:val="TableGrid"/>
        <w:tblW w:w="0" w:type="auto"/>
        <w:tblLayout w:type="fixed"/>
        <w:tblLook w:val="06A0" w:firstRow="1" w:lastRow="0" w:firstColumn="1" w:lastColumn="0" w:noHBand="1" w:noVBand="1"/>
      </w:tblPr>
      <w:tblGrid>
        <w:gridCol w:w="7483"/>
        <w:gridCol w:w="2155"/>
      </w:tblGrid>
      <w:tr w:rsidR="00132675" w14:paraId="05D62FF8" w14:textId="77777777" w:rsidTr="00DA50C0">
        <w:trPr>
          <w:cnfStyle w:val="100000000000" w:firstRow="1" w:lastRow="0" w:firstColumn="0" w:lastColumn="0" w:oddVBand="0" w:evenVBand="0" w:oddHBand="0" w:evenHBand="0" w:firstRowFirstColumn="0" w:firstRowLastColumn="0" w:lastRowFirstColumn="0" w:lastRowLastColumn="0"/>
          <w:trHeight w:val="68"/>
          <w:tblHeader/>
        </w:trPr>
        <w:tc>
          <w:tcPr>
            <w:tcW w:w="7483" w:type="dxa"/>
          </w:tcPr>
          <w:p w14:paraId="247549DF" w14:textId="77777777" w:rsidR="00132675" w:rsidRDefault="00132675" w:rsidP="00DA50C0">
            <w:pPr>
              <w:pStyle w:val="TableColHead"/>
            </w:pPr>
            <w:r>
              <w:t>Name</w:t>
            </w:r>
          </w:p>
        </w:tc>
        <w:tc>
          <w:tcPr>
            <w:tcW w:w="2155" w:type="dxa"/>
          </w:tcPr>
          <w:p w14:paraId="429FC1AF" w14:textId="77777777" w:rsidR="00132675" w:rsidRDefault="00132675" w:rsidP="00DA50C0">
            <w:pPr>
              <w:pStyle w:val="TableColHead"/>
            </w:pPr>
            <w:r>
              <w:t>Date commenced</w:t>
            </w:r>
          </w:p>
        </w:tc>
      </w:tr>
      <w:tr w:rsidR="00132675" w14:paraId="14C31C75" w14:textId="77777777" w:rsidTr="00DA50C0">
        <w:trPr>
          <w:trHeight w:val="68"/>
        </w:trPr>
        <w:tc>
          <w:tcPr>
            <w:tcW w:w="7483" w:type="dxa"/>
          </w:tcPr>
          <w:p w14:paraId="04FAE4F6" w14:textId="77777777" w:rsidR="00132675" w:rsidRDefault="00132675" w:rsidP="00DA50C0">
            <w:pPr>
              <w:pStyle w:val="TableText"/>
            </w:pPr>
            <w:r>
              <w:t>Residential Tenancies (Specialist Disability Accommodation) Regulations 2019</w:t>
            </w:r>
          </w:p>
        </w:tc>
        <w:tc>
          <w:tcPr>
            <w:tcW w:w="2155" w:type="dxa"/>
          </w:tcPr>
          <w:p w14:paraId="282E56C2" w14:textId="77777777" w:rsidR="00132675" w:rsidRDefault="00132675" w:rsidP="00DA50C0">
            <w:pPr>
              <w:pStyle w:val="TableText"/>
            </w:pPr>
            <w:r>
              <w:t>27 August 2019</w:t>
            </w:r>
          </w:p>
        </w:tc>
      </w:tr>
      <w:tr w:rsidR="00132675" w14:paraId="01A961AD" w14:textId="77777777" w:rsidTr="00DA50C0">
        <w:trPr>
          <w:trHeight w:val="68"/>
        </w:trPr>
        <w:tc>
          <w:tcPr>
            <w:tcW w:w="7483" w:type="dxa"/>
          </w:tcPr>
          <w:p w14:paraId="1C276F07" w14:textId="77777777" w:rsidR="00132675" w:rsidRDefault="00132675" w:rsidP="00DA50C0">
            <w:pPr>
              <w:pStyle w:val="TableText"/>
            </w:pPr>
            <w:r>
              <w:t>Estate Agents (Education) Interim Regulations 2019</w:t>
            </w:r>
          </w:p>
        </w:tc>
        <w:tc>
          <w:tcPr>
            <w:tcW w:w="2155" w:type="dxa"/>
          </w:tcPr>
          <w:p w14:paraId="2FDB0DB3" w14:textId="77777777" w:rsidR="00132675" w:rsidRDefault="00132675" w:rsidP="00DA50C0">
            <w:pPr>
              <w:pStyle w:val="TableText"/>
            </w:pPr>
            <w:r>
              <w:t>23 October 2019</w:t>
            </w:r>
          </w:p>
        </w:tc>
      </w:tr>
      <w:tr w:rsidR="00132675" w14:paraId="5B5A290B" w14:textId="77777777" w:rsidTr="00DA50C0">
        <w:trPr>
          <w:trHeight w:val="68"/>
        </w:trPr>
        <w:tc>
          <w:tcPr>
            <w:tcW w:w="7483" w:type="dxa"/>
          </w:tcPr>
          <w:p w14:paraId="5A14CE90" w14:textId="77777777" w:rsidR="00132675" w:rsidRDefault="00132675" w:rsidP="00DA50C0">
            <w:pPr>
              <w:pStyle w:val="TableText"/>
            </w:pPr>
            <w:r>
              <w:t>Second-Hand Dealers and Pawnbrokers (Fees) Regulations 2019</w:t>
            </w:r>
          </w:p>
        </w:tc>
        <w:tc>
          <w:tcPr>
            <w:tcW w:w="2155" w:type="dxa"/>
          </w:tcPr>
          <w:p w14:paraId="6B45444D" w14:textId="77777777" w:rsidR="00132675" w:rsidRDefault="00132675" w:rsidP="00DA50C0">
            <w:pPr>
              <w:pStyle w:val="TableText"/>
            </w:pPr>
            <w:r>
              <w:t>23 November 2019</w:t>
            </w:r>
          </w:p>
        </w:tc>
      </w:tr>
      <w:tr w:rsidR="00132675" w14:paraId="46D0AB31" w14:textId="77777777" w:rsidTr="00DA50C0">
        <w:trPr>
          <w:trHeight w:val="68"/>
        </w:trPr>
        <w:tc>
          <w:tcPr>
            <w:tcW w:w="7483" w:type="dxa"/>
          </w:tcPr>
          <w:p w14:paraId="2CE57A91" w14:textId="77777777" w:rsidR="00132675" w:rsidRDefault="00132675" w:rsidP="00DA50C0">
            <w:pPr>
              <w:pStyle w:val="TableText"/>
            </w:pPr>
            <w:r>
              <w:t>Sale of Land (Exemption) Regulations 2020</w:t>
            </w:r>
          </w:p>
        </w:tc>
        <w:tc>
          <w:tcPr>
            <w:tcW w:w="2155" w:type="dxa"/>
          </w:tcPr>
          <w:p w14:paraId="7A9BD1E8" w14:textId="77777777" w:rsidR="00132675" w:rsidRDefault="00132675" w:rsidP="00DA50C0">
            <w:pPr>
              <w:pStyle w:val="TableText"/>
            </w:pPr>
            <w:r>
              <w:t>1 March 2020</w:t>
            </w:r>
          </w:p>
        </w:tc>
      </w:tr>
      <w:tr w:rsidR="00132675" w14:paraId="3559ABE2" w14:textId="77777777" w:rsidTr="00DA50C0">
        <w:trPr>
          <w:trHeight w:val="68"/>
        </w:trPr>
        <w:tc>
          <w:tcPr>
            <w:tcW w:w="7483" w:type="dxa"/>
          </w:tcPr>
          <w:p w14:paraId="4E443EA8" w14:textId="77777777" w:rsidR="00132675" w:rsidRDefault="00132675" w:rsidP="00DA50C0">
            <w:pPr>
              <w:pStyle w:val="TableText"/>
            </w:pPr>
            <w:r>
              <w:t>Residential Tenancies (COVID-19 Emergency Measures) Regulations 2020</w:t>
            </w:r>
          </w:p>
        </w:tc>
        <w:tc>
          <w:tcPr>
            <w:tcW w:w="2155" w:type="dxa"/>
          </w:tcPr>
          <w:p w14:paraId="2B24944A" w14:textId="77777777" w:rsidR="00132675" w:rsidRDefault="00132675" w:rsidP="00DA50C0">
            <w:pPr>
              <w:pStyle w:val="TableText"/>
            </w:pPr>
            <w:r>
              <w:t>12 May 2020</w:t>
            </w:r>
          </w:p>
        </w:tc>
      </w:tr>
      <w:tr w:rsidR="00132675" w14:paraId="116C534A" w14:textId="77777777" w:rsidTr="00DA50C0">
        <w:trPr>
          <w:trHeight w:val="68"/>
        </w:trPr>
        <w:tc>
          <w:tcPr>
            <w:tcW w:w="7483" w:type="dxa"/>
          </w:tcPr>
          <w:p w14:paraId="4C23BE24" w14:textId="77777777" w:rsidR="00132675" w:rsidRDefault="00132675" w:rsidP="00DA50C0">
            <w:pPr>
              <w:pStyle w:val="TableText"/>
            </w:pPr>
            <w:r>
              <w:t>Sex Work (Fees) (Amendment) (Refunds) Regulations 2020</w:t>
            </w:r>
          </w:p>
        </w:tc>
        <w:tc>
          <w:tcPr>
            <w:tcW w:w="2155" w:type="dxa"/>
          </w:tcPr>
          <w:p w14:paraId="12423808" w14:textId="77777777" w:rsidR="00132675" w:rsidRDefault="00132675" w:rsidP="00DA50C0">
            <w:pPr>
              <w:pStyle w:val="TableText"/>
            </w:pPr>
            <w:r>
              <w:t>16 June 2020</w:t>
            </w:r>
          </w:p>
        </w:tc>
      </w:tr>
    </w:tbl>
    <w:p w14:paraId="03C40332" w14:textId="77777777" w:rsidR="00132675" w:rsidRDefault="00132675" w:rsidP="00132675">
      <w:pPr>
        <w:pStyle w:val="Heading3"/>
      </w:pPr>
      <w:bookmarkStart w:id="27" w:name="_Toc55998370"/>
      <w:r>
        <w:t>Regulations revoked</w:t>
      </w:r>
      <w:bookmarkEnd w:id="27"/>
    </w:p>
    <w:p w14:paraId="11BB4951" w14:textId="77777777" w:rsidR="00132675" w:rsidRDefault="00132675" w:rsidP="00132675">
      <w:pPr>
        <w:pStyle w:val="BodyText"/>
      </w:pPr>
      <w:r>
        <w:t>No regulations were revoked in 2019–20.</w:t>
      </w:r>
    </w:p>
    <w:p w14:paraId="58F86C16" w14:textId="77777777" w:rsidR="00132675" w:rsidRDefault="00132675" w:rsidP="00132675">
      <w:pPr>
        <w:pStyle w:val="Heading2"/>
      </w:pPr>
      <w:bookmarkStart w:id="28" w:name="_Toc55998371"/>
      <w:r>
        <w:lastRenderedPageBreak/>
        <w:t>Appendix</w:t>
      </w:r>
      <w:bookmarkEnd w:id="28"/>
    </w:p>
    <w:p w14:paraId="4D5762A8" w14:textId="40C546AD" w:rsidR="00132675" w:rsidRPr="009F0D4B" w:rsidRDefault="00132675" w:rsidP="00211EFF">
      <w:pPr>
        <w:pStyle w:val="BodyText"/>
        <w:spacing w:before="120" w:after="120"/>
        <w:rPr>
          <w:rStyle w:val="Strong"/>
        </w:rPr>
      </w:pPr>
      <w:r w:rsidRPr="009F0D4B">
        <w:rPr>
          <w:rStyle w:val="Strong"/>
        </w:rPr>
        <w:t xml:space="preserve">The list below details the legislation administered by Consumer Affairs Victoria </w:t>
      </w:r>
      <w:r w:rsidR="009F0D4B">
        <w:rPr>
          <w:rStyle w:val="Strong"/>
        </w:rPr>
        <w:br/>
      </w:r>
      <w:r w:rsidRPr="009F0D4B">
        <w:rPr>
          <w:rStyle w:val="Strong"/>
        </w:rPr>
        <w:t xml:space="preserve">as </w:t>
      </w:r>
      <w:proofErr w:type="gramStart"/>
      <w:r w:rsidRPr="009F0D4B">
        <w:rPr>
          <w:rStyle w:val="Strong"/>
        </w:rPr>
        <w:t>at</w:t>
      </w:r>
      <w:proofErr w:type="gramEnd"/>
      <w:r w:rsidRPr="009F0D4B">
        <w:rPr>
          <w:rStyle w:val="Strong"/>
        </w:rPr>
        <w:t xml:space="preserve"> 30 June 2020:</w:t>
      </w:r>
    </w:p>
    <w:p w14:paraId="2C7098A1" w14:textId="77777777" w:rsidR="00132675" w:rsidRPr="009F0D4B" w:rsidRDefault="00132675" w:rsidP="00211EFF">
      <w:pPr>
        <w:pStyle w:val="BodyText"/>
        <w:spacing w:before="120" w:after="120"/>
        <w:rPr>
          <w:rStyle w:val="Emphasis"/>
        </w:rPr>
      </w:pPr>
      <w:r w:rsidRPr="009F0D4B">
        <w:rPr>
          <w:rStyle w:val="Emphasis"/>
        </w:rPr>
        <w:t>Associations Incorporation Reform Act 2012</w:t>
      </w:r>
    </w:p>
    <w:p w14:paraId="769C2AE8" w14:textId="77777777" w:rsidR="00132675" w:rsidRPr="009F0D4B" w:rsidRDefault="00132675" w:rsidP="00211EFF">
      <w:pPr>
        <w:pStyle w:val="BodyText"/>
        <w:spacing w:before="120" w:after="120"/>
        <w:rPr>
          <w:rStyle w:val="Emphasis"/>
        </w:rPr>
      </w:pPr>
      <w:r w:rsidRPr="009F0D4B">
        <w:rPr>
          <w:rStyle w:val="Emphasis"/>
        </w:rPr>
        <w:t xml:space="preserve">Australian Consumer Law and </w:t>
      </w:r>
      <w:proofErr w:type="gramStart"/>
      <w:r w:rsidRPr="009F0D4B">
        <w:rPr>
          <w:rStyle w:val="Emphasis"/>
        </w:rPr>
        <w:t>Fair Trading</w:t>
      </w:r>
      <w:proofErr w:type="gramEnd"/>
      <w:r w:rsidRPr="009F0D4B">
        <w:rPr>
          <w:rStyle w:val="Emphasis"/>
        </w:rPr>
        <w:t xml:space="preserve"> Act 2012</w:t>
      </w:r>
    </w:p>
    <w:p w14:paraId="6026FEFD" w14:textId="77777777" w:rsidR="00132675" w:rsidRPr="009F0D4B" w:rsidRDefault="00132675" w:rsidP="00211EFF">
      <w:pPr>
        <w:pStyle w:val="BodyText"/>
        <w:spacing w:before="120" w:after="120"/>
        <w:rPr>
          <w:rStyle w:val="Emphasis"/>
        </w:rPr>
      </w:pPr>
      <w:r w:rsidRPr="009F0D4B">
        <w:rPr>
          <w:rStyle w:val="Emphasis"/>
        </w:rPr>
        <w:t>Business Licensing Authority Act 1998</w:t>
      </w:r>
    </w:p>
    <w:p w14:paraId="531121BA" w14:textId="77777777" w:rsidR="00132675" w:rsidRPr="009F0D4B" w:rsidRDefault="00132675" w:rsidP="00211EFF">
      <w:pPr>
        <w:pStyle w:val="BodyText"/>
        <w:spacing w:before="120" w:after="120"/>
        <w:rPr>
          <w:rStyle w:val="Emphasis"/>
        </w:rPr>
      </w:pPr>
      <w:r w:rsidRPr="009F0D4B">
        <w:rPr>
          <w:rStyle w:val="Emphasis"/>
        </w:rPr>
        <w:t>Business Names (Commonwealth Powers) Act 2011</w:t>
      </w:r>
    </w:p>
    <w:p w14:paraId="5347B309" w14:textId="77777777" w:rsidR="00132675" w:rsidRPr="009F0D4B" w:rsidRDefault="00132675" w:rsidP="00211EFF">
      <w:pPr>
        <w:pStyle w:val="BodyText"/>
        <w:spacing w:before="120" w:after="120"/>
        <w:rPr>
          <w:rStyle w:val="Emphasis"/>
        </w:rPr>
      </w:pPr>
      <w:r w:rsidRPr="009F0D4B">
        <w:rPr>
          <w:rStyle w:val="Emphasis"/>
        </w:rPr>
        <w:t>Chattel Securities Act 1987 Company Titles (Home Units) Act 2013</w:t>
      </w:r>
    </w:p>
    <w:p w14:paraId="00AC51A4" w14:textId="77777777" w:rsidR="00132675" w:rsidRPr="009F0D4B" w:rsidRDefault="00132675" w:rsidP="00211EFF">
      <w:pPr>
        <w:pStyle w:val="BodyText"/>
        <w:spacing w:before="120" w:after="120"/>
        <w:rPr>
          <w:rStyle w:val="Emphasis"/>
        </w:rPr>
      </w:pPr>
      <w:r w:rsidRPr="009F0D4B">
        <w:rPr>
          <w:rStyle w:val="Emphasis"/>
        </w:rPr>
        <w:t>Consumer Credit (Victoria) Act 1995</w:t>
      </w:r>
    </w:p>
    <w:p w14:paraId="6DC4AD3C" w14:textId="77777777" w:rsidR="00132675" w:rsidRPr="009F0D4B" w:rsidRDefault="00132675" w:rsidP="00211EFF">
      <w:pPr>
        <w:pStyle w:val="BodyText"/>
        <w:spacing w:before="120" w:after="120"/>
        <w:rPr>
          <w:rStyle w:val="Emphasis"/>
        </w:rPr>
      </w:pPr>
      <w:r w:rsidRPr="009F0D4B">
        <w:rPr>
          <w:rStyle w:val="Emphasis"/>
        </w:rPr>
        <w:t>Conveyancers Act 2006</w:t>
      </w:r>
    </w:p>
    <w:p w14:paraId="2D36BA87" w14:textId="77777777" w:rsidR="00132675" w:rsidRPr="009F0D4B" w:rsidRDefault="00132675" w:rsidP="00211EFF">
      <w:pPr>
        <w:pStyle w:val="BodyText"/>
        <w:spacing w:before="120" w:after="120"/>
        <w:rPr>
          <w:rStyle w:val="Emphasis"/>
        </w:rPr>
      </w:pPr>
      <w:r w:rsidRPr="009F0D4B">
        <w:rPr>
          <w:rStyle w:val="Emphasis"/>
        </w:rPr>
        <w:t>Co-operatives National Law Application Act 2013</w:t>
      </w:r>
    </w:p>
    <w:p w14:paraId="279EA96E" w14:textId="77777777" w:rsidR="00132675" w:rsidRPr="009F0D4B" w:rsidRDefault="00132675" w:rsidP="00211EFF">
      <w:pPr>
        <w:pStyle w:val="BodyText"/>
        <w:spacing w:before="120" w:after="120"/>
        <w:rPr>
          <w:rStyle w:val="Emphasis"/>
        </w:rPr>
      </w:pPr>
      <w:r w:rsidRPr="009F0D4B">
        <w:rPr>
          <w:rStyle w:val="Emphasis"/>
        </w:rPr>
        <w:t>Co-operatives National Law (Victoria)</w:t>
      </w:r>
    </w:p>
    <w:p w14:paraId="0CD6B961" w14:textId="77777777" w:rsidR="00132675" w:rsidRPr="009F0D4B" w:rsidRDefault="00132675" w:rsidP="00211EFF">
      <w:pPr>
        <w:pStyle w:val="BodyText"/>
        <w:spacing w:before="120" w:after="120"/>
        <w:rPr>
          <w:rStyle w:val="Emphasis"/>
        </w:rPr>
      </w:pPr>
      <w:r w:rsidRPr="009F0D4B">
        <w:rPr>
          <w:rStyle w:val="Emphasis"/>
        </w:rPr>
        <w:t>Credit Act 1984</w:t>
      </w:r>
    </w:p>
    <w:p w14:paraId="24927E9B" w14:textId="77777777" w:rsidR="00132675" w:rsidRPr="009F0D4B" w:rsidRDefault="00132675" w:rsidP="00211EFF">
      <w:pPr>
        <w:pStyle w:val="BodyText"/>
        <w:spacing w:before="120" w:after="120"/>
        <w:rPr>
          <w:rStyle w:val="Emphasis"/>
        </w:rPr>
      </w:pPr>
      <w:r w:rsidRPr="009F0D4B">
        <w:rPr>
          <w:rStyle w:val="Emphasis"/>
        </w:rPr>
        <w:t>Credit (Administration) Act 1984</w:t>
      </w:r>
    </w:p>
    <w:p w14:paraId="230FB4E9" w14:textId="77777777" w:rsidR="00132675" w:rsidRPr="009F0D4B" w:rsidRDefault="00132675" w:rsidP="00211EFF">
      <w:pPr>
        <w:pStyle w:val="BodyText"/>
        <w:spacing w:before="120" w:after="120"/>
        <w:rPr>
          <w:rStyle w:val="Emphasis"/>
        </w:rPr>
      </w:pPr>
      <w:r w:rsidRPr="009F0D4B">
        <w:rPr>
          <w:rStyle w:val="Emphasis"/>
        </w:rPr>
        <w:t>Credit (Commonwealth Powers) Act 2010</w:t>
      </w:r>
    </w:p>
    <w:p w14:paraId="2C9C15C1" w14:textId="77777777" w:rsidR="00132675" w:rsidRPr="009F0D4B" w:rsidRDefault="00132675" w:rsidP="00211EFF">
      <w:pPr>
        <w:pStyle w:val="BodyText"/>
        <w:spacing w:before="120" w:after="120"/>
      </w:pPr>
      <w:r w:rsidRPr="009F0D4B">
        <w:rPr>
          <w:rStyle w:val="Emphasis"/>
        </w:rPr>
        <w:t>Domestic Building Contracts Act 1995</w:t>
      </w:r>
      <w:r w:rsidRPr="009F0D4B">
        <w:t xml:space="preserve"> – except Part 5 (administered by the Attorney</w:t>
      </w:r>
      <w:r w:rsidRPr="009F0D4B">
        <w:rPr>
          <w:rFonts w:ascii="Cambria Math" w:hAnsi="Cambria Math" w:cs="Cambria Math"/>
        </w:rPr>
        <w:t>‑</w:t>
      </w:r>
      <w:r w:rsidRPr="009F0D4B">
        <w:t>General)</w:t>
      </w:r>
    </w:p>
    <w:p w14:paraId="7AFB4F0C" w14:textId="77777777" w:rsidR="00132675" w:rsidRPr="009F0D4B" w:rsidRDefault="00132675" w:rsidP="00211EFF">
      <w:pPr>
        <w:pStyle w:val="BodyText"/>
        <w:spacing w:before="120" w:after="120"/>
        <w:rPr>
          <w:rStyle w:val="Emphasis"/>
        </w:rPr>
      </w:pPr>
      <w:r w:rsidRPr="009F0D4B">
        <w:rPr>
          <w:rStyle w:val="Emphasis"/>
        </w:rPr>
        <w:t>Estate Agents Act 1980</w:t>
      </w:r>
    </w:p>
    <w:p w14:paraId="16147992" w14:textId="77777777" w:rsidR="00132675" w:rsidRPr="009F0D4B" w:rsidRDefault="00132675" w:rsidP="00211EFF">
      <w:pPr>
        <w:pStyle w:val="BodyText"/>
        <w:spacing w:before="120" w:after="120"/>
        <w:rPr>
          <w:rStyle w:val="Emphasis"/>
        </w:rPr>
      </w:pPr>
      <w:r w:rsidRPr="009F0D4B">
        <w:rPr>
          <w:rStyle w:val="Emphasis"/>
        </w:rPr>
        <w:t>Fundraising Act 1998</w:t>
      </w:r>
    </w:p>
    <w:p w14:paraId="2A889368" w14:textId="77777777" w:rsidR="00132675" w:rsidRPr="009F0D4B" w:rsidRDefault="00132675" w:rsidP="00211EFF">
      <w:pPr>
        <w:pStyle w:val="BodyText"/>
        <w:spacing w:before="120" w:after="120"/>
        <w:rPr>
          <w:rStyle w:val="Emphasis"/>
        </w:rPr>
      </w:pPr>
      <w:r w:rsidRPr="009F0D4B">
        <w:rPr>
          <w:rStyle w:val="Emphasis"/>
        </w:rPr>
        <w:t>Funerals Act 2006</w:t>
      </w:r>
    </w:p>
    <w:p w14:paraId="548BCD8E" w14:textId="77777777" w:rsidR="00132675" w:rsidRPr="009F0D4B" w:rsidRDefault="00132675" w:rsidP="00211EFF">
      <w:pPr>
        <w:pStyle w:val="BodyText"/>
        <w:spacing w:before="120" w:after="120"/>
        <w:rPr>
          <w:rStyle w:val="Emphasis"/>
        </w:rPr>
      </w:pPr>
      <w:r w:rsidRPr="009F0D4B">
        <w:rPr>
          <w:rStyle w:val="Emphasis"/>
        </w:rPr>
        <w:t>Goods Act 1958</w:t>
      </w:r>
    </w:p>
    <w:p w14:paraId="12599316" w14:textId="77777777" w:rsidR="00132675" w:rsidRPr="009F0D4B" w:rsidRDefault="00132675" w:rsidP="00211EFF">
      <w:pPr>
        <w:pStyle w:val="BodyText"/>
        <w:spacing w:before="120" w:after="120"/>
        <w:rPr>
          <w:rStyle w:val="Emphasis"/>
        </w:rPr>
      </w:pPr>
      <w:r w:rsidRPr="009F0D4B">
        <w:rPr>
          <w:rStyle w:val="Emphasis"/>
        </w:rPr>
        <w:t>Motor Car Traders Act 1986</w:t>
      </w:r>
    </w:p>
    <w:p w14:paraId="116C65F2" w14:textId="77777777" w:rsidR="00132675" w:rsidRPr="009F0D4B" w:rsidRDefault="00132675" w:rsidP="00211EFF">
      <w:pPr>
        <w:pStyle w:val="BodyText"/>
        <w:spacing w:before="120" w:after="120"/>
        <w:rPr>
          <w:rStyle w:val="Emphasis"/>
        </w:rPr>
      </w:pPr>
      <w:r w:rsidRPr="009F0D4B">
        <w:rPr>
          <w:rStyle w:val="Emphasis"/>
        </w:rPr>
        <w:t>Owners Corporations Act 2006</w:t>
      </w:r>
    </w:p>
    <w:p w14:paraId="068FBC2D" w14:textId="77777777" w:rsidR="00132675" w:rsidRPr="009F0D4B" w:rsidRDefault="00132675" w:rsidP="00211EFF">
      <w:pPr>
        <w:pStyle w:val="BodyText"/>
        <w:spacing w:before="120" w:after="120"/>
        <w:rPr>
          <w:rStyle w:val="Emphasis"/>
        </w:rPr>
      </w:pPr>
      <w:r w:rsidRPr="009F0D4B">
        <w:rPr>
          <w:rStyle w:val="Emphasis"/>
        </w:rPr>
        <w:t>Partnership Act 1958</w:t>
      </w:r>
    </w:p>
    <w:p w14:paraId="5332B3DB" w14:textId="77777777" w:rsidR="00132675" w:rsidRPr="009F0D4B" w:rsidRDefault="00132675" w:rsidP="00211EFF">
      <w:pPr>
        <w:pStyle w:val="BodyText"/>
        <w:spacing w:before="120" w:after="120"/>
        <w:rPr>
          <w:rStyle w:val="Emphasis"/>
        </w:rPr>
      </w:pPr>
      <w:r w:rsidRPr="009F0D4B">
        <w:rPr>
          <w:rStyle w:val="Emphasis"/>
        </w:rPr>
        <w:t>Residential Tenancies Act 1997:</w:t>
      </w:r>
    </w:p>
    <w:p w14:paraId="5B2ACA86" w14:textId="77777777" w:rsidR="00132675" w:rsidRDefault="00132675" w:rsidP="009860BF">
      <w:pPr>
        <w:pStyle w:val="ListBullet"/>
        <w:ind w:left="714"/>
      </w:pPr>
      <w:r>
        <w:t>Sections 23A–25, 27, 32, 33, 45–48, 74–77, 82, 90, 91, 91A, 102, 102A, 103, 104(1), 104(4), 104(5), 104(6), 105(2), 105(2A), 105(3), 124, 128, 130–134, 141–142B, 142D–212, 213AA–215, 230, 232–234, 241, 277, 289A, 291–327, 329–333, 335–339, 341, 343–366, 373–376, 385, 388, 388A, 390, 390A, 395–398, 399A-439M, 480, 486–499, 501–504, 505A–5I0C and 511</w:t>
      </w:r>
    </w:p>
    <w:p w14:paraId="13A85B16" w14:textId="77777777" w:rsidR="00132675" w:rsidRDefault="00132675" w:rsidP="009860BF">
      <w:pPr>
        <w:pStyle w:val="ListBullet"/>
        <w:ind w:left="714"/>
      </w:pPr>
      <w:r>
        <w:t>Section 66(1) jointly administered with Minister for Housing</w:t>
      </w:r>
    </w:p>
    <w:p w14:paraId="3CBB1DC1" w14:textId="77777777" w:rsidR="00132675" w:rsidRDefault="00132675" w:rsidP="009860BF">
      <w:pPr>
        <w:pStyle w:val="ListBullet"/>
        <w:ind w:left="714"/>
      </w:pPr>
      <w:r>
        <w:t>Section 142C jointly and severally administered with the Minister for Housing</w:t>
      </w:r>
    </w:p>
    <w:p w14:paraId="717148E1" w14:textId="77777777" w:rsidR="00132675" w:rsidRDefault="00132675" w:rsidP="009860BF">
      <w:pPr>
        <w:pStyle w:val="ListBullet"/>
        <w:ind w:left="714"/>
      </w:pPr>
      <w:r>
        <w:t>Part 12A and section 511 jointly and severally administered with the Minister for Disability, Ageing and Carers, and the Minister for Housing</w:t>
      </w:r>
    </w:p>
    <w:p w14:paraId="2205E2CA" w14:textId="77777777" w:rsidR="00132675" w:rsidRDefault="00132675" w:rsidP="009860BF">
      <w:pPr>
        <w:pStyle w:val="ListBullet"/>
        <w:ind w:left="714"/>
      </w:pPr>
      <w:r>
        <w:t>The RTA is otherwise administered by the Attorney General, Minister for Housing and the Minister for Planning.</w:t>
      </w:r>
    </w:p>
    <w:p w14:paraId="56DA2D62" w14:textId="77777777" w:rsidR="00132675" w:rsidRPr="009F0D4B" w:rsidRDefault="00132675" w:rsidP="00211EFF">
      <w:pPr>
        <w:pStyle w:val="BodyText"/>
        <w:spacing w:before="120" w:after="120"/>
        <w:rPr>
          <w:rStyle w:val="Emphasis"/>
        </w:rPr>
      </w:pPr>
      <w:r w:rsidRPr="009F0D4B">
        <w:rPr>
          <w:rStyle w:val="Emphasis"/>
        </w:rPr>
        <w:lastRenderedPageBreak/>
        <w:t>Retirement Villages Act 1986</w:t>
      </w:r>
    </w:p>
    <w:p w14:paraId="0B0BE5D1" w14:textId="77777777" w:rsidR="00132675" w:rsidRPr="009F0D4B" w:rsidRDefault="00132675" w:rsidP="00211EFF">
      <w:pPr>
        <w:pStyle w:val="BodyText"/>
        <w:spacing w:before="120" w:after="120"/>
        <w:rPr>
          <w:rStyle w:val="Emphasis"/>
        </w:rPr>
      </w:pPr>
      <w:r w:rsidRPr="009F0D4B">
        <w:rPr>
          <w:rStyle w:val="Emphasis"/>
        </w:rPr>
        <w:t>Rooming House Operators Act 2016</w:t>
      </w:r>
    </w:p>
    <w:p w14:paraId="627C34E7" w14:textId="77777777" w:rsidR="00132675" w:rsidRPr="009F0D4B" w:rsidRDefault="00132675" w:rsidP="00211EFF">
      <w:pPr>
        <w:pStyle w:val="BodyText"/>
        <w:spacing w:before="120" w:after="120"/>
        <w:rPr>
          <w:rStyle w:val="Emphasis"/>
        </w:rPr>
      </w:pPr>
      <w:r w:rsidRPr="009F0D4B">
        <w:rPr>
          <w:rStyle w:val="Emphasis"/>
        </w:rPr>
        <w:t>Sale of Land Act 1962</w:t>
      </w:r>
    </w:p>
    <w:p w14:paraId="520661AD" w14:textId="77777777" w:rsidR="00132675" w:rsidRPr="009F0D4B" w:rsidRDefault="00132675" w:rsidP="00211EFF">
      <w:pPr>
        <w:pStyle w:val="BodyText"/>
        <w:spacing w:before="120" w:after="120"/>
        <w:rPr>
          <w:rStyle w:val="Emphasis"/>
        </w:rPr>
      </w:pPr>
      <w:r w:rsidRPr="009F0D4B">
        <w:rPr>
          <w:rStyle w:val="Emphasis"/>
        </w:rPr>
        <w:t>Second-Hand Dealers and Pawnbrokers Act 1989</w:t>
      </w:r>
    </w:p>
    <w:p w14:paraId="59DE08EE" w14:textId="77777777" w:rsidR="00132675" w:rsidRPr="009F0D4B" w:rsidRDefault="00132675" w:rsidP="00211EFF">
      <w:pPr>
        <w:pStyle w:val="BodyText"/>
        <w:spacing w:before="120" w:after="120"/>
        <w:rPr>
          <w:rStyle w:val="Emphasis"/>
        </w:rPr>
      </w:pPr>
      <w:r w:rsidRPr="009F0D4B">
        <w:rPr>
          <w:rStyle w:val="Emphasis"/>
        </w:rPr>
        <w:t>Sex Work Act 1994</w:t>
      </w:r>
    </w:p>
    <w:p w14:paraId="36097F8F" w14:textId="77777777" w:rsidR="00132675" w:rsidRPr="009F0D4B" w:rsidRDefault="00132675" w:rsidP="00211EFF">
      <w:pPr>
        <w:pStyle w:val="BodyText"/>
        <w:spacing w:before="120" w:after="120"/>
        <w:rPr>
          <w:rStyle w:val="Emphasis"/>
        </w:rPr>
      </w:pPr>
      <w:r w:rsidRPr="009F0D4B">
        <w:rPr>
          <w:rStyle w:val="Emphasis"/>
        </w:rPr>
        <w:t>Subdivision Act 1988:</w:t>
      </w:r>
    </w:p>
    <w:p w14:paraId="256F5669" w14:textId="77777777" w:rsidR="00132675" w:rsidRDefault="00132675" w:rsidP="009860BF">
      <w:pPr>
        <w:pStyle w:val="ListBullet"/>
        <w:ind w:left="714"/>
      </w:pPr>
      <w:r>
        <w:t>Part 5</w:t>
      </w:r>
    </w:p>
    <w:p w14:paraId="3B52BC3B" w14:textId="77777777" w:rsidR="00132675" w:rsidRDefault="00132675" w:rsidP="009860BF">
      <w:pPr>
        <w:pStyle w:val="ListBullet"/>
        <w:ind w:left="714"/>
      </w:pPr>
      <w:r>
        <w:t>Section 43 (insofar as it relates to part 5)</w:t>
      </w:r>
    </w:p>
    <w:p w14:paraId="700C0536" w14:textId="77777777" w:rsidR="00132675" w:rsidRDefault="00132675" w:rsidP="009860BF">
      <w:pPr>
        <w:pStyle w:val="ListBullet"/>
        <w:ind w:left="714"/>
      </w:pPr>
      <w:r>
        <w:t>The Act is otherwise administered by the Minister for Planning.</w:t>
      </w:r>
    </w:p>
    <w:p w14:paraId="1830EA65" w14:textId="77777777" w:rsidR="00132675" w:rsidRPr="009F0D4B" w:rsidRDefault="00132675" w:rsidP="00211EFF">
      <w:pPr>
        <w:pStyle w:val="BodyText"/>
        <w:spacing w:before="120" w:after="120"/>
        <w:rPr>
          <w:rStyle w:val="Emphasis"/>
        </w:rPr>
      </w:pPr>
      <w:r w:rsidRPr="009F0D4B">
        <w:rPr>
          <w:rStyle w:val="Emphasis"/>
        </w:rPr>
        <w:t>Travel Agents Repeal Act 2014</w:t>
      </w:r>
    </w:p>
    <w:p w14:paraId="279CEF3F" w14:textId="77777777" w:rsidR="00132675" w:rsidRPr="009F0D4B" w:rsidRDefault="00132675" w:rsidP="00211EFF">
      <w:pPr>
        <w:pStyle w:val="BodyText"/>
        <w:spacing w:before="120" w:after="120"/>
        <w:rPr>
          <w:rStyle w:val="Emphasis"/>
        </w:rPr>
      </w:pPr>
      <w:r w:rsidRPr="009F0D4B">
        <w:rPr>
          <w:rStyle w:val="Emphasis"/>
        </w:rPr>
        <w:t>Veterans Act 2005:</w:t>
      </w:r>
    </w:p>
    <w:p w14:paraId="4A931376" w14:textId="77777777" w:rsidR="00132675" w:rsidRDefault="00132675" w:rsidP="009860BF">
      <w:pPr>
        <w:pStyle w:val="ListBullet"/>
        <w:ind w:left="714"/>
      </w:pPr>
      <w:r>
        <w:t>Part 4 (the Act is otherwise administered by the Minister for Veterans).</w:t>
      </w:r>
    </w:p>
    <w:p w14:paraId="075E6BF7" w14:textId="77777777" w:rsidR="00132675" w:rsidRPr="009F0D4B" w:rsidRDefault="00132675" w:rsidP="00211EFF">
      <w:pPr>
        <w:pStyle w:val="BodyText"/>
        <w:spacing w:before="120" w:after="120"/>
        <w:rPr>
          <w:rStyle w:val="Emphasis"/>
        </w:rPr>
      </w:pPr>
      <w:r w:rsidRPr="009F0D4B">
        <w:rPr>
          <w:rStyle w:val="Emphasis"/>
        </w:rPr>
        <w:t>Warehousemen’s Liens Act 1958</w:t>
      </w:r>
    </w:p>
    <w:p w14:paraId="4C608AE4" w14:textId="77777777" w:rsidR="00132675" w:rsidRDefault="00132675" w:rsidP="00132675">
      <w:pPr>
        <w:spacing w:after="0" w:line="240" w:lineRule="auto"/>
        <w:rPr>
          <w:rFonts w:ascii="Arial" w:eastAsia="Times New Roman" w:hAnsi="Arial" w:cs="Arial"/>
          <w:sz w:val="20"/>
          <w:szCs w:val="24"/>
        </w:rPr>
      </w:pPr>
      <w:r>
        <w:br w:type="page"/>
      </w:r>
    </w:p>
    <w:p w14:paraId="2EBD3475" w14:textId="77777777" w:rsidR="00132675" w:rsidRDefault="00132675" w:rsidP="00132675">
      <w:pPr>
        <w:pStyle w:val="BodyText"/>
      </w:pPr>
      <w:r>
        <w:lastRenderedPageBreak/>
        <w:t>Consumer Affairs Victoria (part of the Department of Justice and Community Safety) acknowledges the Aboriginal and Torres Strait Islander people as the Traditional Custodians of the land. The department also acknowledges and pays respect to their Elders, past and present. Authorised and published by the Victorian Government, 1 Treasury Place, Melbourne.</w:t>
      </w:r>
    </w:p>
    <w:p w14:paraId="2B922800" w14:textId="77777777" w:rsidR="00132675" w:rsidRDefault="00132675" w:rsidP="00132675">
      <w:pPr>
        <w:pStyle w:val="BodyText"/>
      </w:pPr>
      <w:r>
        <w:t>October 2020</w:t>
      </w:r>
    </w:p>
    <w:p w14:paraId="21154405" w14:textId="77777777" w:rsidR="00132675" w:rsidRDefault="00132675" w:rsidP="00132675">
      <w:pPr>
        <w:pStyle w:val="BodyText"/>
      </w:pPr>
      <w:r>
        <w:t>ISSN 2209-5489</w:t>
      </w:r>
    </w:p>
    <w:p w14:paraId="47DF3A40" w14:textId="77777777" w:rsidR="00132675" w:rsidRDefault="00132675" w:rsidP="00132675">
      <w:pPr>
        <w:pStyle w:val="BodyText"/>
      </w:pPr>
      <w:r>
        <w:t>Unless indicated otherwise, this work is made available under the terms of the Creative Commons Attribution 4.0 International licence.</w:t>
      </w:r>
    </w:p>
    <w:p w14:paraId="59CA7932" w14:textId="63334DC3" w:rsidR="00132675" w:rsidRDefault="00132675" w:rsidP="00132675">
      <w:pPr>
        <w:pStyle w:val="BodyText"/>
      </w:pPr>
      <w:r>
        <w:t xml:space="preserve">To view a copy of this licence, visit </w:t>
      </w:r>
      <w:r w:rsidR="00D31BFE">
        <w:t xml:space="preserve">the </w:t>
      </w:r>
      <w:hyperlink r:id="rId17" w:history="1">
        <w:r w:rsidR="00D31BFE" w:rsidRPr="00D31BFE">
          <w:rPr>
            <w:rStyle w:val="Hyperlink"/>
          </w:rPr>
          <w:t>Creative Commons website</w:t>
        </w:r>
      </w:hyperlink>
      <w:r w:rsidR="00D31BFE">
        <w:t xml:space="preserve"> &lt;</w:t>
      </w:r>
      <w:r>
        <w:t>creativecommons.org/licenses/by/4.0</w:t>
      </w:r>
      <w:r w:rsidR="00D31BFE">
        <w:t>&gt;.</w:t>
      </w:r>
    </w:p>
    <w:p w14:paraId="47986C19" w14:textId="77777777" w:rsidR="00132675" w:rsidRDefault="00132675" w:rsidP="00132675">
      <w:pPr>
        <w:pStyle w:val="BodyText"/>
      </w:pPr>
      <w:r>
        <w:t>It is a condition of this Creative Commons Attribution 4.0 Licence that you give credit to the original author, who is the State of Victoria.</w:t>
      </w:r>
    </w:p>
    <w:p w14:paraId="3D77DB5E" w14:textId="77777777" w:rsidR="00132675" w:rsidRPr="00211EFF" w:rsidRDefault="00132675" w:rsidP="00D31BFE">
      <w:pPr>
        <w:pStyle w:val="Heading2"/>
        <w:pageBreakBefore w:val="0"/>
        <w:spacing w:before="320" w:after="80"/>
        <w:rPr>
          <w:rStyle w:val="Strong"/>
          <w:sz w:val="24"/>
          <w:szCs w:val="24"/>
        </w:rPr>
      </w:pPr>
      <w:bookmarkStart w:id="29" w:name="_Toc55998372"/>
      <w:r w:rsidRPr="00211EFF">
        <w:rPr>
          <w:rStyle w:val="Strong"/>
          <w:sz w:val="24"/>
          <w:szCs w:val="24"/>
        </w:rPr>
        <w:t>Accessibility</w:t>
      </w:r>
      <w:bookmarkEnd w:id="29"/>
    </w:p>
    <w:p w14:paraId="3A276849" w14:textId="423B1C77" w:rsidR="00132675" w:rsidRDefault="00132675" w:rsidP="00132675">
      <w:pPr>
        <w:pStyle w:val="BodyText"/>
      </w:pPr>
      <w:r>
        <w:t xml:space="preserve">If you would like to receive this publication in an accessible format, please visit </w:t>
      </w:r>
      <w:r w:rsidR="00D31BFE">
        <w:t xml:space="preserve">the </w:t>
      </w:r>
      <w:hyperlink r:id="rId18" w:history="1">
        <w:r w:rsidR="00D31BFE" w:rsidRPr="00D31BFE">
          <w:rPr>
            <w:rStyle w:val="Hyperlink"/>
          </w:rPr>
          <w:t xml:space="preserve">Consumer </w:t>
        </w:r>
        <w:proofErr w:type="spellStart"/>
        <w:r w:rsidR="00D31BFE" w:rsidRPr="00D31BFE">
          <w:rPr>
            <w:rStyle w:val="Hyperlink"/>
          </w:rPr>
          <w:t>Affaris</w:t>
        </w:r>
        <w:proofErr w:type="spellEnd"/>
        <w:r w:rsidR="00D31BFE" w:rsidRPr="00D31BFE">
          <w:rPr>
            <w:rStyle w:val="Hyperlink"/>
          </w:rPr>
          <w:t xml:space="preserve"> Victoria website</w:t>
        </w:r>
      </w:hyperlink>
      <w:r w:rsidR="00D31BFE">
        <w:t xml:space="preserve"> &lt;</w:t>
      </w:r>
      <w:r>
        <w:t>consumer.vic.gov.au</w:t>
      </w:r>
      <w:r w:rsidR="00D31BFE">
        <w:t>&gt;.</w:t>
      </w:r>
    </w:p>
    <w:p w14:paraId="14D888C5" w14:textId="77777777" w:rsidR="00132675" w:rsidRDefault="00132675" w:rsidP="00132675">
      <w:pPr>
        <w:pStyle w:val="BodyText"/>
      </w:pPr>
      <w:r>
        <w:t>Ordered to be published</w:t>
      </w:r>
    </w:p>
    <w:p w14:paraId="5203B5A6" w14:textId="77777777" w:rsidR="00132675" w:rsidRDefault="00132675" w:rsidP="00132675">
      <w:pPr>
        <w:pStyle w:val="BodyText"/>
      </w:pPr>
      <w:r>
        <w:t xml:space="preserve">Victorian Government Printer </w:t>
      </w:r>
      <w:r>
        <w:br/>
        <w:t>October 2020</w:t>
      </w:r>
      <w:r>
        <w:br/>
        <w:t>PP 162, Session 2018-2020</w:t>
      </w:r>
    </w:p>
    <w:p w14:paraId="735C711A" w14:textId="77777777" w:rsidR="00132675" w:rsidRDefault="00132675" w:rsidP="00132675">
      <w:pPr>
        <w:spacing w:after="0" w:line="240" w:lineRule="auto"/>
        <w:rPr>
          <w:rFonts w:ascii="Arial" w:eastAsia="Times New Roman" w:hAnsi="Arial" w:cs="Arial"/>
          <w:sz w:val="20"/>
          <w:szCs w:val="24"/>
        </w:rPr>
      </w:pPr>
      <w:r>
        <w:br w:type="page"/>
      </w:r>
    </w:p>
    <w:p w14:paraId="524B7D82" w14:textId="001C8317" w:rsidR="00A41E9C" w:rsidRDefault="00A41E9C" w:rsidP="00A41E9C">
      <w:pPr>
        <w:pStyle w:val="Heading2"/>
      </w:pPr>
      <w:bookmarkStart w:id="30" w:name="_Toc55998373"/>
      <w:r>
        <w:lastRenderedPageBreak/>
        <w:t>Consumer</w:t>
      </w:r>
      <w:r w:rsidR="001C3C79">
        <w:t xml:space="preserve"> </w:t>
      </w:r>
      <w:r>
        <w:t>Affairs</w:t>
      </w:r>
      <w:r w:rsidR="001C3C79">
        <w:t xml:space="preserve"> </w:t>
      </w:r>
      <w:r>
        <w:t>Victoria</w:t>
      </w:r>
      <w:bookmarkEnd w:id="30"/>
    </w:p>
    <w:p w14:paraId="351AD359" w14:textId="17AC1BDB" w:rsidR="00A41E9C" w:rsidRDefault="00575E00" w:rsidP="00A41E9C">
      <w:pPr>
        <w:pStyle w:val="BodyText"/>
      </w:pPr>
      <w:hyperlink r:id="rId19" w:history="1">
        <w:r w:rsidR="00A41E9C" w:rsidRPr="004746BC">
          <w:rPr>
            <w:rStyle w:val="Hyperlink"/>
          </w:rPr>
          <w:t>Consumer</w:t>
        </w:r>
        <w:r w:rsidR="001C3C79">
          <w:rPr>
            <w:rStyle w:val="Hyperlink"/>
          </w:rPr>
          <w:t xml:space="preserve"> </w:t>
        </w:r>
        <w:r w:rsidR="00A41E9C" w:rsidRPr="004746BC">
          <w:rPr>
            <w:rStyle w:val="Hyperlink"/>
          </w:rPr>
          <w:t>Affairs</w:t>
        </w:r>
        <w:r w:rsidR="001C3C79">
          <w:rPr>
            <w:rStyle w:val="Hyperlink"/>
          </w:rPr>
          <w:t xml:space="preserve"> </w:t>
        </w:r>
        <w:r w:rsidR="00A41E9C" w:rsidRPr="004746BC">
          <w:rPr>
            <w:rStyle w:val="Hyperlink"/>
          </w:rPr>
          <w:t>Victoria</w:t>
        </w:r>
        <w:r w:rsidR="001C3C79">
          <w:rPr>
            <w:rStyle w:val="Hyperlink"/>
          </w:rPr>
          <w:t xml:space="preserve"> </w:t>
        </w:r>
        <w:r w:rsidR="00A41E9C" w:rsidRPr="004746BC">
          <w:rPr>
            <w:rStyle w:val="Hyperlink"/>
          </w:rPr>
          <w:t>website</w:t>
        </w:r>
      </w:hyperlink>
      <w:r w:rsidR="001C3C79">
        <w:t xml:space="preserve"> </w:t>
      </w:r>
      <w:r w:rsidR="00A41E9C">
        <w:t>&lt;consumer.vic.gov.au&gt;</w:t>
      </w:r>
    </w:p>
    <w:p w14:paraId="612ABF1E" w14:textId="40B560D9" w:rsidR="00A41E9C" w:rsidRPr="0098392C" w:rsidRDefault="00575E00" w:rsidP="00A41E9C">
      <w:pPr>
        <w:pStyle w:val="BodyText"/>
      </w:pPr>
      <w:hyperlink r:id="rId20" w:history="1">
        <w:r w:rsidR="00A41E9C">
          <w:rPr>
            <w:rStyle w:val="Hyperlink"/>
            <w:lang w:val="en-GB"/>
          </w:rPr>
          <w:t>Facebook</w:t>
        </w:r>
        <w:r w:rsidR="001C3C79">
          <w:rPr>
            <w:rStyle w:val="Hyperlink"/>
            <w:lang w:val="en-GB"/>
          </w:rPr>
          <w:t xml:space="preserve"> </w:t>
        </w:r>
        <w:r w:rsidR="00A41E9C">
          <w:rPr>
            <w:rStyle w:val="Hyperlink"/>
            <w:lang w:val="en-GB"/>
          </w:rPr>
          <w:t>page</w:t>
        </w:r>
        <w:r w:rsidR="001C3C79">
          <w:rPr>
            <w:rStyle w:val="Hyperlink"/>
            <w:lang w:val="en-GB"/>
          </w:rPr>
          <w:t xml:space="preserve"> </w:t>
        </w:r>
        <w:r w:rsidR="00A41E9C">
          <w:rPr>
            <w:rStyle w:val="Hyperlink"/>
            <w:lang w:val="en-GB"/>
          </w:rPr>
          <w:t>of</w:t>
        </w:r>
        <w:r w:rsidR="001C3C79">
          <w:rPr>
            <w:rStyle w:val="Hyperlink"/>
            <w:lang w:val="en-GB"/>
          </w:rPr>
          <w:t xml:space="preserve"> </w:t>
        </w:r>
        <w:r w:rsidR="00A41E9C">
          <w:rPr>
            <w:rStyle w:val="Hyperlink"/>
            <w:lang w:val="en-GB"/>
          </w:rPr>
          <w:t>Consumer</w:t>
        </w:r>
        <w:r w:rsidR="001C3C79">
          <w:rPr>
            <w:rStyle w:val="Hyperlink"/>
            <w:lang w:val="en-GB"/>
          </w:rPr>
          <w:t xml:space="preserve"> </w:t>
        </w:r>
        <w:r w:rsidR="00A41E9C">
          <w:rPr>
            <w:rStyle w:val="Hyperlink"/>
            <w:lang w:val="en-GB"/>
          </w:rPr>
          <w:t>Affairs</w:t>
        </w:r>
        <w:r w:rsidR="001C3C79">
          <w:rPr>
            <w:rStyle w:val="Hyperlink"/>
            <w:lang w:val="en-GB"/>
          </w:rPr>
          <w:t xml:space="preserve"> </w:t>
        </w:r>
        <w:r w:rsidR="00A41E9C">
          <w:rPr>
            <w:rStyle w:val="Hyperlink"/>
            <w:lang w:val="en-GB"/>
          </w:rPr>
          <w:t>Victoria</w:t>
        </w:r>
      </w:hyperlink>
      <w:r w:rsidR="001C3C79">
        <w:rPr>
          <w:lang w:val="en-GB"/>
        </w:rPr>
        <w:t xml:space="preserve"> </w:t>
      </w:r>
      <w:r w:rsidR="00A41E9C">
        <w:rPr>
          <w:lang w:val="en-GB"/>
        </w:rPr>
        <w:t>&lt;</w:t>
      </w:r>
      <w:r w:rsidR="00A41E9C" w:rsidRPr="000C3AB6">
        <w:rPr>
          <w:lang w:val="en-GB"/>
        </w:rPr>
        <w:t>facebook.com/</w:t>
      </w:r>
      <w:proofErr w:type="spellStart"/>
      <w:r w:rsidR="00A41E9C" w:rsidRPr="000C3AB6">
        <w:rPr>
          <w:lang w:val="en-GB"/>
        </w:rPr>
        <w:t>ConsumerAffairsVictoria</w:t>
      </w:r>
      <w:proofErr w:type="spellEnd"/>
      <w:r w:rsidR="00A41E9C">
        <w:rPr>
          <w:lang w:val="en-GB"/>
        </w:rPr>
        <w:t>&gt;</w:t>
      </w:r>
    </w:p>
    <w:p w14:paraId="3FF2CE2C" w14:textId="095138D5" w:rsidR="00A41E9C" w:rsidRDefault="00575E00" w:rsidP="00A41E9C">
      <w:pPr>
        <w:pStyle w:val="BodyText"/>
        <w:rPr>
          <w:lang w:val="en-GB"/>
        </w:rPr>
      </w:pPr>
      <w:hyperlink r:id="rId21" w:history="1">
        <w:r w:rsidR="00A41E9C">
          <w:rPr>
            <w:rStyle w:val="Hyperlink"/>
            <w:lang w:val="en-GB"/>
          </w:rPr>
          <w:t>Twitter</w:t>
        </w:r>
        <w:r w:rsidR="001C3C79">
          <w:rPr>
            <w:rStyle w:val="Hyperlink"/>
            <w:lang w:val="en-GB"/>
          </w:rPr>
          <w:t xml:space="preserve"> </w:t>
        </w:r>
        <w:r w:rsidR="00A41E9C">
          <w:rPr>
            <w:rStyle w:val="Hyperlink"/>
            <w:lang w:val="en-GB"/>
          </w:rPr>
          <w:t>page</w:t>
        </w:r>
        <w:r w:rsidR="001C3C79">
          <w:rPr>
            <w:rStyle w:val="Hyperlink"/>
            <w:lang w:val="en-GB"/>
          </w:rPr>
          <w:t xml:space="preserve"> </w:t>
        </w:r>
        <w:r w:rsidR="00A41E9C">
          <w:rPr>
            <w:rStyle w:val="Hyperlink"/>
            <w:lang w:val="en-GB"/>
          </w:rPr>
          <w:t>of</w:t>
        </w:r>
        <w:r w:rsidR="001C3C79">
          <w:rPr>
            <w:rStyle w:val="Hyperlink"/>
            <w:lang w:val="en-GB"/>
          </w:rPr>
          <w:t xml:space="preserve"> </w:t>
        </w:r>
        <w:r w:rsidR="00A41E9C">
          <w:rPr>
            <w:rStyle w:val="Hyperlink"/>
            <w:lang w:val="en-GB"/>
          </w:rPr>
          <w:t>Consumer</w:t>
        </w:r>
        <w:r w:rsidR="001C3C79">
          <w:rPr>
            <w:rStyle w:val="Hyperlink"/>
            <w:lang w:val="en-GB"/>
          </w:rPr>
          <w:t xml:space="preserve"> </w:t>
        </w:r>
        <w:r w:rsidR="00A41E9C">
          <w:rPr>
            <w:rStyle w:val="Hyperlink"/>
            <w:lang w:val="en-GB"/>
          </w:rPr>
          <w:t>Affairs</w:t>
        </w:r>
        <w:r w:rsidR="001C3C79">
          <w:rPr>
            <w:rStyle w:val="Hyperlink"/>
            <w:lang w:val="en-GB"/>
          </w:rPr>
          <w:t xml:space="preserve"> </w:t>
        </w:r>
        <w:r w:rsidR="00A41E9C">
          <w:rPr>
            <w:rStyle w:val="Hyperlink"/>
            <w:lang w:val="en-GB"/>
          </w:rPr>
          <w:t>Victoria</w:t>
        </w:r>
      </w:hyperlink>
      <w:r w:rsidR="001C3C79">
        <w:rPr>
          <w:lang w:val="en-GB"/>
        </w:rPr>
        <w:t xml:space="preserve"> </w:t>
      </w:r>
      <w:r w:rsidR="00A41E9C">
        <w:rPr>
          <w:lang w:val="en-GB"/>
        </w:rPr>
        <w:t>&lt;</w:t>
      </w:r>
      <w:r w:rsidR="00A41E9C" w:rsidRPr="000C3AB6">
        <w:rPr>
          <w:lang w:val="en-GB"/>
        </w:rPr>
        <w:t>twitter.com/</w:t>
      </w:r>
      <w:proofErr w:type="spellStart"/>
      <w:r w:rsidR="00A41E9C" w:rsidRPr="000C3AB6">
        <w:rPr>
          <w:lang w:val="en-GB"/>
        </w:rPr>
        <w:t>consumervic</w:t>
      </w:r>
      <w:proofErr w:type="spellEnd"/>
      <w:r w:rsidR="00A41E9C">
        <w:rPr>
          <w:lang w:val="en-GB"/>
        </w:rPr>
        <w:t>&gt;</w:t>
      </w:r>
    </w:p>
    <w:p w14:paraId="26FCE590" w14:textId="0BFDE83F" w:rsidR="00A66C4F" w:rsidRDefault="00575E00" w:rsidP="00D31BFE">
      <w:pPr>
        <w:pStyle w:val="BodyText"/>
        <w:rPr>
          <w:lang w:val="en-GB"/>
        </w:rPr>
      </w:pPr>
      <w:hyperlink r:id="rId22" w:history="1">
        <w:r w:rsidR="00A41E9C">
          <w:rPr>
            <w:rStyle w:val="Hyperlink"/>
            <w:lang w:val="en-GB"/>
          </w:rPr>
          <w:t>YouTube</w:t>
        </w:r>
        <w:r w:rsidR="001C3C79">
          <w:rPr>
            <w:rStyle w:val="Hyperlink"/>
            <w:lang w:val="en-GB"/>
          </w:rPr>
          <w:t xml:space="preserve"> </w:t>
        </w:r>
        <w:r w:rsidR="00A41E9C">
          <w:rPr>
            <w:rStyle w:val="Hyperlink"/>
            <w:lang w:val="en-GB"/>
          </w:rPr>
          <w:t>page</w:t>
        </w:r>
        <w:r w:rsidR="001C3C79">
          <w:rPr>
            <w:rStyle w:val="Hyperlink"/>
            <w:lang w:val="en-GB"/>
          </w:rPr>
          <w:t xml:space="preserve"> </w:t>
        </w:r>
        <w:r w:rsidR="00A41E9C">
          <w:rPr>
            <w:rStyle w:val="Hyperlink"/>
            <w:lang w:val="en-GB"/>
          </w:rPr>
          <w:t>of</w:t>
        </w:r>
        <w:r w:rsidR="001C3C79">
          <w:rPr>
            <w:rStyle w:val="Hyperlink"/>
            <w:lang w:val="en-GB"/>
          </w:rPr>
          <w:t xml:space="preserve"> </w:t>
        </w:r>
        <w:r w:rsidR="00A41E9C">
          <w:rPr>
            <w:rStyle w:val="Hyperlink"/>
            <w:lang w:val="en-GB"/>
          </w:rPr>
          <w:t>Consumer</w:t>
        </w:r>
        <w:r w:rsidR="001C3C79">
          <w:rPr>
            <w:rStyle w:val="Hyperlink"/>
            <w:lang w:val="en-GB"/>
          </w:rPr>
          <w:t xml:space="preserve"> </w:t>
        </w:r>
        <w:r w:rsidR="00A41E9C">
          <w:rPr>
            <w:rStyle w:val="Hyperlink"/>
            <w:lang w:val="en-GB"/>
          </w:rPr>
          <w:t>Affairs</w:t>
        </w:r>
        <w:r w:rsidR="001C3C79">
          <w:rPr>
            <w:rStyle w:val="Hyperlink"/>
            <w:lang w:val="en-GB"/>
          </w:rPr>
          <w:t xml:space="preserve"> </w:t>
        </w:r>
        <w:r w:rsidR="00A41E9C">
          <w:rPr>
            <w:rStyle w:val="Hyperlink"/>
            <w:lang w:val="en-GB"/>
          </w:rPr>
          <w:t>Victoria</w:t>
        </w:r>
      </w:hyperlink>
      <w:r w:rsidR="001C3C79">
        <w:rPr>
          <w:lang w:val="en-GB"/>
        </w:rPr>
        <w:t xml:space="preserve"> </w:t>
      </w:r>
      <w:r w:rsidR="00A41E9C">
        <w:rPr>
          <w:lang w:val="en-GB"/>
        </w:rPr>
        <w:t>&lt;</w:t>
      </w:r>
      <w:r w:rsidR="00A41E9C" w:rsidRPr="000C3AB6">
        <w:rPr>
          <w:lang w:val="en-GB"/>
        </w:rPr>
        <w:t>youtube.com/</w:t>
      </w:r>
      <w:proofErr w:type="spellStart"/>
      <w:r w:rsidR="00A41E9C" w:rsidRPr="000C3AB6">
        <w:rPr>
          <w:lang w:val="en-GB"/>
        </w:rPr>
        <w:t>consumervic</w:t>
      </w:r>
      <w:proofErr w:type="spellEnd"/>
      <w:r w:rsidR="00A41E9C">
        <w:rPr>
          <w:lang w:val="en-GB"/>
        </w:rPr>
        <w:t>&gt;</w:t>
      </w:r>
    </w:p>
    <w:p w14:paraId="6C8CA174" w14:textId="2395491D" w:rsidR="0027789E" w:rsidRDefault="0027789E" w:rsidP="0027789E">
      <w:pPr>
        <w:pStyle w:val="BodyText"/>
        <w:spacing w:before="10500"/>
        <w:rPr>
          <w:lang w:val="en-GB"/>
        </w:rPr>
      </w:pPr>
      <w:r>
        <w:rPr>
          <w:noProof/>
          <w:lang w:val="en-GB"/>
        </w:rPr>
        <w:drawing>
          <wp:inline distT="0" distB="0" distL="0" distR="0" wp14:anchorId="3122B08F" wp14:editId="73384A16">
            <wp:extent cx="1735200" cy="468000"/>
            <wp:effectExtent l="0" t="0" r="0" b="8255"/>
            <wp:docPr id="3" name="Graphic 3" descr="Victoria State Government Department of Justice and Community 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Victoria State Government Department of Justice and Community Safety"/>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735200" cy="468000"/>
                    </a:xfrm>
                    <a:prstGeom prst="rect">
                      <a:avLst/>
                    </a:prstGeom>
                  </pic:spPr>
                </pic:pic>
              </a:graphicData>
            </a:graphic>
          </wp:inline>
        </w:drawing>
      </w:r>
    </w:p>
    <w:sectPr w:rsidR="0027789E" w:rsidSect="00783BEE">
      <w:footnotePr>
        <w:pos w:val="beneathText"/>
        <w:numRestart w:val="eachPage"/>
      </w:footnotePr>
      <w:pgSz w:w="11906" w:h="16838" w:code="9"/>
      <w:pgMar w:top="1418" w:right="1418" w:bottom="1134" w:left="1418"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FEF4C" w14:textId="77777777" w:rsidR="006F187D" w:rsidRDefault="006F187D" w:rsidP="00C71F11">
      <w:pPr>
        <w:spacing w:after="0" w:line="240" w:lineRule="auto"/>
      </w:pPr>
      <w:r>
        <w:separator/>
      </w:r>
    </w:p>
    <w:p w14:paraId="6BCC1970" w14:textId="77777777" w:rsidR="006F187D" w:rsidRDefault="006F187D"/>
    <w:p w14:paraId="53145404" w14:textId="77777777" w:rsidR="006F187D" w:rsidRDefault="006F187D"/>
    <w:p w14:paraId="2B67FF8B" w14:textId="77777777" w:rsidR="006F187D" w:rsidRDefault="006F187D"/>
    <w:p w14:paraId="3DE7BBCF" w14:textId="77777777" w:rsidR="006F187D" w:rsidRDefault="006F187D"/>
  </w:endnote>
  <w:endnote w:type="continuationSeparator" w:id="0">
    <w:p w14:paraId="5703E0FE" w14:textId="77777777" w:rsidR="006F187D" w:rsidRDefault="006F187D" w:rsidP="00C71F11">
      <w:pPr>
        <w:spacing w:after="0" w:line="240" w:lineRule="auto"/>
      </w:pPr>
      <w:r>
        <w:continuationSeparator/>
      </w:r>
    </w:p>
    <w:p w14:paraId="4ADB47F0" w14:textId="77777777" w:rsidR="006F187D" w:rsidRDefault="006F187D"/>
    <w:p w14:paraId="39C3E3F3" w14:textId="77777777" w:rsidR="006F187D" w:rsidRDefault="006F187D"/>
    <w:p w14:paraId="067C890F" w14:textId="77777777" w:rsidR="006F187D" w:rsidRDefault="006F187D"/>
    <w:p w14:paraId="3602B039" w14:textId="77777777" w:rsidR="006F187D" w:rsidRDefault="006F187D"/>
  </w:endnote>
  <w:endnote w:type="continuationNotice" w:id="1">
    <w:p w14:paraId="606227D0" w14:textId="77777777" w:rsidR="006F187D" w:rsidRDefault="006F187D">
      <w:pPr>
        <w:spacing w:after="0" w:line="240" w:lineRule="auto"/>
      </w:pPr>
    </w:p>
    <w:p w14:paraId="309E404A" w14:textId="77777777" w:rsidR="006F187D" w:rsidRDefault="006F187D"/>
    <w:p w14:paraId="42DC8DBF" w14:textId="77777777" w:rsidR="006F187D" w:rsidRDefault="006F187D"/>
    <w:p w14:paraId="7C2A1C5E" w14:textId="77777777" w:rsidR="006F187D" w:rsidRDefault="006F187D"/>
    <w:p w14:paraId="00A32585" w14:textId="77777777" w:rsidR="006F187D" w:rsidRDefault="006F18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inionPro-Regular">
    <w:panose1 w:val="020B0604020202020204"/>
    <w:charset w:val="4D"/>
    <w:family w:val="auto"/>
    <w:pitch w:val="default"/>
    <w:sig w:usb0="00000003" w:usb1="00000000" w:usb2="00000000" w:usb3="00000000" w:csb0="00000001" w:csb1="00000000"/>
  </w:font>
  <w:font w:name="VIC-Medium">
    <w:altName w:val="VIC"/>
    <w:panose1 w:val="00000600000000000000"/>
    <w:charset w:val="4D"/>
    <w:family w:val="auto"/>
    <w:pitch w:val="default"/>
    <w:sig w:usb0="00000003" w:usb1="00000000" w:usb2="00000000" w:usb3="00000000" w:csb0="00000001" w:csb1="00000000"/>
  </w:font>
  <w:font w:name="VIC-Regular">
    <w:altName w:val="VIC"/>
    <w:panose1 w:val="00000500000000000000"/>
    <w:charset w:val="4D"/>
    <w:family w:val="auto"/>
    <w:pitch w:val="variable"/>
    <w:sig w:usb0="00000007" w:usb1="00000000" w:usb2="00000000" w:usb3="00000000" w:csb0="00000093" w:csb1="00000000"/>
  </w:font>
  <w:font w:name="VIC-SemiBold">
    <w:altName w:val="Courier New"/>
    <w:panose1 w:val="00000700000000000000"/>
    <w:charset w:val="4D"/>
    <w:family w:val="auto"/>
    <w:pitch w:val="variable"/>
    <w:sig w:usb0="00000007" w:usb1="00000000" w:usb2="00000000" w:usb3="00000000" w:csb0="00000093"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FC7D0" w14:textId="55A8B172" w:rsidR="006F187D" w:rsidRDefault="006F187D" w:rsidP="00006DE3">
    <w:pPr>
      <w:pStyle w:val="Footer"/>
    </w:pPr>
    <w:r w:rsidRPr="00783BEE">
      <w:t>Consumer</w:t>
    </w:r>
    <w:r>
      <w:t xml:space="preserve"> </w:t>
    </w:r>
    <w:r w:rsidRPr="00783BEE">
      <w:t>Affairs</w:t>
    </w:r>
    <w:r>
      <w:t xml:space="preserve"> Victoria: Annual Report 2019–20</w:t>
    </w:r>
    <w:r>
      <w:ptab w:relativeTo="margin" w:alignment="right" w:leader="none"/>
    </w:r>
    <w:r w:rsidRPr="00783BEE">
      <w:fldChar w:fldCharType="begin"/>
    </w:r>
    <w:r w:rsidRPr="00783BEE">
      <w:instrText xml:space="preserve"> PAGE   \* MERGEFORMAT </w:instrText>
    </w:r>
    <w:r w:rsidRPr="00783BEE">
      <w:fldChar w:fldCharType="separate"/>
    </w:r>
    <w:r>
      <w:rPr>
        <w:noProof/>
      </w:rPr>
      <w:t>41</w:t>
    </w:r>
    <w:r w:rsidRPr="00783BE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65652" w14:textId="77777777" w:rsidR="006F187D" w:rsidRPr="004D56A7" w:rsidRDefault="006F187D" w:rsidP="00880587">
      <w:pPr>
        <w:spacing w:after="0" w:line="240" w:lineRule="auto"/>
        <w:rPr>
          <w:color w:val="FFFFFF" w:themeColor="background1"/>
          <w:sz w:val="8"/>
          <w:szCs w:val="8"/>
        </w:rPr>
      </w:pPr>
    </w:p>
  </w:footnote>
  <w:footnote w:type="continuationSeparator" w:id="0">
    <w:p w14:paraId="7D728B39" w14:textId="77777777" w:rsidR="006F187D" w:rsidRDefault="006F187D" w:rsidP="00C71F11">
      <w:pPr>
        <w:spacing w:after="0" w:line="240" w:lineRule="auto"/>
      </w:pPr>
      <w:r>
        <w:continuationSeparator/>
      </w:r>
    </w:p>
    <w:p w14:paraId="2E540BA2" w14:textId="77777777" w:rsidR="006F187D" w:rsidRDefault="006F187D"/>
    <w:p w14:paraId="544502F1" w14:textId="77777777" w:rsidR="006F187D" w:rsidRDefault="006F187D"/>
    <w:p w14:paraId="2EBE0AE3" w14:textId="77777777" w:rsidR="006F187D" w:rsidRDefault="006F187D"/>
    <w:p w14:paraId="5935D54E" w14:textId="77777777" w:rsidR="006F187D" w:rsidRDefault="006F187D"/>
  </w:footnote>
  <w:footnote w:type="continuationNotice" w:id="1">
    <w:p w14:paraId="1B519D0B" w14:textId="77777777" w:rsidR="006F187D" w:rsidRDefault="006F187D">
      <w:pPr>
        <w:spacing w:after="0" w:line="240" w:lineRule="auto"/>
      </w:pPr>
    </w:p>
    <w:p w14:paraId="25027D99" w14:textId="77777777" w:rsidR="006F187D" w:rsidRDefault="006F187D"/>
    <w:p w14:paraId="061B29B1" w14:textId="77777777" w:rsidR="006F187D" w:rsidRDefault="006F187D"/>
    <w:p w14:paraId="75742922" w14:textId="77777777" w:rsidR="006F187D" w:rsidRDefault="006F187D"/>
    <w:p w14:paraId="1546F981" w14:textId="77777777" w:rsidR="006F187D" w:rsidRDefault="006F187D"/>
  </w:footnote>
  <w:footnote w:id="2">
    <w:p w14:paraId="73CF23C6" w14:textId="77777777" w:rsidR="006F187D" w:rsidRDefault="006F187D" w:rsidP="00D31BFE">
      <w:pPr>
        <w:pStyle w:val="FootnoteText"/>
      </w:pPr>
      <w:r w:rsidRPr="000F504E">
        <w:footnoteRef/>
      </w:r>
      <w:r w:rsidRPr="000F504E">
        <w:tab/>
      </w:r>
      <w:r>
        <w:t>The actual is lower than the target due to the prioritisation of Residential Tenancies Dispute Resolution Scheme services and the restriction of other telephone-based services put in place as part of the COVID-19 response.</w:t>
      </w:r>
    </w:p>
  </w:footnote>
  <w:footnote w:id="3">
    <w:p w14:paraId="6C9C641B" w14:textId="77777777" w:rsidR="006F187D" w:rsidRDefault="006F187D" w:rsidP="00D31BFE">
      <w:pPr>
        <w:pStyle w:val="FootnoteText"/>
      </w:pPr>
      <w:r w:rsidRPr="000F504E">
        <w:footnoteRef/>
      </w:r>
      <w:r w:rsidRPr="000F504E">
        <w:tab/>
      </w:r>
      <w:r>
        <w:t xml:space="preserve">The actual is higher than the target due to </w:t>
      </w:r>
      <w:proofErr w:type="gramStart"/>
      <w:r>
        <w:t>both</w:t>
      </w:r>
      <w:proofErr w:type="gramEnd"/>
      <w:r>
        <w:t xml:space="preserve"> increased consumer enquires, driven by the rental eviction moratorium, and the restriction of telephone-based services put in place as part of the COVID-19 response.</w:t>
      </w:r>
    </w:p>
  </w:footnote>
  <w:footnote w:id="4">
    <w:p w14:paraId="46B93F58" w14:textId="77777777" w:rsidR="006F187D" w:rsidRDefault="006F187D" w:rsidP="00D31BFE">
      <w:pPr>
        <w:pStyle w:val="FootnoteText"/>
      </w:pPr>
      <w:r w:rsidRPr="000F504E">
        <w:footnoteRef/>
      </w:r>
      <w:r w:rsidRPr="000F504E">
        <w:tab/>
      </w:r>
      <w:r>
        <w:t>The actual is above target, due to the increased numbers of official warnings and infringement notices issued, which has been driven by targeted profiling of businesses. This is notwithstanding a decrease in business activity in the last quarter due to COVID-19 restrictions.</w:t>
      </w:r>
    </w:p>
  </w:footnote>
  <w:footnote w:id="5">
    <w:p w14:paraId="4BBFDD39" w14:textId="77777777" w:rsidR="006F187D" w:rsidRDefault="006F187D" w:rsidP="00D31BFE">
      <w:pPr>
        <w:pStyle w:val="FootnoteText"/>
      </w:pPr>
      <w:r w:rsidRPr="000F504E">
        <w:footnoteRef/>
      </w:r>
      <w:r w:rsidRPr="000F504E">
        <w:tab/>
      </w:r>
      <w:r>
        <w:t>The actual is below target, as increasing client complexity continues to impact on client numbers, with existing clients requiring support for longer periods.</w:t>
      </w:r>
    </w:p>
  </w:footnote>
  <w:footnote w:id="6">
    <w:p w14:paraId="1A96ADC6" w14:textId="77777777" w:rsidR="006F187D" w:rsidRDefault="006F187D" w:rsidP="00D31BFE">
      <w:pPr>
        <w:pStyle w:val="FootnoteText"/>
      </w:pPr>
      <w:r w:rsidRPr="000F504E">
        <w:footnoteRef/>
      </w:r>
      <w:r w:rsidRPr="000F504E">
        <w:tab/>
      </w:r>
      <w:r>
        <w:t>The actual is above target due to unusually high volumes of multiple party and multiple dwelling applications, 602 of which related to one development.</w:t>
      </w:r>
    </w:p>
  </w:footnote>
  <w:footnote w:id="7">
    <w:p w14:paraId="21954525" w14:textId="77777777" w:rsidR="006F187D" w:rsidRDefault="006F187D" w:rsidP="00D31BFE">
      <w:pPr>
        <w:pStyle w:val="FootnoteText"/>
      </w:pPr>
      <w:r w:rsidRPr="000F504E">
        <w:footnoteRef/>
      </w:r>
      <w:r w:rsidRPr="000F504E">
        <w:tab/>
      </w:r>
      <w:r>
        <w:t>The result is the rate of compliance with the following key consumer laws: estate agents and conveyancers trust accounting laws, rooming house gas and electrical safety standards, and residential park legislation.</w:t>
      </w:r>
    </w:p>
  </w:footnote>
  <w:footnote w:id="8">
    <w:p w14:paraId="768A6977" w14:textId="77777777" w:rsidR="006F187D" w:rsidRDefault="006F187D" w:rsidP="00D31BFE">
      <w:pPr>
        <w:pStyle w:val="FootnoteText"/>
      </w:pPr>
      <w:r w:rsidRPr="000F504E">
        <w:footnoteRef/>
      </w:r>
      <w:r w:rsidRPr="000F504E">
        <w:tab/>
      </w:r>
      <w:r>
        <w:t xml:space="preserve">The result is the percentage of completed transactions made within agreed grade-of-service targets. It is calculated based on the average of three types of </w:t>
      </w:r>
      <w:proofErr w:type="gramStart"/>
      <w:r>
        <w:t>service;</w:t>
      </w:r>
      <w:proofErr w:type="gramEnd"/>
      <w:r>
        <w:t xml:space="preserve"> conciliation, registered entities and licensed occupations.</w:t>
      </w:r>
    </w:p>
  </w:footnote>
  <w:footnote w:id="9">
    <w:p w14:paraId="4C03BF7C" w14:textId="5F88DCEF" w:rsidR="00E0324B" w:rsidRDefault="00E0324B" w:rsidP="00E0324B">
      <w:pPr>
        <w:pStyle w:val="FootnoteText"/>
      </w:pPr>
      <w:r w:rsidRPr="000F504E">
        <w:footnoteRef/>
      </w:r>
      <w:r w:rsidRPr="000F504E">
        <w:tab/>
      </w:r>
      <w:r>
        <w:t>The 2019-20 Target Total output cost was amended in January 2021 to correct a transcription error in the version tabled in the Victorian Parliament on 10 December 2020.</w:t>
      </w:r>
    </w:p>
  </w:footnote>
  <w:footnote w:id="10">
    <w:p w14:paraId="36FCEFF2" w14:textId="77777777" w:rsidR="006F187D" w:rsidRDefault="006F187D" w:rsidP="00D31BFE">
      <w:pPr>
        <w:pStyle w:val="FootnoteText"/>
      </w:pPr>
      <w:r w:rsidRPr="00FC56D9">
        <w:footnoteRef/>
      </w:r>
      <w:r w:rsidRPr="00FC56D9">
        <w:tab/>
      </w:r>
      <w:r>
        <w:t>Data in Table 2 varies between years based on our regulatory risk priorities, government policy, the nature of our compliance program and the cyclical nature of our integrated compliance approach.</w:t>
      </w:r>
    </w:p>
  </w:footnote>
  <w:footnote w:id="11">
    <w:p w14:paraId="208DD82E" w14:textId="77777777" w:rsidR="006F187D" w:rsidRDefault="006F187D" w:rsidP="00D31BFE">
      <w:pPr>
        <w:pStyle w:val="FootnoteText"/>
      </w:pPr>
      <w:r w:rsidRPr="00FC56D9">
        <w:footnoteRef/>
      </w:r>
      <w:r w:rsidRPr="00FC56D9">
        <w:tab/>
      </w:r>
      <w:r>
        <w:t>The significant drop in numbers for inspections can be attributed to the inability to conduct on</w:t>
      </w:r>
      <w:r>
        <w:rPr>
          <w:rFonts w:ascii="Cambria Math" w:hAnsi="Cambria Math" w:cs="Cambria Math"/>
        </w:rPr>
        <w:t>‑</w:t>
      </w:r>
      <w:r>
        <w:t>site, in</w:t>
      </w:r>
      <w:r>
        <w:rPr>
          <w:rFonts w:ascii="Cambria Math" w:hAnsi="Cambria Math" w:cs="Cambria Math"/>
        </w:rPr>
        <w:t>‑</w:t>
      </w:r>
      <w:r>
        <w:t>person inspections due to COVID-19.</w:t>
      </w:r>
    </w:p>
  </w:footnote>
  <w:footnote w:id="12">
    <w:p w14:paraId="7CAB1833" w14:textId="77777777" w:rsidR="006F187D" w:rsidRDefault="006F187D" w:rsidP="00D31BFE">
      <w:pPr>
        <w:pStyle w:val="FootnoteText"/>
      </w:pPr>
      <w:r w:rsidRPr="00FC56D9">
        <w:footnoteRef/>
      </w:r>
      <w:r w:rsidRPr="00FC56D9">
        <w:tab/>
      </w:r>
      <w:r>
        <w:t>Measure was not reported on prior to 2018–19.</w:t>
      </w:r>
    </w:p>
  </w:footnote>
  <w:footnote w:id="13">
    <w:p w14:paraId="4ACC6545" w14:textId="77777777" w:rsidR="006F187D" w:rsidRDefault="006F187D" w:rsidP="00D31BFE">
      <w:pPr>
        <w:pStyle w:val="FootnoteText"/>
      </w:pPr>
      <w:r w:rsidRPr="00FC56D9">
        <w:footnoteRef/>
      </w:r>
      <w:r w:rsidRPr="00FC56D9">
        <w:tab/>
      </w:r>
      <w:r>
        <w:t>Calls answered are lower than in 2018–19 due to the prioritisation of the Residential Tenancies Dispute Resolution Scheme and the restriction of other telephone-based services as part of the COVID-19 response.</w:t>
      </w:r>
    </w:p>
  </w:footnote>
  <w:footnote w:id="14">
    <w:p w14:paraId="1E55F4F1" w14:textId="77777777" w:rsidR="006F187D" w:rsidRDefault="006F187D" w:rsidP="00D31BFE">
      <w:pPr>
        <w:pStyle w:val="FootnoteText"/>
      </w:pPr>
      <w:r w:rsidRPr="00FC56D9">
        <w:footnoteRef/>
      </w:r>
      <w:r w:rsidRPr="00FC56D9">
        <w:tab/>
      </w:r>
      <w:r>
        <w:t>The number of disputes finalised is significantly higher than in previous years due to the establishment of the Residential Tenancies Dispute Resolution Scheme.</w:t>
      </w:r>
    </w:p>
  </w:footnote>
  <w:footnote w:id="15">
    <w:p w14:paraId="62A2721A" w14:textId="61587E49" w:rsidR="006F187D" w:rsidRDefault="006F187D" w:rsidP="00D31BFE">
      <w:pPr>
        <w:pStyle w:val="FootnoteText"/>
      </w:pPr>
      <w:r w:rsidRPr="00FC56D9">
        <w:footnoteRef/>
      </w:r>
      <w:r w:rsidRPr="00FC56D9">
        <w:tab/>
      </w:r>
      <w:r>
        <w:t>These figures are higher than in the previous years due to both increased consumer enquiries, driven by the</w:t>
      </w:r>
      <w:r w:rsidR="000965E1">
        <w:t> </w:t>
      </w:r>
      <w:r>
        <w:t>rental eviction moratorium, and the restriction of telephone-based services put in place as part of the COVID-19 response.</w:t>
      </w:r>
    </w:p>
  </w:footnote>
  <w:footnote w:id="16">
    <w:p w14:paraId="0D004443" w14:textId="77777777" w:rsidR="006F187D" w:rsidRDefault="006F187D" w:rsidP="00D31BFE">
      <w:pPr>
        <w:pStyle w:val="FootnoteText"/>
      </w:pPr>
      <w:r w:rsidRPr="00FC56D9">
        <w:footnoteRef/>
      </w:r>
      <w:r w:rsidRPr="00FC56D9">
        <w:tab/>
      </w:r>
      <w:r>
        <w:t>As above</w:t>
      </w:r>
    </w:p>
  </w:footnote>
  <w:footnote w:id="17">
    <w:p w14:paraId="5E4778A2" w14:textId="77777777" w:rsidR="006F187D" w:rsidRDefault="006F187D" w:rsidP="00D31BFE">
      <w:pPr>
        <w:pStyle w:val="FootnoteText"/>
      </w:pPr>
      <w:r w:rsidRPr="00FC56D9">
        <w:footnoteRef/>
      </w:r>
      <w:r w:rsidRPr="00FC56D9">
        <w:tab/>
      </w:r>
      <w:r>
        <w:t xml:space="preserve">YouTube views increased over the year due to </w:t>
      </w:r>
      <w:proofErr w:type="gramStart"/>
      <w:r>
        <w:t>higher than normal</w:t>
      </w:r>
      <w:proofErr w:type="gramEnd"/>
      <w:r>
        <w:t xml:space="preserve"> activity providing education on online scams.</w:t>
      </w:r>
    </w:p>
  </w:footnote>
  <w:footnote w:id="18">
    <w:p w14:paraId="76EBC4D3" w14:textId="77777777" w:rsidR="006F187D" w:rsidRDefault="006F187D" w:rsidP="00D31BFE">
      <w:pPr>
        <w:pStyle w:val="FootnoteText"/>
      </w:pPr>
      <w:r w:rsidRPr="00FC56D9">
        <w:footnoteRef/>
      </w:r>
      <w:r w:rsidRPr="00FC56D9">
        <w:tab/>
      </w:r>
      <w:r>
        <w:t>Community education has been on hold (and remains on hold) during the COVID-19 pandemic so that staff can assist in Residential Tenancies disputes.</w:t>
      </w:r>
    </w:p>
  </w:footnote>
  <w:footnote w:id="19">
    <w:p w14:paraId="4DEADB05" w14:textId="77777777" w:rsidR="006F187D" w:rsidRDefault="006F187D" w:rsidP="00D31BFE">
      <w:pPr>
        <w:pStyle w:val="FootnoteText"/>
      </w:pPr>
      <w:r w:rsidRPr="00FC56D9">
        <w:footnoteRef/>
      </w:r>
      <w:r w:rsidRPr="00FC56D9">
        <w:tab/>
      </w:r>
      <w:r>
        <w:t>This includes both general financial counselling and specialist family violence financial counselling.</w:t>
      </w:r>
    </w:p>
  </w:footnote>
  <w:footnote w:id="20">
    <w:p w14:paraId="45E13F22" w14:textId="77777777" w:rsidR="006F187D" w:rsidRDefault="006F187D" w:rsidP="00D31BFE">
      <w:pPr>
        <w:pStyle w:val="FootnoteText"/>
      </w:pPr>
      <w:r w:rsidRPr="004D56A7">
        <w:footnoteRef/>
      </w:r>
      <w:r w:rsidRPr="004D56A7">
        <w:tab/>
      </w:r>
      <w:r>
        <w:t>The drop in numbers for 2019–20 was caused by the RTBA call queue being closed since March, in response to the COVID-19 pandemic. RTBA enquiries have been addressed via emails and online enquiries.</w:t>
      </w:r>
    </w:p>
  </w:footnote>
  <w:footnote w:id="21">
    <w:p w14:paraId="6D3FDFE7" w14:textId="77777777" w:rsidR="006F187D" w:rsidRDefault="006F187D" w:rsidP="00D31BFE">
      <w:pPr>
        <w:pStyle w:val="FootnoteText"/>
      </w:pPr>
      <w:r w:rsidRPr="004D56A7">
        <w:footnoteRef/>
      </w:r>
      <w:r w:rsidRPr="004D56A7">
        <w:tab/>
      </w:r>
      <w:r>
        <w:t>The drop in numbers for inspections can be attributed to the inability to do on-site, in-person inspections, due to COVID-19 restrictions.</w:t>
      </w:r>
    </w:p>
  </w:footnote>
  <w:footnote w:id="22">
    <w:p w14:paraId="6CE48A48" w14:textId="77777777" w:rsidR="006F187D" w:rsidRDefault="006F187D" w:rsidP="000F504E">
      <w:pPr>
        <w:pStyle w:val="FootnoteText"/>
      </w:pPr>
      <w:r w:rsidRPr="000F504E">
        <w:footnoteRef/>
      </w:r>
      <w:r w:rsidRPr="000F504E">
        <w:tab/>
      </w:r>
      <w:r>
        <w:t>Domestic Building Dispute Levy and Registration Fees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E048E8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C34A50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F4EFE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B20E4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14A9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82BB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ACC6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D6E4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74D7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91A38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916393"/>
    <w:multiLevelType w:val="multilevel"/>
    <w:tmpl w:val="8B9C5D6A"/>
    <w:styleLink w:val="CAVListStyleBullets"/>
    <w:lvl w:ilvl="0">
      <w:start w:val="1"/>
      <w:numFmt w:val="bullet"/>
      <w:lvlText w:val="•"/>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54270D4"/>
    <w:multiLevelType w:val="hybridMultilevel"/>
    <w:tmpl w:val="818EB01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 w15:restartNumberingAfterBreak="0">
    <w:nsid w:val="09065395"/>
    <w:multiLevelType w:val="hybridMultilevel"/>
    <w:tmpl w:val="8348D644"/>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rPr>
        <w:rFont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C106B55"/>
    <w:multiLevelType w:val="hybridMultilevel"/>
    <w:tmpl w:val="B2641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F445F47"/>
    <w:multiLevelType w:val="hybridMultilevel"/>
    <w:tmpl w:val="F880F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5A6114"/>
    <w:multiLevelType w:val="hybridMultilevel"/>
    <w:tmpl w:val="AE403FA6"/>
    <w:lvl w:ilvl="0" w:tplc="8F74EDB4">
      <w:start w:val="1"/>
      <w:numFmt w:val="bullet"/>
      <w:lvlText w:val=""/>
      <w:lvlJc w:val="left"/>
      <w:pPr>
        <w:tabs>
          <w:tab w:val="num" w:pos="851"/>
        </w:tabs>
        <w:ind w:left="851" w:hanging="284"/>
      </w:pPr>
      <w:rPr>
        <w:rFonts w:ascii="Symbol" w:hAnsi="Symbol" w:hint="default"/>
        <w:b w:val="0"/>
        <w:i w:val="0"/>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A74DF"/>
    <w:multiLevelType w:val="hybridMultilevel"/>
    <w:tmpl w:val="D6A06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7EE46CD"/>
    <w:multiLevelType w:val="hybridMultilevel"/>
    <w:tmpl w:val="5F7CA888"/>
    <w:lvl w:ilvl="0" w:tplc="F8765A4A">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AF73B3E"/>
    <w:multiLevelType w:val="hybridMultilevel"/>
    <w:tmpl w:val="FDE49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0495426"/>
    <w:multiLevelType w:val="hybridMultilevel"/>
    <w:tmpl w:val="1BB8D972"/>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0" w15:restartNumberingAfterBreak="0">
    <w:nsid w:val="22F30DF7"/>
    <w:multiLevelType w:val="hybridMultilevel"/>
    <w:tmpl w:val="F732B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B947FC"/>
    <w:multiLevelType w:val="multilevel"/>
    <w:tmpl w:val="A888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B3190C"/>
    <w:multiLevelType w:val="hybridMultilevel"/>
    <w:tmpl w:val="DF880314"/>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3" w15:restartNumberingAfterBreak="0">
    <w:nsid w:val="32D70CCF"/>
    <w:multiLevelType w:val="hybridMultilevel"/>
    <w:tmpl w:val="4EAEF642"/>
    <w:lvl w:ilvl="0" w:tplc="14E4BDA0">
      <w:start w:val="1"/>
      <w:numFmt w:val="decimal"/>
      <w:lvlText w:val="%1."/>
      <w:lvlJc w:val="left"/>
      <w:pPr>
        <w:ind w:left="397" w:hanging="397"/>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342E13FF"/>
    <w:multiLevelType w:val="hybridMultilevel"/>
    <w:tmpl w:val="3EC21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92785C"/>
    <w:multiLevelType w:val="multilevel"/>
    <w:tmpl w:val="8B96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437DD1"/>
    <w:multiLevelType w:val="hybridMultilevel"/>
    <w:tmpl w:val="134A7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ECE1F1A"/>
    <w:multiLevelType w:val="hybridMultilevel"/>
    <w:tmpl w:val="183E646A"/>
    <w:lvl w:ilvl="0" w:tplc="BC3CCCD8">
      <w:start w:val="1"/>
      <w:numFmt w:val="bullet"/>
      <w:lvlText w:val=""/>
      <w:lvlJc w:val="left"/>
      <w:pPr>
        <w:tabs>
          <w:tab w:val="num" w:pos="360"/>
        </w:tabs>
        <w:ind w:left="227" w:hanging="227"/>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AC733A"/>
    <w:multiLevelType w:val="hybridMultilevel"/>
    <w:tmpl w:val="B5D68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84191D"/>
    <w:multiLevelType w:val="hybridMultilevel"/>
    <w:tmpl w:val="46720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194059E"/>
    <w:multiLevelType w:val="hybridMultilevel"/>
    <w:tmpl w:val="78444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83E28E2"/>
    <w:multiLevelType w:val="hybridMultilevel"/>
    <w:tmpl w:val="9574F4EE"/>
    <w:lvl w:ilvl="0" w:tplc="7548AAB0">
      <w:numFmt w:val="bullet"/>
      <w:lvlText w:val="•"/>
      <w:lvlJc w:val="left"/>
      <w:pPr>
        <w:ind w:left="1080" w:hanging="72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0014BF"/>
    <w:multiLevelType w:val="hybridMultilevel"/>
    <w:tmpl w:val="4C305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012922"/>
    <w:multiLevelType w:val="hybridMultilevel"/>
    <w:tmpl w:val="54B4D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2A6CF6"/>
    <w:multiLevelType w:val="hybridMultilevel"/>
    <w:tmpl w:val="B6D45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FC02C0"/>
    <w:multiLevelType w:val="hybridMultilevel"/>
    <w:tmpl w:val="5058D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6D13DC4"/>
    <w:multiLevelType w:val="hybridMultilevel"/>
    <w:tmpl w:val="AC7A3DA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22"/>
  </w:num>
  <w:num w:numId="4">
    <w:abstractNumId w:val="23"/>
  </w:num>
  <w:num w:numId="5">
    <w:abstractNumId w:val="18"/>
  </w:num>
  <w:num w:numId="6">
    <w:abstractNumId w:val="19"/>
  </w:num>
  <w:num w:numId="7">
    <w:abstractNumId w:val="10"/>
  </w:num>
  <w:num w:numId="8">
    <w:abstractNumId w:val="24"/>
  </w:num>
  <w:num w:numId="9">
    <w:abstractNumId w:val="25"/>
  </w:num>
  <w:num w:numId="10">
    <w:abstractNumId w:val="20"/>
  </w:num>
  <w:num w:numId="11">
    <w:abstractNumId w:val="11"/>
  </w:num>
  <w:num w:numId="12">
    <w:abstractNumId w:val="27"/>
  </w:num>
  <w:num w:numId="13">
    <w:abstractNumId w:val="29"/>
  </w:num>
  <w:num w:numId="14">
    <w:abstractNumId w:val="21"/>
  </w:num>
  <w:num w:numId="15">
    <w:abstractNumId w:val="26"/>
  </w:num>
  <w:num w:numId="16">
    <w:abstractNumId w:val="17"/>
  </w:num>
  <w:num w:numId="17">
    <w:abstractNumId w:val="13"/>
  </w:num>
  <w:num w:numId="18">
    <w:abstractNumId w:val="15"/>
  </w:num>
  <w:num w:numId="19">
    <w:abstractNumId w:val="36"/>
  </w:num>
  <w:num w:numId="20">
    <w:abstractNumId w:val="30"/>
  </w:num>
  <w:num w:numId="21">
    <w:abstractNumId w:val="32"/>
  </w:num>
  <w:num w:numId="22">
    <w:abstractNumId w:val="33"/>
  </w:num>
  <w:num w:numId="23">
    <w:abstractNumId w:val="31"/>
  </w:num>
  <w:num w:numId="24">
    <w:abstractNumId w:val="16"/>
  </w:num>
  <w:num w:numId="25">
    <w:abstractNumId w:val="34"/>
  </w:num>
  <w:num w:numId="26">
    <w:abstractNumId w:val="35"/>
  </w:num>
  <w:num w:numId="27">
    <w:abstractNumId w:val="14"/>
  </w:num>
  <w:num w:numId="28">
    <w:abstractNumId w:val="9"/>
  </w:num>
  <w:num w:numId="29">
    <w:abstractNumId w:val="7"/>
  </w:num>
  <w:num w:numId="30">
    <w:abstractNumId w:val="8"/>
  </w:num>
  <w:num w:numId="31">
    <w:abstractNumId w:val="3"/>
  </w:num>
  <w:num w:numId="32">
    <w:abstractNumId w:val="8"/>
    <w:lvlOverride w:ilvl="0">
      <w:startOverride w:val="1"/>
    </w:lvlOverride>
  </w:num>
  <w:num w:numId="33">
    <w:abstractNumId w:val="6"/>
  </w:num>
  <w:num w:numId="34">
    <w:abstractNumId w:val="5"/>
  </w:num>
  <w:num w:numId="35">
    <w:abstractNumId w:val="4"/>
  </w:num>
  <w:num w:numId="36">
    <w:abstractNumId w:val="2"/>
  </w:num>
  <w:num w:numId="37">
    <w:abstractNumId w:val="1"/>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SortMethod w:val="0000"/>
  <w:defaultTabStop w:val="720"/>
  <w:characterSpacingControl w:val="doNotCompress"/>
  <w:hdrShapeDefaults>
    <o:shapedefaults v:ext="edit" spidmax="52225"/>
  </w:hdrShapeDefaults>
  <w:footnotePr>
    <w:pos w:val="beneathText"/>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E80"/>
    <w:rsid w:val="000067F2"/>
    <w:rsid w:val="00006DE3"/>
    <w:rsid w:val="000113E0"/>
    <w:rsid w:val="00021DA6"/>
    <w:rsid w:val="0002752D"/>
    <w:rsid w:val="00030169"/>
    <w:rsid w:val="00031B1C"/>
    <w:rsid w:val="00035675"/>
    <w:rsid w:val="000359C2"/>
    <w:rsid w:val="00040AF8"/>
    <w:rsid w:val="00041B76"/>
    <w:rsid w:val="00042358"/>
    <w:rsid w:val="00045784"/>
    <w:rsid w:val="00052A73"/>
    <w:rsid w:val="00052AFF"/>
    <w:rsid w:val="00056D7F"/>
    <w:rsid w:val="00062049"/>
    <w:rsid w:val="00064594"/>
    <w:rsid w:val="0006613F"/>
    <w:rsid w:val="000662A2"/>
    <w:rsid w:val="00077DCC"/>
    <w:rsid w:val="00080476"/>
    <w:rsid w:val="00084F8C"/>
    <w:rsid w:val="00086AF2"/>
    <w:rsid w:val="00091597"/>
    <w:rsid w:val="000965E1"/>
    <w:rsid w:val="000A16BF"/>
    <w:rsid w:val="000A4BC7"/>
    <w:rsid w:val="000A4D4B"/>
    <w:rsid w:val="000A74E4"/>
    <w:rsid w:val="000A7D79"/>
    <w:rsid w:val="000B151C"/>
    <w:rsid w:val="000B7932"/>
    <w:rsid w:val="000C2B36"/>
    <w:rsid w:val="000C5AA2"/>
    <w:rsid w:val="000D0E83"/>
    <w:rsid w:val="000D3E79"/>
    <w:rsid w:val="000D42DF"/>
    <w:rsid w:val="000D4FAE"/>
    <w:rsid w:val="000E344B"/>
    <w:rsid w:val="000F504E"/>
    <w:rsid w:val="000F5315"/>
    <w:rsid w:val="000F63E3"/>
    <w:rsid w:val="001035E3"/>
    <w:rsid w:val="0010370A"/>
    <w:rsid w:val="00104254"/>
    <w:rsid w:val="00107B62"/>
    <w:rsid w:val="00110D4C"/>
    <w:rsid w:val="00112400"/>
    <w:rsid w:val="00120E5A"/>
    <w:rsid w:val="00122E20"/>
    <w:rsid w:val="00122EB0"/>
    <w:rsid w:val="00132675"/>
    <w:rsid w:val="00134625"/>
    <w:rsid w:val="00134A2A"/>
    <w:rsid w:val="001369DC"/>
    <w:rsid w:val="0014134E"/>
    <w:rsid w:val="0014204E"/>
    <w:rsid w:val="0014272B"/>
    <w:rsid w:val="00142DE7"/>
    <w:rsid w:val="00143662"/>
    <w:rsid w:val="0014701D"/>
    <w:rsid w:val="001510E8"/>
    <w:rsid w:val="00151EF4"/>
    <w:rsid w:val="00155192"/>
    <w:rsid w:val="001556C0"/>
    <w:rsid w:val="00155B9A"/>
    <w:rsid w:val="00156239"/>
    <w:rsid w:val="00156617"/>
    <w:rsid w:val="00160E40"/>
    <w:rsid w:val="0016680E"/>
    <w:rsid w:val="00171D5F"/>
    <w:rsid w:val="00177DC1"/>
    <w:rsid w:val="001809C5"/>
    <w:rsid w:val="00181631"/>
    <w:rsid w:val="001864FB"/>
    <w:rsid w:val="00187474"/>
    <w:rsid w:val="001A1A0A"/>
    <w:rsid w:val="001A3474"/>
    <w:rsid w:val="001B12D8"/>
    <w:rsid w:val="001B2499"/>
    <w:rsid w:val="001B396A"/>
    <w:rsid w:val="001B4898"/>
    <w:rsid w:val="001C0A36"/>
    <w:rsid w:val="001C3C79"/>
    <w:rsid w:val="001C410E"/>
    <w:rsid w:val="001C50E6"/>
    <w:rsid w:val="001C56C0"/>
    <w:rsid w:val="001D144A"/>
    <w:rsid w:val="001E0DD0"/>
    <w:rsid w:val="001E5B35"/>
    <w:rsid w:val="001F6E72"/>
    <w:rsid w:val="00201270"/>
    <w:rsid w:val="00201342"/>
    <w:rsid w:val="00204AE7"/>
    <w:rsid w:val="00211EFF"/>
    <w:rsid w:val="00215056"/>
    <w:rsid w:val="00217576"/>
    <w:rsid w:val="002255C8"/>
    <w:rsid w:val="00226FBE"/>
    <w:rsid w:val="00232A4C"/>
    <w:rsid w:val="002334B6"/>
    <w:rsid w:val="0023482B"/>
    <w:rsid w:val="002352A5"/>
    <w:rsid w:val="00244EF7"/>
    <w:rsid w:val="002457A3"/>
    <w:rsid w:val="0024584B"/>
    <w:rsid w:val="00256840"/>
    <w:rsid w:val="00271A02"/>
    <w:rsid w:val="00275C07"/>
    <w:rsid w:val="00275D03"/>
    <w:rsid w:val="0027662D"/>
    <w:rsid w:val="002776C0"/>
    <w:rsid w:val="0027789E"/>
    <w:rsid w:val="00281B8A"/>
    <w:rsid w:val="002875FA"/>
    <w:rsid w:val="002876F2"/>
    <w:rsid w:val="00295CF5"/>
    <w:rsid w:val="002A0546"/>
    <w:rsid w:val="002A3CA6"/>
    <w:rsid w:val="002B3B90"/>
    <w:rsid w:val="002B74E5"/>
    <w:rsid w:val="002C3944"/>
    <w:rsid w:val="002C5076"/>
    <w:rsid w:val="002D316F"/>
    <w:rsid w:val="002D7EB3"/>
    <w:rsid w:val="002E4FF0"/>
    <w:rsid w:val="002F063F"/>
    <w:rsid w:val="002F48D7"/>
    <w:rsid w:val="002F5743"/>
    <w:rsid w:val="002F6DD5"/>
    <w:rsid w:val="003118E2"/>
    <w:rsid w:val="00312562"/>
    <w:rsid w:val="00314ABC"/>
    <w:rsid w:val="003151CE"/>
    <w:rsid w:val="00315661"/>
    <w:rsid w:val="00320590"/>
    <w:rsid w:val="00320BE0"/>
    <w:rsid w:val="0032140C"/>
    <w:rsid w:val="00321A0C"/>
    <w:rsid w:val="00321B25"/>
    <w:rsid w:val="00323337"/>
    <w:rsid w:val="0032485B"/>
    <w:rsid w:val="00325C37"/>
    <w:rsid w:val="00332305"/>
    <w:rsid w:val="00332BF3"/>
    <w:rsid w:val="00333E76"/>
    <w:rsid w:val="003346A8"/>
    <w:rsid w:val="003369A3"/>
    <w:rsid w:val="003379FA"/>
    <w:rsid w:val="00342EAB"/>
    <w:rsid w:val="00347F6C"/>
    <w:rsid w:val="003544EC"/>
    <w:rsid w:val="00355028"/>
    <w:rsid w:val="003641AB"/>
    <w:rsid w:val="0036577F"/>
    <w:rsid w:val="00366166"/>
    <w:rsid w:val="003719B9"/>
    <w:rsid w:val="003725FC"/>
    <w:rsid w:val="00372D46"/>
    <w:rsid w:val="00376E0E"/>
    <w:rsid w:val="003802F6"/>
    <w:rsid w:val="003833C8"/>
    <w:rsid w:val="0038367D"/>
    <w:rsid w:val="00383C48"/>
    <w:rsid w:val="00384747"/>
    <w:rsid w:val="003913BB"/>
    <w:rsid w:val="003932B1"/>
    <w:rsid w:val="003A2203"/>
    <w:rsid w:val="003A23B1"/>
    <w:rsid w:val="003A2F75"/>
    <w:rsid w:val="003B43FE"/>
    <w:rsid w:val="003B47C4"/>
    <w:rsid w:val="003B545A"/>
    <w:rsid w:val="003C5053"/>
    <w:rsid w:val="003C78F2"/>
    <w:rsid w:val="003D009B"/>
    <w:rsid w:val="003D3259"/>
    <w:rsid w:val="003D521F"/>
    <w:rsid w:val="003D666F"/>
    <w:rsid w:val="003E5E4C"/>
    <w:rsid w:val="003F183F"/>
    <w:rsid w:val="003F25B0"/>
    <w:rsid w:val="003F5D67"/>
    <w:rsid w:val="003F6265"/>
    <w:rsid w:val="00400AFE"/>
    <w:rsid w:val="00402906"/>
    <w:rsid w:val="00405DA7"/>
    <w:rsid w:val="004104CB"/>
    <w:rsid w:val="00410D44"/>
    <w:rsid w:val="00410EF4"/>
    <w:rsid w:val="004166EA"/>
    <w:rsid w:val="00416A25"/>
    <w:rsid w:val="004211EB"/>
    <w:rsid w:val="0042297C"/>
    <w:rsid w:val="00422C46"/>
    <w:rsid w:val="00430D03"/>
    <w:rsid w:val="00431A7C"/>
    <w:rsid w:val="00433A4A"/>
    <w:rsid w:val="00435045"/>
    <w:rsid w:val="00435C2C"/>
    <w:rsid w:val="00440488"/>
    <w:rsid w:val="00444135"/>
    <w:rsid w:val="00452669"/>
    <w:rsid w:val="00452C50"/>
    <w:rsid w:val="004555A8"/>
    <w:rsid w:val="00455A12"/>
    <w:rsid w:val="00461D0C"/>
    <w:rsid w:val="00464373"/>
    <w:rsid w:val="004645C0"/>
    <w:rsid w:val="00464A7E"/>
    <w:rsid w:val="004657E1"/>
    <w:rsid w:val="0047465C"/>
    <w:rsid w:val="00476A12"/>
    <w:rsid w:val="0048011B"/>
    <w:rsid w:val="004804BA"/>
    <w:rsid w:val="00483EF3"/>
    <w:rsid w:val="004840FA"/>
    <w:rsid w:val="00484D0A"/>
    <w:rsid w:val="004851FB"/>
    <w:rsid w:val="00486872"/>
    <w:rsid w:val="00486A5D"/>
    <w:rsid w:val="00492B18"/>
    <w:rsid w:val="00496AB9"/>
    <w:rsid w:val="004A02E4"/>
    <w:rsid w:val="004A4969"/>
    <w:rsid w:val="004B411F"/>
    <w:rsid w:val="004B59DF"/>
    <w:rsid w:val="004B67E1"/>
    <w:rsid w:val="004B6CD0"/>
    <w:rsid w:val="004C0ADA"/>
    <w:rsid w:val="004C2D08"/>
    <w:rsid w:val="004C66BC"/>
    <w:rsid w:val="004D0490"/>
    <w:rsid w:val="004D0BA4"/>
    <w:rsid w:val="004D56A7"/>
    <w:rsid w:val="004D744A"/>
    <w:rsid w:val="004D7E60"/>
    <w:rsid w:val="004E05CC"/>
    <w:rsid w:val="004E4902"/>
    <w:rsid w:val="004F0321"/>
    <w:rsid w:val="004F061C"/>
    <w:rsid w:val="004F765E"/>
    <w:rsid w:val="005003AA"/>
    <w:rsid w:val="005020E1"/>
    <w:rsid w:val="005038A8"/>
    <w:rsid w:val="00506885"/>
    <w:rsid w:val="00513074"/>
    <w:rsid w:val="0051734E"/>
    <w:rsid w:val="00524553"/>
    <w:rsid w:val="00524BC8"/>
    <w:rsid w:val="00526DF1"/>
    <w:rsid w:val="00535227"/>
    <w:rsid w:val="005419C2"/>
    <w:rsid w:val="00542656"/>
    <w:rsid w:val="00543432"/>
    <w:rsid w:val="00552098"/>
    <w:rsid w:val="00552326"/>
    <w:rsid w:val="00555997"/>
    <w:rsid w:val="005567D4"/>
    <w:rsid w:val="00556DF5"/>
    <w:rsid w:val="005638A4"/>
    <w:rsid w:val="00564D6C"/>
    <w:rsid w:val="00570715"/>
    <w:rsid w:val="00570982"/>
    <w:rsid w:val="00573381"/>
    <w:rsid w:val="00575180"/>
    <w:rsid w:val="00575E00"/>
    <w:rsid w:val="0058055D"/>
    <w:rsid w:val="00587380"/>
    <w:rsid w:val="00597C5A"/>
    <w:rsid w:val="005A6618"/>
    <w:rsid w:val="005B1D31"/>
    <w:rsid w:val="005B35AF"/>
    <w:rsid w:val="005C0C79"/>
    <w:rsid w:val="005C2B48"/>
    <w:rsid w:val="005C51B2"/>
    <w:rsid w:val="005C7DB4"/>
    <w:rsid w:val="005C7EDC"/>
    <w:rsid w:val="005D12A7"/>
    <w:rsid w:val="005D2771"/>
    <w:rsid w:val="005D5646"/>
    <w:rsid w:val="005E393E"/>
    <w:rsid w:val="005F13E6"/>
    <w:rsid w:val="005F1BCD"/>
    <w:rsid w:val="005F58AA"/>
    <w:rsid w:val="006018AB"/>
    <w:rsid w:val="00604689"/>
    <w:rsid w:val="00605CF0"/>
    <w:rsid w:val="00607163"/>
    <w:rsid w:val="00607734"/>
    <w:rsid w:val="006136D4"/>
    <w:rsid w:val="00621D83"/>
    <w:rsid w:val="00624207"/>
    <w:rsid w:val="0062480A"/>
    <w:rsid w:val="00624CAA"/>
    <w:rsid w:val="00625180"/>
    <w:rsid w:val="00631074"/>
    <w:rsid w:val="0063411C"/>
    <w:rsid w:val="0063768F"/>
    <w:rsid w:val="0064116B"/>
    <w:rsid w:val="00644683"/>
    <w:rsid w:val="00646284"/>
    <w:rsid w:val="00646671"/>
    <w:rsid w:val="00647A02"/>
    <w:rsid w:val="006524E8"/>
    <w:rsid w:val="00653983"/>
    <w:rsid w:val="00654297"/>
    <w:rsid w:val="00654592"/>
    <w:rsid w:val="006546F2"/>
    <w:rsid w:val="00654C98"/>
    <w:rsid w:val="0066310A"/>
    <w:rsid w:val="00671F59"/>
    <w:rsid w:val="0067302D"/>
    <w:rsid w:val="00674866"/>
    <w:rsid w:val="00675216"/>
    <w:rsid w:val="00676450"/>
    <w:rsid w:val="00676836"/>
    <w:rsid w:val="00676BE9"/>
    <w:rsid w:val="0068108F"/>
    <w:rsid w:val="00682042"/>
    <w:rsid w:val="006832C1"/>
    <w:rsid w:val="006960B9"/>
    <w:rsid w:val="006A44B1"/>
    <w:rsid w:val="006B0F6A"/>
    <w:rsid w:val="006D76BE"/>
    <w:rsid w:val="006E113C"/>
    <w:rsid w:val="006E194B"/>
    <w:rsid w:val="006F187D"/>
    <w:rsid w:val="006F4C0B"/>
    <w:rsid w:val="006F57E8"/>
    <w:rsid w:val="006F608E"/>
    <w:rsid w:val="007174AB"/>
    <w:rsid w:val="00722D2C"/>
    <w:rsid w:val="00724BD6"/>
    <w:rsid w:val="0072626D"/>
    <w:rsid w:val="00731D68"/>
    <w:rsid w:val="00732553"/>
    <w:rsid w:val="007350A4"/>
    <w:rsid w:val="00735A3B"/>
    <w:rsid w:val="00742A5C"/>
    <w:rsid w:val="00743C19"/>
    <w:rsid w:val="00744281"/>
    <w:rsid w:val="00753B06"/>
    <w:rsid w:val="0075750A"/>
    <w:rsid w:val="00767BD4"/>
    <w:rsid w:val="0077304F"/>
    <w:rsid w:val="00777C8E"/>
    <w:rsid w:val="0078191F"/>
    <w:rsid w:val="00783BEE"/>
    <w:rsid w:val="00785126"/>
    <w:rsid w:val="00792F91"/>
    <w:rsid w:val="007935D2"/>
    <w:rsid w:val="00793BF9"/>
    <w:rsid w:val="007959A9"/>
    <w:rsid w:val="00797D7C"/>
    <w:rsid w:val="007A0FAA"/>
    <w:rsid w:val="007A2137"/>
    <w:rsid w:val="007A2663"/>
    <w:rsid w:val="007A3786"/>
    <w:rsid w:val="007A49A6"/>
    <w:rsid w:val="007A4B26"/>
    <w:rsid w:val="007A5331"/>
    <w:rsid w:val="007A655A"/>
    <w:rsid w:val="007A75A8"/>
    <w:rsid w:val="007B200E"/>
    <w:rsid w:val="007B6433"/>
    <w:rsid w:val="007B6E26"/>
    <w:rsid w:val="007C1EED"/>
    <w:rsid w:val="007D188A"/>
    <w:rsid w:val="007D39F7"/>
    <w:rsid w:val="007D59ED"/>
    <w:rsid w:val="007D750A"/>
    <w:rsid w:val="007E4229"/>
    <w:rsid w:val="007E454A"/>
    <w:rsid w:val="007F21DE"/>
    <w:rsid w:val="007F7301"/>
    <w:rsid w:val="00804AB6"/>
    <w:rsid w:val="00805CBE"/>
    <w:rsid w:val="008150FD"/>
    <w:rsid w:val="00817D14"/>
    <w:rsid w:val="008225EF"/>
    <w:rsid w:val="00834159"/>
    <w:rsid w:val="00834561"/>
    <w:rsid w:val="0083734C"/>
    <w:rsid w:val="0084359B"/>
    <w:rsid w:val="008570CA"/>
    <w:rsid w:val="0086119C"/>
    <w:rsid w:val="008621E5"/>
    <w:rsid w:val="00865C50"/>
    <w:rsid w:val="008661E1"/>
    <w:rsid w:val="00867443"/>
    <w:rsid w:val="00867E8A"/>
    <w:rsid w:val="0087028F"/>
    <w:rsid w:val="00872738"/>
    <w:rsid w:val="008734EB"/>
    <w:rsid w:val="008800C6"/>
    <w:rsid w:val="00880587"/>
    <w:rsid w:val="00883165"/>
    <w:rsid w:val="00896A7C"/>
    <w:rsid w:val="0089767F"/>
    <w:rsid w:val="008A134C"/>
    <w:rsid w:val="008A1B58"/>
    <w:rsid w:val="008A2567"/>
    <w:rsid w:val="008A5248"/>
    <w:rsid w:val="008A75EF"/>
    <w:rsid w:val="008B141D"/>
    <w:rsid w:val="008B1747"/>
    <w:rsid w:val="008C1BE0"/>
    <w:rsid w:val="008C3AD5"/>
    <w:rsid w:val="008C5A12"/>
    <w:rsid w:val="008C6D11"/>
    <w:rsid w:val="008E1660"/>
    <w:rsid w:val="008E44BD"/>
    <w:rsid w:val="008F07FE"/>
    <w:rsid w:val="008F2BD9"/>
    <w:rsid w:val="008F4AB1"/>
    <w:rsid w:val="00901F97"/>
    <w:rsid w:val="00902C22"/>
    <w:rsid w:val="009031C0"/>
    <w:rsid w:val="009055D9"/>
    <w:rsid w:val="0090722D"/>
    <w:rsid w:val="0091162E"/>
    <w:rsid w:val="00911E04"/>
    <w:rsid w:val="00914245"/>
    <w:rsid w:val="00916163"/>
    <w:rsid w:val="00921F95"/>
    <w:rsid w:val="009229EE"/>
    <w:rsid w:val="00922A21"/>
    <w:rsid w:val="00923264"/>
    <w:rsid w:val="00930316"/>
    <w:rsid w:val="00941062"/>
    <w:rsid w:val="00942470"/>
    <w:rsid w:val="0094275C"/>
    <w:rsid w:val="0094409D"/>
    <w:rsid w:val="00955130"/>
    <w:rsid w:val="009569B2"/>
    <w:rsid w:val="00973A16"/>
    <w:rsid w:val="00973EC1"/>
    <w:rsid w:val="00974789"/>
    <w:rsid w:val="009812F7"/>
    <w:rsid w:val="009860BF"/>
    <w:rsid w:val="00986354"/>
    <w:rsid w:val="00986E1E"/>
    <w:rsid w:val="009913D8"/>
    <w:rsid w:val="00995B04"/>
    <w:rsid w:val="0099615E"/>
    <w:rsid w:val="009A28FC"/>
    <w:rsid w:val="009A58E3"/>
    <w:rsid w:val="009A5D08"/>
    <w:rsid w:val="009A7231"/>
    <w:rsid w:val="009B2409"/>
    <w:rsid w:val="009B302A"/>
    <w:rsid w:val="009B4066"/>
    <w:rsid w:val="009B4514"/>
    <w:rsid w:val="009B486B"/>
    <w:rsid w:val="009C1266"/>
    <w:rsid w:val="009C226D"/>
    <w:rsid w:val="009C46FB"/>
    <w:rsid w:val="009C4C18"/>
    <w:rsid w:val="009D64E4"/>
    <w:rsid w:val="009E527F"/>
    <w:rsid w:val="009F0D4B"/>
    <w:rsid w:val="009F40AB"/>
    <w:rsid w:val="009F69D8"/>
    <w:rsid w:val="009F76FB"/>
    <w:rsid w:val="009F79CB"/>
    <w:rsid w:val="00A01A33"/>
    <w:rsid w:val="00A03F43"/>
    <w:rsid w:val="00A048DA"/>
    <w:rsid w:val="00A0641C"/>
    <w:rsid w:val="00A10A1B"/>
    <w:rsid w:val="00A11832"/>
    <w:rsid w:val="00A178C0"/>
    <w:rsid w:val="00A17D48"/>
    <w:rsid w:val="00A22F65"/>
    <w:rsid w:val="00A231D9"/>
    <w:rsid w:val="00A26139"/>
    <w:rsid w:val="00A30ADD"/>
    <w:rsid w:val="00A37095"/>
    <w:rsid w:val="00A3768B"/>
    <w:rsid w:val="00A41E9C"/>
    <w:rsid w:val="00A4311B"/>
    <w:rsid w:val="00A433D9"/>
    <w:rsid w:val="00A446E5"/>
    <w:rsid w:val="00A46E9E"/>
    <w:rsid w:val="00A47141"/>
    <w:rsid w:val="00A509E4"/>
    <w:rsid w:val="00A54548"/>
    <w:rsid w:val="00A55D56"/>
    <w:rsid w:val="00A560FA"/>
    <w:rsid w:val="00A60484"/>
    <w:rsid w:val="00A61C24"/>
    <w:rsid w:val="00A61DA5"/>
    <w:rsid w:val="00A61E43"/>
    <w:rsid w:val="00A6563E"/>
    <w:rsid w:val="00A660B5"/>
    <w:rsid w:val="00A66856"/>
    <w:rsid w:val="00A66C4F"/>
    <w:rsid w:val="00A66F3D"/>
    <w:rsid w:val="00A73103"/>
    <w:rsid w:val="00A73820"/>
    <w:rsid w:val="00A75F3C"/>
    <w:rsid w:val="00A762B1"/>
    <w:rsid w:val="00A765B2"/>
    <w:rsid w:val="00A76634"/>
    <w:rsid w:val="00A81648"/>
    <w:rsid w:val="00A82BDC"/>
    <w:rsid w:val="00A8331C"/>
    <w:rsid w:val="00A83F96"/>
    <w:rsid w:val="00A9006E"/>
    <w:rsid w:val="00A9379F"/>
    <w:rsid w:val="00A95B5B"/>
    <w:rsid w:val="00AA5C2C"/>
    <w:rsid w:val="00AB0C30"/>
    <w:rsid w:val="00AB5EBE"/>
    <w:rsid w:val="00AB604F"/>
    <w:rsid w:val="00AB72A6"/>
    <w:rsid w:val="00AC142D"/>
    <w:rsid w:val="00AC7C0D"/>
    <w:rsid w:val="00AD2B07"/>
    <w:rsid w:val="00AD429A"/>
    <w:rsid w:val="00AD49B7"/>
    <w:rsid w:val="00AE4B06"/>
    <w:rsid w:val="00AF252C"/>
    <w:rsid w:val="00B00608"/>
    <w:rsid w:val="00B14F5B"/>
    <w:rsid w:val="00B17387"/>
    <w:rsid w:val="00B20526"/>
    <w:rsid w:val="00B20F92"/>
    <w:rsid w:val="00B34E68"/>
    <w:rsid w:val="00B35A06"/>
    <w:rsid w:val="00B45028"/>
    <w:rsid w:val="00B4504C"/>
    <w:rsid w:val="00B4776C"/>
    <w:rsid w:val="00B47AE6"/>
    <w:rsid w:val="00B5056D"/>
    <w:rsid w:val="00B5207C"/>
    <w:rsid w:val="00B61B3E"/>
    <w:rsid w:val="00B63D30"/>
    <w:rsid w:val="00B65A4B"/>
    <w:rsid w:val="00B67745"/>
    <w:rsid w:val="00B71611"/>
    <w:rsid w:val="00B74A1F"/>
    <w:rsid w:val="00B8015C"/>
    <w:rsid w:val="00B840D0"/>
    <w:rsid w:val="00B92DA9"/>
    <w:rsid w:val="00BA1C6E"/>
    <w:rsid w:val="00BA5EC4"/>
    <w:rsid w:val="00BA73CD"/>
    <w:rsid w:val="00BB1C65"/>
    <w:rsid w:val="00BC0C25"/>
    <w:rsid w:val="00BC1A18"/>
    <w:rsid w:val="00BC3086"/>
    <w:rsid w:val="00BC710E"/>
    <w:rsid w:val="00BD3E39"/>
    <w:rsid w:val="00BE2991"/>
    <w:rsid w:val="00BE38F4"/>
    <w:rsid w:val="00BF1C17"/>
    <w:rsid w:val="00BF1DDE"/>
    <w:rsid w:val="00BF2582"/>
    <w:rsid w:val="00BF3355"/>
    <w:rsid w:val="00BF4177"/>
    <w:rsid w:val="00BF4C8D"/>
    <w:rsid w:val="00C02F22"/>
    <w:rsid w:val="00C04AF5"/>
    <w:rsid w:val="00C076AD"/>
    <w:rsid w:val="00C1109D"/>
    <w:rsid w:val="00C119F0"/>
    <w:rsid w:val="00C14083"/>
    <w:rsid w:val="00C21F93"/>
    <w:rsid w:val="00C23DEB"/>
    <w:rsid w:val="00C24CCD"/>
    <w:rsid w:val="00C33158"/>
    <w:rsid w:val="00C343DC"/>
    <w:rsid w:val="00C344CE"/>
    <w:rsid w:val="00C4593F"/>
    <w:rsid w:val="00C459D9"/>
    <w:rsid w:val="00C47290"/>
    <w:rsid w:val="00C50534"/>
    <w:rsid w:val="00C55852"/>
    <w:rsid w:val="00C6201E"/>
    <w:rsid w:val="00C659AA"/>
    <w:rsid w:val="00C66D4D"/>
    <w:rsid w:val="00C71F11"/>
    <w:rsid w:val="00C72669"/>
    <w:rsid w:val="00C75A9B"/>
    <w:rsid w:val="00C77B2D"/>
    <w:rsid w:val="00C80444"/>
    <w:rsid w:val="00C84E51"/>
    <w:rsid w:val="00C90E80"/>
    <w:rsid w:val="00C931D0"/>
    <w:rsid w:val="00C968C2"/>
    <w:rsid w:val="00CA2659"/>
    <w:rsid w:val="00CA3A3D"/>
    <w:rsid w:val="00CA4CBC"/>
    <w:rsid w:val="00CA51C7"/>
    <w:rsid w:val="00CA6435"/>
    <w:rsid w:val="00CB56D1"/>
    <w:rsid w:val="00CB60E1"/>
    <w:rsid w:val="00CC0AD3"/>
    <w:rsid w:val="00CC2D56"/>
    <w:rsid w:val="00CC2DB9"/>
    <w:rsid w:val="00CC71B2"/>
    <w:rsid w:val="00CD3C2E"/>
    <w:rsid w:val="00CE0746"/>
    <w:rsid w:val="00CE2CE5"/>
    <w:rsid w:val="00CE2ED4"/>
    <w:rsid w:val="00CE79C3"/>
    <w:rsid w:val="00CE7A30"/>
    <w:rsid w:val="00CF0935"/>
    <w:rsid w:val="00CF1401"/>
    <w:rsid w:val="00CF4293"/>
    <w:rsid w:val="00CF66CA"/>
    <w:rsid w:val="00D0059A"/>
    <w:rsid w:val="00D0096D"/>
    <w:rsid w:val="00D03A6F"/>
    <w:rsid w:val="00D06633"/>
    <w:rsid w:val="00D074DB"/>
    <w:rsid w:val="00D0795D"/>
    <w:rsid w:val="00D13EEA"/>
    <w:rsid w:val="00D172EB"/>
    <w:rsid w:val="00D2163E"/>
    <w:rsid w:val="00D2321D"/>
    <w:rsid w:val="00D272EB"/>
    <w:rsid w:val="00D30C2C"/>
    <w:rsid w:val="00D31BFE"/>
    <w:rsid w:val="00D365B6"/>
    <w:rsid w:val="00D366EA"/>
    <w:rsid w:val="00D3688B"/>
    <w:rsid w:val="00D47362"/>
    <w:rsid w:val="00D51FF2"/>
    <w:rsid w:val="00D524F2"/>
    <w:rsid w:val="00D54B9E"/>
    <w:rsid w:val="00D56F91"/>
    <w:rsid w:val="00D600AA"/>
    <w:rsid w:val="00D60893"/>
    <w:rsid w:val="00D86219"/>
    <w:rsid w:val="00D8797C"/>
    <w:rsid w:val="00D90A2F"/>
    <w:rsid w:val="00D933A2"/>
    <w:rsid w:val="00D9667B"/>
    <w:rsid w:val="00D967BB"/>
    <w:rsid w:val="00D97603"/>
    <w:rsid w:val="00DA1B8D"/>
    <w:rsid w:val="00DA3262"/>
    <w:rsid w:val="00DA3E9A"/>
    <w:rsid w:val="00DA50C0"/>
    <w:rsid w:val="00DA685F"/>
    <w:rsid w:val="00DB2D0C"/>
    <w:rsid w:val="00DC4139"/>
    <w:rsid w:val="00DE084A"/>
    <w:rsid w:val="00DE723C"/>
    <w:rsid w:val="00DF0BE8"/>
    <w:rsid w:val="00DF586C"/>
    <w:rsid w:val="00E0180B"/>
    <w:rsid w:val="00E0216D"/>
    <w:rsid w:val="00E02D71"/>
    <w:rsid w:val="00E0324B"/>
    <w:rsid w:val="00E15E1B"/>
    <w:rsid w:val="00E20138"/>
    <w:rsid w:val="00E21774"/>
    <w:rsid w:val="00E22FCC"/>
    <w:rsid w:val="00E26D06"/>
    <w:rsid w:val="00E316E3"/>
    <w:rsid w:val="00E324F1"/>
    <w:rsid w:val="00E33D24"/>
    <w:rsid w:val="00E3430A"/>
    <w:rsid w:val="00E3488C"/>
    <w:rsid w:val="00E3598E"/>
    <w:rsid w:val="00E35F92"/>
    <w:rsid w:val="00E44B22"/>
    <w:rsid w:val="00E44BB1"/>
    <w:rsid w:val="00E5265B"/>
    <w:rsid w:val="00E52787"/>
    <w:rsid w:val="00E56F47"/>
    <w:rsid w:val="00E611C5"/>
    <w:rsid w:val="00E623E3"/>
    <w:rsid w:val="00E63928"/>
    <w:rsid w:val="00E64C56"/>
    <w:rsid w:val="00E72BDE"/>
    <w:rsid w:val="00E769DC"/>
    <w:rsid w:val="00E87BCB"/>
    <w:rsid w:val="00E953DB"/>
    <w:rsid w:val="00E96742"/>
    <w:rsid w:val="00EA01CD"/>
    <w:rsid w:val="00EA1DE2"/>
    <w:rsid w:val="00EA437D"/>
    <w:rsid w:val="00EA4A06"/>
    <w:rsid w:val="00EA541C"/>
    <w:rsid w:val="00EA58F3"/>
    <w:rsid w:val="00EA67A5"/>
    <w:rsid w:val="00EB1889"/>
    <w:rsid w:val="00EB465D"/>
    <w:rsid w:val="00EC5022"/>
    <w:rsid w:val="00EC5A1F"/>
    <w:rsid w:val="00ED133B"/>
    <w:rsid w:val="00ED345C"/>
    <w:rsid w:val="00ED6A34"/>
    <w:rsid w:val="00EE29E7"/>
    <w:rsid w:val="00EE2EF2"/>
    <w:rsid w:val="00EE3875"/>
    <w:rsid w:val="00EE5B1B"/>
    <w:rsid w:val="00EF0311"/>
    <w:rsid w:val="00EF1095"/>
    <w:rsid w:val="00EF2417"/>
    <w:rsid w:val="00F001C0"/>
    <w:rsid w:val="00F03D10"/>
    <w:rsid w:val="00F04442"/>
    <w:rsid w:val="00F04806"/>
    <w:rsid w:val="00F10516"/>
    <w:rsid w:val="00F16268"/>
    <w:rsid w:val="00F23412"/>
    <w:rsid w:val="00F2784E"/>
    <w:rsid w:val="00F3485C"/>
    <w:rsid w:val="00F3632D"/>
    <w:rsid w:val="00F36802"/>
    <w:rsid w:val="00F4149E"/>
    <w:rsid w:val="00F41A61"/>
    <w:rsid w:val="00F420A4"/>
    <w:rsid w:val="00F421E8"/>
    <w:rsid w:val="00F55B08"/>
    <w:rsid w:val="00F55E4C"/>
    <w:rsid w:val="00F568B3"/>
    <w:rsid w:val="00F56DD5"/>
    <w:rsid w:val="00F6299A"/>
    <w:rsid w:val="00F657D2"/>
    <w:rsid w:val="00F663C9"/>
    <w:rsid w:val="00F71DC9"/>
    <w:rsid w:val="00F7724B"/>
    <w:rsid w:val="00F86F41"/>
    <w:rsid w:val="00F87043"/>
    <w:rsid w:val="00F91196"/>
    <w:rsid w:val="00FA03AD"/>
    <w:rsid w:val="00FA1D02"/>
    <w:rsid w:val="00FA2FB5"/>
    <w:rsid w:val="00FB00B6"/>
    <w:rsid w:val="00FB38BE"/>
    <w:rsid w:val="00FB4DA0"/>
    <w:rsid w:val="00FB7AB9"/>
    <w:rsid w:val="00FC025D"/>
    <w:rsid w:val="00FC2CA1"/>
    <w:rsid w:val="00FC31F0"/>
    <w:rsid w:val="00FC5621"/>
    <w:rsid w:val="00FC56D9"/>
    <w:rsid w:val="00FE08DA"/>
    <w:rsid w:val="00FE3D90"/>
    <w:rsid w:val="00FE7C21"/>
    <w:rsid w:val="00FF0EE1"/>
    <w:rsid w:val="00FF22A3"/>
    <w:rsid w:val="00FF30B8"/>
    <w:rsid w:val="00FF7A3C"/>
    <w:rsid w:val="00FF7EF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4A24B676"/>
  <w15:docId w15:val="{D4CFE38F-7BED-479A-A10E-8EEC04E4E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unhideWhenUsed="1"/>
    <w:lsdException w:name="Title" w:semiHidden="1" w:uiPriority="98" w:qFormat="1"/>
    <w:lsdException w:name="Closing" w:semiHidden="1" w:unhideWhenUsed="1"/>
    <w:lsdException w:name="Signature" w:semiHidden="1" w:unhideWhenUsed="1"/>
    <w:lsdException w:name="Default Paragraph Font" w:semiHidden="1" w:uiPriority="98"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uiPriority="98" w:qFormat="1"/>
    <w:lsdException w:name="Intense Quote" w:semiHidden="1" w:uiPriority="9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qFormat="1"/>
    <w:lsdException w:name="Intense Emphasis" w:semiHidden="1" w:uiPriority="98" w:qFormat="1"/>
    <w:lsdException w:name="Subtle Reference" w:semiHidden="1" w:uiPriority="98" w:qFormat="1"/>
    <w:lsdException w:name="Intense Reference" w:semiHidden="1" w:uiPriority="98" w:qFormat="1"/>
    <w:lsdException w:name="Book Title" w:semiHidden="1" w:uiPriority="98"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548"/>
    <w:pPr>
      <w:spacing w:after="160" w:line="259" w:lineRule="auto"/>
    </w:pPr>
    <w:rPr>
      <w:sz w:val="22"/>
      <w:szCs w:val="22"/>
      <w:lang w:eastAsia="en-US"/>
    </w:rPr>
  </w:style>
  <w:style w:type="paragraph" w:styleId="Heading1">
    <w:name w:val="heading 1"/>
    <w:basedOn w:val="Normal"/>
    <w:next w:val="Normal"/>
    <w:link w:val="Heading1Char"/>
    <w:uiPriority w:val="9"/>
    <w:qFormat/>
    <w:rsid w:val="00062049"/>
    <w:pPr>
      <w:jc w:val="center"/>
      <w:outlineLvl w:val="0"/>
    </w:pPr>
    <w:rPr>
      <w:rFonts w:ascii="Arial" w:hAnsi="Arial" w:cs="Arial"/>
      <w:sz w:val="48"/>
      <w:szCs w:val="48"/>
    </w:rPr>
  </w:style>
  <w:style w:type="paragraph" w:styleId="Heading2">
    <w:name w:val="heading 2"/>
    <w:basedOn w:val="Normal"/>
    <w:next w:val="Normal"/>
    <w:link w:val="Heading2Char"/>
    <w:uiPriority w:val="9"/>
    <w:unhideWhenUsed/>
    <w:qFormat/>
    <w:rsid w:val="00902C22"/>
    <w:pPr>
      <w:keepNext/>
      <w:keepLines/>
      <w:pageBreakBefore/>
      <w:spacing w:after="400" w:line="240" w:lineRule="auto"/>
      <w:outlineLvl w:val="1"/>
    </w:pPr>
    <w:rPr>
      <w:rFonts w:ascii="Arial" w:eastAsia="Times New Roman" w:hAnsi="Arial"/>
      <w:bCs/>
      <w:iCs/>
      <w:sz w:val="44"/>
      <w:szCs w:val="28"/>
    </w:rPr>
  </w:style>
  <w:style w:type="paragraph" w:styleId="Heading3">
    <w:name w:val="heading 3"/>
    <w:basedOn w:val="Normal"/>
    <w:next w:val="Normal"/>
    <w:link w:val="Heading3Char"/>
    <w:uiPriority w:val="9"/>
    <w:unhideWhenUsed/>
    <w:qFormat/>
    <w:rsid w:val="00C076AD"/>
    <w:pPr>
      <w:keepNext/>
      <w:keepLines/>
      <w:spacing w:before="300" w:after="120" w:line="240" w:lineRule="auto"/>
      <w:outlineLvl w:val="2"/>
    </w:pPr>
    <w:rPr>
      <w:rFonts w:ascii="Arial" w:eastAsia="Times New Roman" w:hAnsi="Arial"/>
      <w:b/>
      <w:bCs/>
      <w:color w:val="0072CE"/>
      <w:sz w:val="30"/>
      <w:szCs w:val="28"/>
    </w:rPr>
  </w:style>
  <w:style w:type="paragraph" w:styleId="Heading4">
    <w:name w:val="heading 4"/>
    <w:basedOn w:val="Normal"/>
    <w:next w:val="Normal"/>
    <w:link w:val="Heading4Char"/>
    <w:uiPriority w:val="9"/>
    <w:unhideWhenUsed/>
    <w:qFormat/>
    <w:rsid w:val="00C076AD"/>
    <w:pPr>
      <w:keepNext/>
      <w:keepLines/>
      <w:spacing w:before="300" w:after="120" w:line="240" w:lineRule="auto"/>
      <w:outlineLvl w:val="3"/>
    </w:pPr>
    <w:rPr>
      <w:rFonts w:ascii="Arial" w:eastAsia="Times New Roman" w:hAnsi="Arial"/>
      <w:b/>
      <w:bCs/>
      <w:sz w:val="26"/>
      <w:szCs w:val="26"/>
    </w:rPr>
  </w:style>
  <w:style w:type="paragraph" w:styleId="Heading5">
    <w:name w:val="heading 5"/>
    <w:basedOn w:val="Normal"/>
    <w:next w:val="Normal"/>
    <w:link w:val="Heading5Char"/>
    <w:uiPriority w:val="9"/>
    <w:unhideWhenUsed/>
    <w:qFormat/>
    <w:rsid w:val="00D03A6F"/>
    <w:pPr>
      <w:keepNext/>
      <w:keepLines/>
      <w:spacing w:before="300" w:after="120" w:line="240" w:lineRule="auto"/>
      <w:outlineLvl w:val="4"/>
    </w:pPr>
    <w:rPr>
      <w:rFonts w:ascii="Arial" w:eastAsia="Times New Roman" w:hAnsi="Arial"/>
      <w:b/>
      <w:bCs/>
      <w:iCs/>
      <w:szCs w:val="26"/>
    </w:rPr>
  </w:style>
  <w:style w:type="paragraph" w:styleId="Heading6">
    <w:name w:val="heading 6"/>
    <w:basedOn w:val="Normal"/>
    <w:next w:val="Normal"/>
    <w:link w:val="Heading6Char"/>
    <w:uiPriority w:val="9"/>
    <w:unhideWhenUsed/>
    <w:qFormat/>
    <w:rsid w:val="00D03A6F"/>
    <w:pPr>
      <w:spacing w:before="240" w:after="60"/>
      <w:outlineLvl w:val="5"/>
    </w:pPr>
    <w:rPr>
      <w:rFonts w:ascii="Arial" w:eastAsia="Times New Roman"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62049"/>
    <w:rPr>
      <w:rFonts w:ascii="Arial" w:hAnsi="Arial" w:cs="Arial"/>
      <w:sz w:val="48"/>
      <w:szCs w:val="48"/>
      <w:lang w:eastAsia="en-US"/>
    </w:rPr>
  </w:style>
  <w:style w:type="paragraph" w:customStyle="1" w:styleId="TableText">
    <w:name w:val="Table Text"/>
    <w:basedOn w:val="Normal"/>
    <w:uiPriority w:val="11"/>
    <w:qFormat/>
    <w:rsid w:val="00A178C0"/>
    <w:pPr>
      <w:spacing w:before="80" w:after="60" w:line="240" w:lineRule="auto"/>
    </w:pPr>
    <w:rPr>
      <w:rFonts w:ascii="Arial" w:hAnsi="Arial"/>
      <w:sz w:val="18"/>
    </w:rPr>
  </w:style>
  <w:style w:type="character" w:customStyle="1" w:styleId="Heading2Char">
    <w:name w:val="Heading 2 Char"/>
    <w:link w:val="Heading2"/>
    <w:uiPriority w:val="9"/>
    <w:rsid w:val="00902C22"/>
    <w:rPr>
      <w:rFonts w:ascii="Arial" w:eastAsia="Times New Roman" w:hAnsi="Arial"/>
      <w:bCs/>
      <w:iCs/>
      <w:sz w:val="44"/>
      <w:szCs w:val="28"/>
      <w:lang w:eastAsia="en-US"/>
    </w:rPr>
  </w:style>
  <w:style w:type="character" w:customStyle="1" w:styleId="Heading3Char">
    <w:name w:val="Heading 3 Char"/>
    <w:link w:val="Heading3"/>
    <w:uiPriority w:val="9"/>
    <w:rsid w:val="00C076AD"/>
    <w:rPr>
      <w:rFonts w:ascii="Arial" w:eastAsia="Times New Roman" w:hAnsi="Arial"/>
      <w:b/>
      <w:bCs/>
      <w:color w:val="0072CE"/>
      <w:sz w:val="30"/>
      <w:szCs w:val="28"/>
      <w:lang w:eastAsia="en-US"/>
    </w:rPr>
  </w:style>
  <w:style w:type="paragraph" w:styleId="TOC1">
    <w:name w:val="toc 1"/>
    <w:basedOn w:val="Normal"/>
    <w:next w:val="Normal"/>
    <w:autoRedefine/>
    <w:uiPriority w:val="39"/>
    <w:unhideWhenUsed/>
    <w:rsid w:val="00122E20"/>
    <w:pPr>
      <w:tabs>
        <w:tab w:val="right" w:leader="dot" w:pos="9072"/>
      </w:tabs>
      <w:spacing w:before="200" w:after="80"/>
    </w:pPr>
    <w:rPr>
      <w:rFonts w:ascii="Arial" w:hAnsi="Arial"/>
      <w:b/>
      <w:sz w:val="20"/>
    </w:rPr>
  </w:style>
  <w:style w:type="paragraph" w:styleId="TOC2">
    <w:name w:val="toc 2"/>
    <w:basedOn w:val="Normal"/>
    <w:next w:val="Normal"/>
    <w:autoRedefine/>
    <w:uiPriority w:val="39"/>
    <w:unhideWhenUsed/>
    <w:rsid w:val="004B59DF"/>
    <w:pPr>
      <w:tabs>
        <w:tab w:val="right" w:leader="dot" w:pos="9072"/>
      </w:tabs>
      <w:spacing w:before="120" w:after="120" w:line="240" w:lineRule="auto"/>
    </w:pPr>
    <w:rPr>
      <w:rFonts w:ascii="Arial" w:hAnsi="Arial"/>
      <w:noProof/>
      <w:sz w:val="20"/>
    </w:rPr>
  </w:style>
  <w:style w:type="paragraph" w:styleId="TOC3">
    <w:name w:val="toc 3"/>
    <w:basedOn w:val="Normal"/>
    <w:next w:val="Normal"/>
    <w:autoRedefine/>
    <w:uiPriority w:val="39"/>
    <w:unhideWhenUsed/>
    <w:rsid w:val="00C90E80"/>
    <w:pPr>
      <w:ind w:left="440"/>
    </w:pPr>
  </w:style>
  <w:style w:type="character" w:styleId="Hyperlink">
    <w:name w:val="Hyperlink"/>
    <w:uiPriority w:val="99"/>
    <w:unhideWhenUsed/>
    <w:rsid w:val="00C90E80"/>
    <w:rPr>
      <w:color w:val="0563C1"/>
      <w:u w:val="single"/>
    </w:rPr>
  </w:style>
  <w:style w:type="paragraph" w:styleId="BodyText">
    <w:name w:val="Body Text"/>
    <w:link w:val="BodyTextChar"/>
    <w:uiPriority w:val="99"/>
    <w:rsid w:val="00D51FF2"/>
    <w:pPr>
      <w:spacing w:before="160" w:after="160" w:line="312" w:lineRule="auto"/>
    </w:pPr>
    <w:rPr>
      <w:rFonts w:ascii="Arial" w:eastAsia="Times New Roman" w:hAnsi="Arial" w:cs="Arial"/>
      <w:szCs w:val="24"/>
      <w:lang w:eastAsia="en-US"/>
    </w:rPr>
  </w:style>
  <w:style w:type="character" w:customStyle="1" w:styleId="BodyTextChar">
    <w:name w:val="Body Text Char"/>
    <w:link w:val="BodyText"/>
    <w:uiPriority w:val="99"/>
    <w:rsid w:val="00D51FF2"/>
    <w:rPr>
      <w:rFonts w:ascii="Arial" w:eastAsia="Times New Roman" w:hAnsi="Arial" w:cs="Arial"/>
      <w:szCs w:val="24"/>
      <w:lang w:eastAsia="en-US"/>
    </w:rPr>
  </w:style>
  <w:style w:type="paragraph" w:customStyle="1" w:styleId="TableColHead">
    <w:name w:val="Table Col Head"/>
    <w:basedOn w:val="Normal"/>
    <w:uiPriority w:val="11"/>
    <w:qFormat/>
    <w:rsid w:val="00A178C0"/>
    <w:pPr>
      <w:spacing w:before="80" w:after="60" w:line="240" w:lineRule="auto"/>
    </w:pPr>
    <w:rPr>
      <w:rFonts w:ascii="Arial" w:hAnsi="Arial" w:cs="Arial"/>
      <w:b/>
      <w:color w:val="FFFFFF"/>
      <w:w w:val="110"/>
      <w:sz w:val="18"/>
      <w:szCs w:val="18"/>
    </w:rPr>
  </w:style>
  <w:style w:type="paragraph" w:customStyle="1" w:styleId="TableTextRight">
    <w:name w:val="Table Text Right"/>
    <w:basedOn w:val="TableText"/>
    <w:qFormat/>
    <w:rsid w:val="008C1BE0"/>
    <w:pPr>
      <w:jc w:val="right"/>
    </w:pPr>
  </w:style>
  <w:style w:type="table" w:styleId="TableGrid">
    <w:name w:val="Table Grid"/>
    <w:basedOn w:val="TableNormal"/>
    <w:uiPriority w:val="39"/>
    <w:rsid w:val="00A66C4F"/>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BF4FB"/>
    </w:tcPr>
    <w:tblStylePr w:type="firstRow">
      <w:tblPr/>
      <w:tcPr>
        <w:tcBorders>
          <w:insideV w:val="single" w:sz="4" w:space="0" w:color="FFFFFF"/>
        </w:tcBorders>
        <w:shd w:val="clear" w:color="auto" w:fill="0072CE"/>
        <w:vAlign w:val="bottom"/>
      </w:tcPr>
    </w:tblStylePr>
  </w:style>
  <w:style w:type="paragraph" w:styleId="Header">
    <w:name w:val="header"/>
    <w:basedOn w:val="Normal"/>
    <w:link w:val="HeaderChar"/>
    <w:uiPriority w:val="99"/>
    <w:unhideWhenUsed/>
    <w:rsid w:val="00C71F11"/>
    <w:pPr>
      <w:tabs>
        <w:tab w:val="center" w:pos="4513"/>
        <w:tab w:val="right" w:pos="9026"/>
      </w:tabs>
    </w:pPr>
  </w:style>
  <w:style w:type="character" w:customStyle="1" w:styleId="HeaderChar">
    <w:name w:val="Header Char"/>
    <w:link w:val="Header"/>
    <w:uiPriority w:val="99"/>
    <w:rsid w:val="00C71F11"/>
    <w:rPr>
      <w:sz w:val="22"/>
      <w:szCs w:val="22"/>
      <w:lang w:eastAsia="en-US"/>
    </w:rPr>
  </w:style>
  <w:style w:type="paragraph" w:styleId="Footer">
    <w:name w:val="footer"/>
    <w:basedOn w:val="Normal"/>
    <w:link w:val="FooterChar"/>
    <w:uiPriority w:val="99"/>
    <w:unhideWhenUsed/>
    <w:rsid w:val="00783BEE"/>
    <w:pPr>
      <w:tabs>
        <w:tab w:val="right" w:pos="9072"/>
      </w:tabs>
      <w:spacing w:after="0" w:line="240" w:lineRule="auto"/>
    </w:pPr>
    <w:rPr>
      <w:rFonts w:ascii="Arial" w:hAnsi="Arial"/>
      <w:sz w:val="18"/>
    </w:rPr>
  </w:style>
  <w:style w:type="character" w:customStyle="1" w:styleId="FooterChar">
    <w:name w:val="Footer Char"/>
    <w:link w:val="Footer"/>
    <w:uiPriority w:val="99"/>
    <w:rsid w:val="00783BEE"/>
    <w:rPr>
      <w:rFonts w:ascii="Arial" w:hAnsi="Arial"/>
      <w:sz w:val="18"/>
      <w:szCs w:val="22"/>
      <w:lang w:eastAsia="en-US"/>
    </w:rPr>
  </w:style>
  <w:style w:type="paragraph" w:styleId="Caption">
    <w:name w:val="caption"/>
    <w:basedOn w:val="Normal"/>
    <w:next w:val="Normal"/>
    <w:uiPriority w:val="35"/>
    <w:unhideWhenUsed/>
    <w:qFormat/>
    <w:rsid w:val="003544EC"/>
    <w:pPr>
      <w:keepNext/>
      <w:keepLines/>
      <w:spacing w:before="300" w:after="120" w:line="240" w:lineRule="auto"/>
    </w:pPr>
    <w:rPr>
      <w:rFonts w:ascii="Arial" w:hAnsi="Arial" w:cs="Arial"/>
      <w:b/>
      <w:bCs/>
      <w:szCs w:val="20"/>
    </w:rPr>
  </w:style>
  <w:style w:type="paragraph" w:styleId="TOC4">
    <w:name w:val="toc 4"/>
    <w:basedOn w:val="Normal"/>
    <w:next w:val="Normal"/>
    <w:autoRedefine/>
    <w:uiPriority w:val="39"/>
    <w:semiHidden/>
    <w:rsid w:val="004F0321"/>
    <w:pPr>
      <w:spacing w:after="100"/>
      <w:ind w:left="660"/>
    </w:pPr>
    <w:rPr>
      <w:rFonts w:eastAsia="Times New Roman"/>
      <w:lang w:eastAsia="en-AU"/>
    </w:rPr>
  </w:style>
  <w:style w:type="paragraph" w:styleId="TOC5">
    <w:name w:val="toc 5"/>
    <w:basedOn w:val="Normal"/>
    <w:next w:val="Normal"/>
    <w:autoRedefine/>
    <w:uiPriority w:val="39"/>
    <w:semiHidden/>
    <w:rsid w:val="004F0321"/>
    <w:pPr>
      <w:spacing w:after="100"/>
      <w:ind w:left="880"/>
    </w:pPr>
    <w:rPr>
      <w:rFonts w:eastAsia="Times New Roman"/>
      <w:lang w:eastAsia="en-AU"/>
    </w:rPr>
  </w:style>
  <w:style w:type="paragraph" w:styleId="TOC6">
    <w:name w:val="toc 6"/>
    <w:basedOn w:val="Normal"/>
    <w:next w:val="Normal"/>
    <w:autoRedefine/>
    <w:uiPriority w:val="39"/>
    <w:semiHidden/>
    <w:rsid w:val="004F0321"/>
    <w:pPr>
      <w:spacing w:after="100"/>
      <w:ind w:left="1100"/>
    </w:pPr>
    <w:rPr>
      <w:rFonts w:eastAsia="Times New Roman"/>
      <w:lang w:eastAsia="en-AU"/>
    </w:rPr>
  </w:style>
  <w:style w:type="paragraph" w:styleId="TOC7">
    <w:name w:val="toc 7"/>
    <w:basedOn w:val="Normal"/>
    <w:next w:val="Normal"/>
    <w:autoRedefine/>
    <w:uiPriority w:val="39"/>
    <w:semiHidden/>
    <w:rsid w:val="004F0321"/>
    <w:pPr>
      <w:spacing w:after="100"/>
      <w:ind w:left="1320"/>
    </w:pPr>
    <w:rPr>
      <w:rFonts w:eastAsia="Times New Roman"/>
      <w:lang w:eastAsia="en-AU"/>
    </w:rPr>
  </w:style>
  <w:style w:type="paragraph" w:styleId="TOC8">
    <w:name w:val="toc 8"/>
    <w:basedOn w:val="Normal"/>
    <w:next w:val="Normal"/>
    <w:autoRedefine/>
    <w:uiPriority w:val="39"/>
    <w:semiHidden/>
    <w:rsid w:val="004F0321"/>
    <w:pPr>
      <w:spacing w:after="100"/>
      <w:ind w:left="1540"/>
    </w:pPr>
    <w:rPr>
      <w:rFonts w:eastAsia="Times New Roman"/>
      <w:lang w:eastAsia="en-AU"/>
    </w:rPr>
  </w:style>
  <w:style w:type="paragraph" w:styleId="TOC9">
    <w:name w:val="toc 9"/>
    <w:basedOn w:val="Normal"/>
    <w:next w:val="Normal"/>
    <w:autoRedefine/>
    <w:uiPriority w:val="39"/>
    <w:semiHidden/>
    <w:rsid w:val="004F0321"/>
    <w:pPr>
      <w:spacing w:after="100"/>
      <w:ind w:left="1760"/>
    </w:pPr>
    <w:rPr>
      <w:rFonts w:eastAsia="Times New Roman"/>
      <w:lang w:eastAsia="en-AU"/>
    </w:rPr>
  </w:style>
  <w:style w:type="paragraph" w:styleId="NoSpacing">
    <w:name w:val="No Spacing"/>
    <w:uiPriority w:val="98"/>
    <w:semiHidden/>
    <w:qFormat/>
    <w:rsid w:val="004F0321"/>
    <w:rPr>
      <w:sz w:val="22"/>
      <w:szCs w:val="22"/>
      <w:lang w:eastAsia="en-US"/>
    </w:rPr>
  </w:style>
  <w:style w:type="paragraph" w:styleId="NormalWeb">
    <w:name w:val="Normal (Web)"/>
    <w:basedOn w:val="Normal"/>
    <w:uiPriority w:val="99"/>
    <w:semiHidden/>
    <w:rsid w:val="00B74A1F"/>
    <w:rPr>
      <w:rFonts w:ascii="Times New Roman" w:hAnsi="Times New Roman"/>
      <w:sz w:val="24"/>
      <w:szCs w:val="24"/>
    </w:rPr>
  </w:style>
  <w:style w:type="paragraph" w:styleId="ListParagraph">
    <w:name w:val="List Paragraph"/>
    <w:basedOn w:val="Normal"/>
    <w:uiPriority w:val="99"/>
    <w:semiHidden/>
    <w:qFormat/>
    <w:rsid w:val="00A26139"/>
    <w:pPr>
      <w:spacing w:after="200" w:line="276" w:lineRule="auto"/>
      <w:ind w:left="720"/>
      <w:contextualSpacing/>
    </w:pPr>
  </w:style>
  <w:style w:type="paragraph" w:customStyle="1" w:styleId="TableColHeadRight">
    <w:name w:val="Table Col Head Right"/>
    <w:basedOn w:val="TableColHead"/>
    <w:qFormat/>
    <w:rsid w:val="008C1BE0"/>
    <w:pPr>
      <w:jc w:val="right"/>
    </w:pPr>
  </w:style>
  <w:style w:type="paragraph" w:customStyle="1" w:styleId="TableTextBold">
    <w:name w:val="Table Text Bold"/>
    <w:basedOn w:val="TableText"/>
    <w:qFormat/>
    <w:rsid w:val="00CE2CE5"/>
    <w:rPr>
      <w:b/>
    </w:rPr>
  </w:style>
  <w:style w:type="paragraph" w:styleId="ListBullet2">
    <w:name w:val="List Bullet 2"/>
    <w:basedOn w:val="Normal"/>
    <w:uiPriority w:val="99"/>
    <w:rsid w:val="00A231D9"/>
    <w:pPr>
      <w:numPr>
        <w:numId w:val="29"/>
      </w:numPr>
      <w:contextualSpacing/>
    </w:pPr>
  </w:style>
  <w:style w:type="numbering" w:customStyle="1" w:styleId="CAVListStyleBullets">
    <w:name w:val="CAV List Style: Bullets"/>
    <w:uiPriority w:val="99"/>
    <w:rsid w:val="00C659AA"/>
    <w:pPr>
      <w:numPr>
        <w:numId w:val="7"/>
      </w:numPr>
    </w:pPr>
  </w:style>
  <w:style w:type="paragraph" w:styleId="BlockText">
    <w:name w:val="Block Text"/>
    <w:basedOn w:val="Normal"/>
    <w:semiHidden/>
    <w:rsid w:val="00C04AF5"/>
    <w:pPr>
      <w:spacing w:before="240" w:after="120" w:line="240" w:lineRule="auto"/>
      <w:ind w:left="1440" w:right="1440"/>
    </w:pPr>
    <w:rPr>
      <w:rFonts w:ascii="Arial" w:hAnsi="Arial" w:cs="Arial"/>
      <w:color w:val="FF0000"/>
      <w:u w:val="single"/>
      <w:lang w:eastAsia="en-AU"/>
    </w:rPr>
  </w:style>
  <w:style w:type="paragraph" w:styleId="FootnoteText">
    <w:name w:val="footnote text"/>
    <w:basedOn w:val="Normal"/>
    <w:link w:val="FootnoteTextChar"/>
    <w:uiPriority w:val="99"/>
    <w:rsid w:val="00A54548"/>
    <w:pPr>
      <w:spacing w:before="60" w:after="60" w:line="264" w:lineRule="auto"/>
      <w:ind w:left="340" w:hanging="340"/>
    </w:pPr>
    <w:rPr>
      <w:rFonts w:ascii="Arial" w:hAnsi="Arial" w:cs="Arial"/>
      <w:sz w:val="18"/>
      <w:szCs w:val="16"/>
    </w:rPr>
  </w:style>
  <w:style w:type="character" w:styleId="Emphasis">
    <w:name w:val="Emphasis"/>
    <w:uiPriority w:val="20"/>
    <w:qFormat/>
    <w:rsid w:val="00422C46"/>
    <w:rPr>
      <w:i/>
      <w:iCs/>
    </w:rPr>
  </w:style>
  <w:style w:type="character" w:styleId="Strong">
    <w:name w:val="Strong"/>
    <w:uiPriority w:val="22"/>
    <w:qFormat/>
    <w:rsid w:val="008A5248"/>
    <w:rPr>
      <w:b/>
      <w:bCs/>
    </w:rPr>
  </w:style>
  <w:style w:type="character" w:styleId="CommentReference">
    <w:name w:val="annotation reference"/>
    <w:uiPriority w:val="99"/>
    <w:semiHidden/>
    <w:unhideWhenUsed/>
    <w:rsid w:val="00E44B22"/>
    <w:rPr>
      <w:sz w:val="16"/>
      <w:szCs w:val="16"/>
    </w:rPr>
  </w:style>
  <w:style w:type="paragraph" w:styleId="CommentText">
    <w:name w:val="annotation text"/>
    <w:basedOn w:val="Normal"/>
    <w:link w:val="CommentTextChar"/>
    <w:uiPriority w:val="99"/>
    <w:semiHidden/>
    <w:unhideWhenUsed/>
    <w:rsid w:val="00E44B22"/>
    <w:rPr>
      <w:sz w:val="20"/>
      <w:szCs w:val="20"/>
    </w:rPr>
  </w:style>
  <w:style w:type="character" w:customStyle="1" w:styleId="CommentTextChar">
    <w:name w:val="Comment Text Char"/>
    <w:link w:val="CommentText"/>
    <w:uiPriority w:val="99"/>
    <w:semiHidden/>
    <w:rsid w:val="00E44B22"/>
    <w:rPr>
      <w:lang w:eastAsia="en-US"/>
    </w:rPr>
  </w:style>
  <w:style w:type="paragraph" w:styleId="CommentSubject">
    <w:name w:val="annotation subject"/>
    <w:basedOn w:val="CommentText"/>
    <w:next w:val="CommentText"/>
    <w:link w:val="CommentSubjectChar"/>
    <w:uiPriority w:val="99"/>
    <w:semiHidden/>
    <w:unhideWhenUsed/>
    <w:rsid w:val="00E44B22"/>
    <w:rPr>
      <w:b/>
      <w:bCs/>
    </w:rPr>
  </w:style>
  <w:style w:type="character" w:customStyle="1" w:styleId="CommentSubjectChar">
    <w:name w:val="Comment Subject Char"/>
    <w:link w:val="CommentSubject"/>
    <w:uiPriority w:val="99"/>
    <w:semiHidden/>
    <w:rsid w:val="00E44B22"/>
    <w:rPr>
      <w:b/>
      <w:bCs/>
      <w:lang w:eastAsia="en-US"/>
    </w:rPr>
  </w:style>
  <w:style w:type="paragraph" w:styleId="BalloonText">
    <w:name w:val="Balloon Text"/>
    <w:basedOn w:val="Normal"/>
    <w:link w:val="BalloonTextChar"/>
    <w:uiPriority w:val="99"/>
    <w:semiHidden/>
    <w:unhideWhenUsed/>
    <w:rsid w:val="00E44B2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44B22"/>
    <w:rPr>
      <w:rFonts w:ascii="Segoe UI" w:hAnsi="Segoe UI" w:cs="Segoe UI"/>
      <w:sz w:val="18"/>
      <w:szCs w:val="18"/>
      <w:lang w:eastAsia="en-US"/>
    </w:rPr>
  </w:style>
  <w:style w:type="character" w:customStyle="1" w:styleId="Heading4Char">
    <w:name w:val="Heading 4 Char"/>
    <w:link w:val="Heading4"/>
    <w:uiPriority w:val="9"/>
    <w:rsid w:val="00C076AD"/>
    <w:rPr>
      <w:rFonts w:ascii="Arial" w:eastAsia="Times New Roman" w:hAnsi="Arial"/>
      <w:b/>
      <w:bCs/>
      <w:sz w:val="26"/>
      <w:szCs w:val="26"/>
      <w:lang w:eastAsia="en-US"/>
    </w:rPr>
  </w:style>
  <w:style w:type="paragraph" w:styleId="Revision">
    <w:name w:val="Revision"/>
    <w:hidden/>
    <w:uiPriority w:val="99"/>
    <w:semiHidden/>
    <w:rsid w:val="00A73820"/>
    <w:rPr>
      <w:sz w:val="22"/>
      <w:szCs w:val="22"/>
      <w:lang w:eastAsia="en-US"/>
    </w:rPr>
  </w:style>
  <w:style w:type="character" w:customStyle="1" w:styleId="FootnoteTextChar">
    <w:name w:val="Footnote Text Char"/>
    <w:link w:val="FootnoteText"/>
    <w:uiPriority w:val="99"/>
    <w:rsid w:val="00A54548"/>
    <w:rPr>
      <w:rFonts w:ascii="Arial" w:hAnsi="Arial" w:cs="Arial"/>
      <w:sz w:val="18"/>
      <w:szCs w:val="16"/>
      <w:lang w:eastAsia="en-US"/>
    </w:rPr>
  </w:style>
  <w:style w:type="character" w:styleId="FootnoteReference">
    <w:name w:val="footnote reference"/>
    <w:uiPriority w:val="99"/>
    <w:rsid w:val="003D521F"/>
    <w:rPr>
      <w:vertAlign w:val="superscript"/>
    </w:rPr>
  </w:style>
  <w:style w:type="paragraph" w:styleId="TableofFigures">
    <w:name w:val="table of figures"/>
    <w:basedOn w:val="Normal"/>
    <w:next w:val="Normal"/>
    <w:uiPriority w:val="99"/>
    <w:semiHidden/>
    <w:unhideWhenUsed/>
    <w:rsid w:val="00624207"/>
  </w:style>
  <w:style w:type="character" w:styleId="FollowedHyperlink">
    <w:name w:val="FollowedHyperlink"/>
    <w:uiPriority w:val="99"/>
    <w:semiHidden/>
    <w:unhideWhenUsed/>
    <w:rsid w:val="004F061C"/>
    <w:rPr>
      <w:color w:val="954F72"/>
      <w:u w:val="single"/>
    </w:rPr>
  </w:style>
  <w:style w:type="paragraph" w:styleId="ListBullet">
    <w:name w:val="List Bullet"/>
    <w:basedOn w:val="Normal"/>
    <w:uiPriority w:val="99"/>
    <w:rsid w:val="00A10A1B"/>
    <w:pPr>
      <w:numPr>
        <w:numId w:val="28"/>
      </w:numPr>
      <w:spacing w:after="40" w:line="312" w:lineRule="auto"/>
      <w:ind w:left="357" w:hanging="357"/>
    </w:pPr>
    <w:rPr>
      <w:rFonts w:ascii="Arial" w:hAnsi="Arial"/>
      <w:sz w:val="20"/>
    </w:rPr>
  </w:style>
  <w:style w:type="character" w:customStyle="1" w:styleId="Heading5Char">
    <w:name w:val="Heading 5 Char"/>
    <w:link w:val="Heading5"/>
    <w:uiPriority w:val="9"/>
    <w:rsid w:val="00D03A6F"/>
    <w:rPr>
      <w:rFonts w:ascii="Arial" w:eastAsia="Times New Roman" w:hAnsi="Arial"/>
      <w:b/>
      <w:bCs/>
      <w:iCs/>
      <w:sz w:val="22"/>
      <w:szCs w:val="26"/>
      <w:lang w:eastAsia="en-US"/>
    </w:rPr>
  </w:style>
  <w:style w:type="paragraph" w:styleId="ListNumber">
    <w:name w:val="List Number"/>
    <w:basedOn w:val="Normal"/>
    <w:uiPriority w:val="99"/>
    <w:rsid w:val="00896A7C"/>
    <w:pPr>
      <w:numPr>
        <w:numId w:val="30"/>
      </w:numPr>
      <w:spacing w:line="312" w:lineRule="auto"/>
      <w:ind w:left="357" w:hanging="357"/>
      <w:contextualSpacing/>
    </w:pPr>
    <w:rPr>
      <w:rFonts w:ascii="Arial" w:hAnsi="Arial"/>
      <w:sz w:val="20"/>
    </w:rPr>
  </w:style>
  <w:style w:type="character" w:customStyle="1" w:styleId="UnresolvedMention1">
    <w:name w:val="Unresolved Mention1"/>
    <w:uiPriority w:val="99"/>
    <w:semiHidden/>
    <w:unhideWhenUsed/>
    <w:rsid w:val="003B545A"/>
    <w:rPr>
      <w:color w:val="808080"/>
      <w:shd w:val="clear" w:color="auto" w:fill="E6E6E6"/>
    </w:rPr>
  </w:style>
  <w:style w:type="character" w:customStyle="1" w:styleId="Heading6Char">
    <w:name w:val="Heading 6 Char"/>
    <w:link w:val="Heading6"/>
    <w:uiPriority w:val="9"/>
    <w:rsid w:val="00D03A6F"/>
    <w:rPr>
      <w:rFonts w:ascii="Arial" w:eastAsia="Times New Roman" w:hAnsi="Arial"/>
      <w:b/>
      <w:bCs/>
      <w:szCs w:val="22"/>
      <w:lang w:eastAsia="en-US"/>
    </w:rPr>
  </w:style>
  <w:style w:type="paragraph" w:customStyle="1" w:styleId="TableTextRightBold">
    <w:name w:val="Table Text Right Bold"/>
    <w:basedOn w:val="TableTextRight"/>
    <w:qFormat/>
    <w:rsid w:val="00006DE3"/>
    <w:rPr>
      <w:b/>
    </w:rPr>
  </w:style>
  <w:style w:type="character" w:customStyle="1" w:styleId="Superscript">
    <w:name w:val="Superscript"/>
    <w:uiPriority w:val="99"/>
    <w:rsid w:val="00D600AA"/>
    <w:rPr>
      <w:vertAlign w:val="superscript"/>
    </w:rPr>
  </w:style>
  <w:style w:type="paragraph" w:styleId="TOCHeading">
    <w:name w:val="TOC Heading"/>
    <w:basedOn w:val="Heading1"/>
    <w:next w:val="Normal"/>
    <w:uiPriority w:val="39"/>
    <w:semiHidden/>
    <w:unhideWhenUsed/>
    <w:qFormat/>
    <w:rsid w:val="00C77B2D"/>
    <w:pPr>
      <w:keepNext/>
      <w:keepLines/>
      <w:spacing w:before="480" w:after="0"/>
      <w:jc w:val="left"/>
      <w:outlineLvl w:val="9"/>
    </w:pPr>
    <w:rPr>
      <w:rFonts w:asciiTheme="majorHAnsi" w:eastAsiaTheme="majorEastAsia" w:hAnsiTheme="majorHAnsi" w:cstheme="majorBidi"/>
      <w:b/>
      <w:bCs/>
      <w:color w:val="365F91" w:themeColor="accent1" w:themeShade="BF"/>
      <w:sz w:val="28"/>
      <w:szCs w:val="28"/>
    </w:rPr>
  </w:style>
  <w:style w:type="paragraph" w:customStyle="1" w:styleId="NoParagraphStyle">
    <w:name w:val="[No Paragraph Style]"/>
    <w:rsid w:val="00A66C4F"/>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paragraph" w:customStyle="1" w:styleId="BasicParagraph">
    <w:name w:val="[Basic Paragraph]"/>
    <w:basedOn w:val="NoParagraphStyle"/>
    <w:uiPriority w:val="99"/>
    <w:rsid w:val="00A66C4F"/>
    <w:rPr>
      <w:rFonts w:ascii="Calibri" w:hAnsi="Calibri" w:cs="Calibri"/>
      <w:sz w:val="22"/>
      <w:szCs w:val="22"/>
    </w:rPr>
  </w:style>
  <w:style w:type="paragraph" w:customStyle="1" w:styleId="PhotoCaption">
    <w:name w:val="Photo Caption"/>
    <w:basedOn w:val="Normal"/>
    <w:uiPriority w:val="99"/>
    <w:rsid w:val="008F07FE"/>
    <w:pPr>
      <w:keepNext/>
      <w:widowControl w:val="0"/>
      <w:tabs>
        <w:tab w:val="left" w:pos="440"/>
        <w:tab w:val="left" w:pos="660"/>
      </w:tabs>
      <w:suppressAutoHyphens/>
      <w:autoSpaceDE w:val="0"/>
      <w:autoSpaceDN w:val="0"/>
      <w:adjustRightInd w:val="0"/>
      <w:spacing w:after="57" w:line="224" w:lineRule="atLeast"/>
      <w:textAlignment w:val="center"/>
    </w:pPr>
    <w:rPr>
      <w:rFonts w:ascii="VIC-Medium" w:eastAsiaTheme="minorEastAsia" w:hAnsi="VIC-Medium" w:cs="VIC-Medium"/>
      <w:bCs/>
      <w:color w:val="000002"/>
      <w:sz w:val="18"/>
      <w:szCs w:val="18"/>
      <w:lang w:val="en-GB" w:eastAsia="en-AU"/>
    </w:rPr>
  </w:style>
  <w:style w:type="paragraph" w:customStyle="1" w:styleId="TableInline">
    <w:name w:val="Table Inline"/>
    <w:basedOn w:val="Normal"/>
    <w:uiPriority w:val="99"/>
    <w:rsid w:val="00A66C4F"/>
    <w:pPr>
      <w:widowControl w:val="0"/>
      <w:suppressAutoHyphens/>
      <w:autoSpaceDE w:val="0"/>
      <w:autoSpaceDN w:val="0"/>
      <w:adjustRightInd w:val="0"/>
      <w:spacing w:after="283" w:line="270" w:lineRule="atLeast"/>
      <w:textAlignment w:val="center"/>
    </w:pPr>
    <w:rPr>
      <w:rFonts w:ascii="VIC-Regular" w:eastAsiaTheme="minorEastAsia" w:hAnsi="VIC-Regular" w:cs="VIC-Regular"/>
      <w:color w:val="000000"/>
      <w:sz w:val="21"/>
      <w:szCs w:val="21"/>
      <w:lang w:val="en-GB" w:eastAsia="en-AU"/>
    </w:rPr>
  </w:style>
  <w:style w:type="paragraph" w:customStyle="1" w:styleId="TableFootnote">
    <w:name w:val="Table Footnote"/>
    <w:basedOn w:val="Normal"/>
    <w:uiPriority w:val="99"/>
    <w:rsid w:val="00347F6C"/>
    <w:pPr>
      <w:widowControl w:val="0"/>
      <w:suppressAutoHyphens/>
      <w:autoSpaceDE w:val="0"/>
      <w:autoSpaceDN w:val="0"/>
      <w:adjustRightInd w:val="0"/>
      <w:spacing w:after="43" w:line="220" w:lineRule="atLeast"/>
      <w:ind w:left="283" w:hanging="283"/>
      <w:textAlignment w:val="center"/>
    </w:pPr>
    <w:rPr>
      <w:rFonts w:ascii="VIC-Regular" w:eastAsiaTheme="minorEastAsia" w:hAnsi="VIC-Regular" w:cs="VIC-Regular"/>
      <w:color w:val="000000"/>
      <w:sz w:val="18"/>
      <w:szCs w:val="18"/>
      <w:lang w:val="en-GB" w:eastAsia="en-AU"/>
    </w:rPr>
  </w:style>
  <w:style w:type="paragraph" w:customStyle="1" w:styleId="TableFootnoteLeft">
    <w:name w:val="Table Footnote Left"/>
    <w:basedOn w:val="TableFootnote"/>
    <w:uiPriority w:val="99"/>
    <w:rsid w:val="00A66C4F"/>
    <w:pPr>
      <w:ind w:left="0" w:firstLine="0"/>
    </w:pPr>
  </w:style>
  <w:style w:type="character" w:styleId="UnresolvedMention">
    <w:name w:val="Unresolved Mention"/>
    <w:basedOn w:val="DefaultParagraphFont"/>
    <w:uiPriority w:val="99"/>
    <w:semiHidden/>
    <w:unhideWhenUsed/>
    <w:rsid w:val="00D31B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09724">
      <w:bodyDiv w:val="1"/>
      <w:marLeft w:val="0"/>
      <w:marRight w:val="0"/>
      <w:marTop w:val="0"/>
      <w:marBottom w:val="0"/>
      <w:divBdr>
        <w:top w:val="none" w:sz="0" w:space="0" w:color="auto"/>
        <w:left w:val="none" w:sz="0" w:space="0" w:color="auto"/>
        <w:bottom w:val="none" w:sz="0" w:space="0" w:color="auto"/>
        <w:right w:val="none" w:sz="0" w:space="0" w:color="auto"/>
      </w:divBdr>
    </w:div>
    <w:div w:id="67700473">
      <w:bodyDiv w:val="1"/>
      <w:marLeft w:val="0"/>
      <w:marRight w:val="0"/>
      <w:marTop w:val="0"/>
      <w:marBottom w:val="0"/>
      <w:divBdr>
        <w:top w:val="none" w:sz="0" w:space="0" w:color="auto"/>
        <w:left w:val="none" w:sz="0" w:space="0" w:color="auto"/>
        <w:bottom w:val="none" w:sz="0" w:space="0" w:color="auto"/>
        <w:right w:val="none" w:sz="0" w:space="0" w:color="auto"/>
      </w:divBdr>
    </w:div>
    <w:div w:id="78991551">
      <w:bodyDiv w:val="1"/>
      <w:marLeft w:val="0"/>
      <w:marRight w:val="0"/>
      <w:marTop w:val="0"/>
      <w:marBottom w:val="0"/>
      <w:divBdr>
        <w:top w:val="none" w:sz="0" w:space="0" w:color="auto"/>
        <w:left w:val="none" w:sz="0" w:space="0" w:color="auto"/>
        <w:bottom w:val="none" w:sz="0" w:space="0" w:color="auto"/>
        <w:right w:val="none" w:sz="0" w:space="0" w:color="auto"/>
      </w:divBdr>
    </w:div>
    <w:div w:id="94137366">
      <w:bodyDiv w:val="1"/>
      <w:marLeft w:val="0"/>
      <w:marRight w:val="0"/>
      <w:marTop w:val="0"/>
      <w:marBottom w:val="0"/>
      <w:divBdr>
        <w:top w:val="none" w:sz="0" w:space="0" w:color="auto"/>
        <w:left w:val="none" w:sz="0" w:space="0" w:color="auto"/>
        <w:bottom w:val="none" w:sz="0" w:space="0" w:color="auto"/>
        <w:right w:val="none" w:sz="0" w:space="0" w:color="auto"/>
      </w:divBdr>
    </w:div>
    <w:div w:id="119108128">
      <w:bodyDiv w:val="1"/>
      <w:marLeft w:val="0"/>
      <w:marRight w:val="0"/>
      <w:marTop w:val="0"/>
      <w:marBottom w:val="0"/>
      <w:divBdr>
        <w:top w:val="none" w:sz="0" w:space="0" w:color="auto"/>
        <w:left w:val="none" w:sz="0" w:space="0" w:color="auto"/>
        <w:bottom w:val="none" w:sz="0" w:space="0" w:color="auto"/>
        <w:right w:val="none" w:sz="0" w:space="0" w:color="auto"/>
      </w:divBdr>
    </w:div>
    <w:div w:id="177160737">
      <w:bodyDiv w:val="1"/>
      <w:marLeft w:val="0"/>
      <w:marRight w:val="0"/>
      <w:marTop w:val="0"/>
      <w:marBottom w:val="0"/>
      <w:divBdr>
        <w:top w:val="none" w:sz="0" w:space="0" w:color="auto"/>
        <w:left w:val="none" w:sz="0" w:space="0" w:color="auto"/>
        <w:bottom w:val="none" w:sz="0" w:space="0" w:color="auto"/>
        <w:right w:val="none" w:sz="0" w:space="0" w:color="auto"/>
      </w:divBdr>
    </w:div>
    <w:div w:id="179854712">
      <w:bodyDiv w:val="1"/>
      <w:marLeft w:val="0"/>
      <w:marRight w:val="0"/>
      <w:marTop w:val="0"/>
      <w:marBottom w:val="0"/>
      <w:divBdr>
        <w:top w:val="none" w:sz="0" w:space="0" w:color="auto"/>
        <w:left w:val="none" w:sz="0" w:space="0" w:color="auto"/>
        <w:bottom w:val="none" w:sz="0" w:space="0" w:color="auto"/>
        <w:right w:val="none" w:sz="0" w:space="0" w:color="auto"/>
      </w:divBdr>
    </w:div>
    <w:div w:id="246889497">
      <w:bodyDiv w:val="1"/>
      <w:marLeft w:val="0"/>
      <w:marRight w:val="0"/>
      <w:marTop w:val="0"/>
      <w:marBottom w:val="0"/>
      <w:divBdr>
        <w:top w:val="none" w:sz="0" w:space="0" w:color="auto"/>
        <w:left w:val="none" w:sz="0" w:space="0" w:color="auto"/>
        <w:bottom w:val="none" w:sz="0" w:space="0" w:color="auto"/>
        <w:right w:val="none" w:sz="0" w:space="0" w:color="auto"/>
      </w:divBdr>
    </w:div>
    <w:div w:id="248735409">
      <w:bodyDiv w:val="1"/>
      <w:marLeft w:val="0"/>
      <w:marRight w:val="0"/>
      <w:marTop w:val="0"/>
      <w:marBottom w:val="0"/>
      <w:divBdr>
        <w:top w:val="none" w:sz="0" w:space="0" w:color="auto"/>
        <w:left w:val="none" w:sz="0" w:space="0" w:color="auto"/>
        <w:bottom w:val="none" w:sz="0" w:space="0" w:color="auto"/>
        <w:right w:val="none" w:sz="0" w:space="0" w:color="auto"/>
      </w:divBdr>
    </w:div>
    <w:div w:id="269624268">
      <w:bodyDiv w:val="1"/>
      <w:marLeft w:val="0"/>
      <w:marRight w:val="0"/>
      <w:marTop w:val="0"/>
      <w:marBottom w:val="0"/>
      <w:divBdr>
        <w:top w:val="none" w:sz="0" w:space="0" w:color="auto"/>
        <w:left w:val="none" w:sz="0" w:space="0" w:color="auto"/>
        <w:bottom w:val="none" w:sz="0" w:space="0" w:color="auto"/>
        <w:right w:val="none" w:sz="0" w:space="0" w:color="auto"/>
      </w:divBdr>
    </w:div>
    <w:div w:id="306325682">
      <w:bodyDiv w:val="1"/>
      <w:marLeft w:val="0"/>
      <w:marRight w:val="0"/>
      <w:marTop w:val="0"/>
      <w:marBottom w:val="0"/>
      <w:divBdr>
        <w:top w:val="none" w:sz="0" w:space="0" w:color="auto"/>
        <w:left w:val="none" w:sz="0" w:space="0" w:color="auto"/>
        <w:bottom w:val="none" w:sz="0" w:space="0" w:color="auto"/>
        <w:right w:val="none" w:sz="0" w:space="0" w:color="auto"/>
      </w:divBdr>
    </w:div>
    <w:div w:id="324090989">
      <w:bodyDiv w:val="1"/>
      <w:marLeft w:val="0"/>
      <w:marRight w:val="0"/>
      <w:marTop w:val="0"/>
      <w:marBottom w:val="0"/>
      <w:divBdr>
        <w:top w:val="none" w:sz="0" w:space="0" w:color="auto"/>
        <w:left w:val="none" w:sz="0" w:space="0" w:color="auto"/>
        <w:bottom w:val="none" w:sz="0" w:space="0" w:color="auto"/>
        <w:right w:val="none" w:sz="0" w:space="0" w:color="auto"/>
      </w:divBdr>
    </w:div>
    <w:div w:id="447622962">
      <w:bodyDiv w:val="1"/>
      <w:marLeft w:val="0"/>
      <w:marRight w:val="0"/>
      <w:marTop w:val="0"/>
      <w:marBottom w:val="0"/>
      <w:divBdr>
        <w:top w:val="none" w:sz="0" w:space="0" w:color="auto"/>
        <w:left w:val="none" w:sz="0" w:space="0" w:color="auto"/>
        <w:bottom w:val="none" w:sz="0" w:space="0" w:color="auto"/>
        <w:right w:val="none" w:sz="0" w:space="0" w:color="auto"/>
      </w:divBdr>
    </w:div>
    <w:div w:id="602615279">
      <w:bodyDiv w:val="1"/>
      <w:marLeft w:val="0"/>
      <w:marRight w:val="0"/>
      <w:marTop w:val="0"/>
      <w:marBottom w:val="0"/>
      <w:divBdr>
        <w:top w:val="none" w:sz="0" w:space="0" w:color="auto"/>
        <w:left w:val="none" w:sz="0" w:space="0" w:color="auto"/>
        <w:bottom w:val="none" w:sz="0" w:space="0" w:color="auto"/>
        <w:right w:val="none" w:sz="0" w:space="0" w:color="auto"/>
      </w:divBdr>
    </w:div>
    <w:div w:id="604195287">
      <w:bodyDiv w:val="1"/>
      <w:marLeft w:val="0"/>
      <w:marRight w:val="0"/>
      <w:marTop w:val="0"/>
      <w:marBottom w:val="0"/>
      <w:divBdr>
        <w:top w:val="none" w:sz="0" w:space="0" w:color="auto"/>
        <w:left w:val="none" w:sz="0" w:space="0" w:color="auto"/>
        <w:bottom w:val="none" w:sz="0" w:space="0" w:color="auto"/>
        <w:right w:val="none" w:sz="0" w:space="0" w:color="auto"/>
      </w:divBdr>
    </w:div>
    <w:div w:id="615451468">
      <w:bodyDiv w:val="1"/>
      <w:marLeft w:val="0"/>
      <w:marRight w:val="0"/>
      <w:marTop w:val="0"/>
      <w:marBottom w:val="0"/>
      <w:divBdr>
        <w:top w:val="none" w:sz="0" w:space="0" w:color="auto"/>
        <w:left w:val="none" w:sz="0" w:space="0" w:color="auto"/>
        <w:bottom w:val="none" w:sz="0" w:space="0" w:color="auto"/>
        <w:right w:val="none" w:sz="0" w:space="0" w:color="auto"/>
      </w:divBdr>
    </w:div>
    <w:div w:id="687145850">
      <w:bodyDiv w:val="1"/>
      <w:marLeft w:val="0"/>
      <w:marRight w:val="0"/>
      <w:marTop w:val="0"/>
      <w:marBottom w:val="0"/>
      <w:divBdr>
        <w:top w:val="none" w:sz="0" w:space="0" w:color="auto"/>
        <w:left w:val="none" w:sz="0" w:space="0" w:color="auto"/>
        <w:bottom w:val="none" w:sz="0" w:space="0" w:color="auto"/>
        <w:right w:val="none" w:sz="0" w:space="0" w:color="auto"/>
      </w:divBdr>
    </w:div>
    <w:div w:id="719675233">
      <w:bodyDiv w:val="1"/>
      <w:marLeft w:val="0"/>
      <w:marRight w:val="0"/>
      <w:marTop w:val="0"/>
      <w:marBottom w:val="0"/>
      <w:divBdr>
        <w:top w:val="none" w:sz="0" w:space="0" w:color="auto"/>
        <w:left w:val="none" w:sz="0" w:space="0" w:color="auto"/>
        <w:bottom w:val="none" w:sz="0" w:space="0" w:color="auto"/>
        <w:right w:val="none" w:sz="0" w:space="0" w:color="auto"/>
      </w:divBdr>
    </w:div>
    <w:div w:id="756513019">
      <w:bodyDiv w:val="1"/>
      <w:marLeft w:val="0"/>
      <w:marRight w:val="0"/>
      <w:marTop w:val="0"/>
      <w:marBottom w:val="0"/>
      <w:divBdr>
        <w:top w:val="none" w:sz="0" w:space="0" w:color="auto"/>
        <w:left w:val="none" w:sz="0" w:space="0" w:color="auto"/>
        <w:bottom w:val="none" w:sz="0" w:space="0" w:color="auto"/>
        <w:right w:val="none" w:sz="0" w:space="0" w:color="auto"/>
      </w:divBdr>
    </w:div>
    <w:div w:id="1287397041">
      <w:bodyDiv w:val="1"/>
      <w:marLeft w:val="0"/>
      <w:marRight w:val="0"/>
      <w:marTop w:val="0"/>
      <w:marBottom w:val="0"/>
      <w:divBdr>
        <w:top w:val="none" w:sz="0" w:space="0" w:color="auto"/>
        <w:left w:val="none" w:sz="0" w:space="0" w:color="auto"/>
        <w:bottom w:val="none" w:sz="0" w:space="0" w:color="auto"/>
        <w:right w:val="none" w:sz="0" w:space="0" w:color="auto"/>
      </w:divBdr>
    </w:div>
    <w:div w:id="1322276776">
      <w:bodyDiv w:val="1"/>
      <w:marLeft w:val="0"/>
      <w:marRight w:val="0"/>
      <w:marTop w:val="0"/>
      <w:marBottom w:val="0"/>
      <w:divBdr>
        <w:top w:val="none" w:sz="0" w:space="0" w:color="auto"/>
        <w:left w:val="none" w:sz="0" w:space="0" w:color="auto"/>
        <w:bottom w:val="none" w:sz="0" w:space="0" w:color="auto"/>
        <w:right w:val="none" w:sz="0" w:space="0" w:color="auto"/>
      </w:divBdr>
    </w:div>
    <w:div w:id="1328286301">
      <w:bodyDiv w:val="1"/>
      <w:marLeft w:val="0"/>
      <w:marRight w:val="0"/>
      <w:marTop w:val="0"/>
      <w:marBottom w:val="0"/>
      <w:divBdr>
        <w:top w:val="none" w:sz="0" w:space="0" w:color="auto"/>
        <w:left w:val="none" w:sz="0" w:space="0" w:color="auto"/>
        <w:bottom w:val="none" w:sz="0" w:space="0" w:color="auto"/>
        <w:right w:val="none" w:sz="0" w:space="0" w:color="auto"/>
      </w:divBdr>
    </w:div>
    <w:div w:id="1437676124">
      <w:bodyDiv w:val="1"/>
      <w:marLeft w:val="0"/>
      <w:marRight w:val="0"/>
      <w:marTop w:val="0"/>
      <w:marBottom w:val="0"/>
      <w:divBdr>
        <w:top w:val="none" w:sz="0" w:space="0" w:color="auto"/>
        <w:left w:val="none" w:sz="0" w:space="0" w:color="auto"/>
        <w:bottom w:val="none" w:sz="0" w:space="0" w:color="auto"/>
        <w:right w:val="none" w:sz="0" w:space="0" w:color="auto"/>
      </w:divBdr>
    </w:div>
    <w:div w:id="1467624668">
      <w:bodyDiv w:val="1"/>
      <w:marLeft w:val="0"/>
      <w:marRight w:val="0"/>
      <w:marTop w:val="0"/>
      <w:marBottom w:val="0"/>
      <w:divBdr>
        <w:top w:val="none" w:sz="0" w:space="0" w:color="auto"/>
        <w:left w:val="none" w:sz="0" w:space="0" w:color="auto"/>
        <w:bottom w:val="none" w:sz="0" w:space="0" w:color="auto"/>
        <w:right w:val="none" w:sz="0" w:space="0" w:color="auto"/>
      </w:divBdr>
    </w:div>
    <w:div w:id="1484932626">
      <w:bodyDiv w:val="1"/>
      <w:marLeft w:val="0"/>
      <w:marRight w:val="0"/>
      <w:marTop w:val="0"/>
      <w:marBottom w:val="0"/>
      <w:divBdr>
        <w:top w:val="none" w:sz="0" w:space="0" w:color="auto"/>
        <w:left w:val="none" w:sz="0" w:space="0" w:color="auto"/>
        <w:bottom w:val="none" w:sz="0" w:space="0" w:color="auto"/>
        <w:right w:val="none" w:sz="0" w:space="0" w:color="auto"/>
      </w:divBdr>
      <w:divsChild>
        <w:div w:id="1172337714">
          <w:marLeft w:val="0"/>
          <w:marRight w:val="0"/>
          <w:marTop w:val="0"/>
          <w:marBottom w:val="0"/>
          <w:divBdr>
            <w:top w:val="none" w:sz="0" w:space="0" w:color="auto"/>
            <w:left w:val="none" w:sz="0" w:space="0" w:color="auto"/>
            <w:bottom w:val="none" w:sz="0" w:space="0" w:color="auto"/>
            <w:right w:val="none" w:sz="0" w:space="0" w:color="auto"/>
          </w:divBdr>
        </w:div>
      </w:divsChild>
    </w:div>
    <w:div w:id="1494101328">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13640862">
      <w:bodyDiv w:val="1"/>
      <w:marLeft w:val="0"/>
      <w:marRight w:val="0"/>
      <w:marTop w:val="0"/>
      <w:marBottom w:val="0"/>
      <w:divBdr>
        <w:top w:val="none" w:sz="0" w:space="0" w:color="auto"/>
        <w:left w:val="none" w:sz="0" w:space="0" w:color="auto"/>
        <w:bottom w:val="none" w:sz="0" w:space="0" w:color="auto"/>
        <w:right w:val="none" w:sz="0" w:space="0" w:color="auto"/>
      </w:divBdr>
    </w:div>
    <w:div w:id="1525553732">
      <w:bodyDiv w:val="1"/>
      <w:marLeft w:val="0"/>
      <w:marRight w:val="0"/>
      <w:marTop w:val="0"/>
      <w:marBottom w:val="0"/>
      <w:divBdr>
        <w:top w:val="none" w:sz="0" w:space="0" w:color="auto"/>
        <w:left w:val="none" w:sz="0" w:space="0" w:color="auto"/>
        <w:bottom w:val="none" w:sz="0" w:space="0" w:color="auto"/>
        <w:right w:val="none" w:sz="0" w:space="0" w:color="auto"/>
      </w:divBdr>
      <w:divsChild>
        <w:div w:id="372467232">
          <w:marLeft w:val="274"/>
          <w:marRight w:val="0"/>
          <w:marTop w:val="86"/>
          <w:marBottom w:val="0"/>
          <w:divBdr>
            <w:top w:val="none" w:sz="0" w:space="0" w:color="auto"/>
            <w:left w:val="none" w:sz="0" w:space="0" w:color="auto"/>
            <w:bottom w:val="none" w:sz="0" w:space="0" w:color="auto"/>
            <w:right w:val="none" w:sz="0" w:space="0" w:color="auto"/>
          </w:divBdr>
        </w:div>
        <w:div w:id="1300647180">
          <w:marLeft w:val="274"/>
          <w:marRight w:val="0"/>
          <w:marTop w:val="86"/>
          <w:marBottom w:val="0"/>
          <w:divBdr>
            <w:top w:val="none" w:sz="0" w:space="0" w:color="auto"/>
            <w:left w:val="none" w:sz="0" w:space="0" w:color="auto"/>
            <w:bottom w:val="none" w:sz="0" w:space="0" w:color="auto"/>
            <w:right w:val="none" w:sz="0" w:space="0" w:color="auto"/>
          </w:divBdr>
        </w:div>
        <w:div w:id="1693341467">
          <w:marLeft w:val="274"/>
          <w:marRight w:val="0"/>
          <w:marTop w:val="86"/>
          <w:marBottom w:val="0"/>
          <w:divBdr>
            <w:top w:val="none" w:sz="0" w:space="0" w:color="auto"/>
            <w:left w:val="none" w:sz="0" w:space="0" w:color="auto"/>
            <w:bottom w:val="none" w:sz="0" w:space="0" w:color="auto"/>
            <w:right w:val="none" w:sz="0" w:space="0" w:color="auto"/>
          </w:divBdr>
        </w:div>
      </w:divsChild>
    </w:div>
    <w:div w:id="1697073557">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92479087">
      <w:bodyDiv w:val="1"/>
      <w:marLeft w:val="0"/>
      <w:marRight w:val="0"/>
      <w:marTop w:val="0"/>
      <w:marBottom w:val="0"/>
      <w:divBdr>
        <w:top w:val="none" w:sz="0" w:space="0" w:color="auto"/>
        <w:left w:val="none" w:sz="0" w:space="0" w:color="auto"/>
        <w:bottom w:val="none" w:sz="0" w:space="0" w:color="auto"/>
        <w:right w:val="none" w:sz="0" w:space="0" w:color="auto"/>
      </w:divBdr>
    </w:div>
    <w:div w:id="1806922394">
      <w:bodyDiv w:val="1"/>
      <w:marLeft w:val="0"/>
      <w:marRight w:val="0"/>
      <w:marTop w:val="0"/>
      <w:marBottom w:val="0"/>
      <w:divBdr>
        <w:top w:val="none" w:sz="0" w:space="0" w:color="auto"/>
        <w:left w:val="none" w:sz="0" w:space="0" w:color="auto"/>
        <w:bottom w:val="none" w:sz="0" w:space="0" w:color="auto"/>
        <w:right w:val="none" w:sz="0" w:space="0" w:color="auto"/>
      </w:divBdr>
    </w:div>
    <w:div w:id="1813980390">
      <w:bodyDiv w:val="1"/>
      <w:marLeft w:val="0"/>
      <w:marRight w:val="0"/>
      <w:marTop w:val="0"/>
      <w:marBottom w:val="0"/>
      <w:divBdr>
        <w:top w:val="none" w:sz="0" w:space="0" w:color="auto"/>
        <w:left w:val="none" w:sz="0" w:space="0" w:color="auto"/>
        <w:bottom w:val="none" w:sz="0" w:space="0" w:color="auto"/>
        <w:right w:val="none" w:sz="0" w:space="0" w:color="auto"/>
      </w:divBdr>
    </w:div>
    <w:div w:id="1816216685">
      <w:bodyDiv w:val="1"/>
      <w:marLeft w:val="0"/>
      <w:marRight w:val="0"/>
      <w:marTop w:val="0"/>
      <w:marBottom w:val="0"/>
      <w:divBdr>
        <w:top w:val="none" w:sz="0" w:space="0" w:color="auto"/>
        <w:left w:val="none" w:sz="0" w:space="0" w:color="auto"/>
        <w:bottom w:val="none" w:sz="0" w:space="0" w:color="auto"/>
        <w:right w:val="none" w:sz="0" w:space="0" w:color="auto"/>
      </w:divBdr>
    </w:div>
    <w:div w:id="1874076455">
      <w:bodyDiv w:val="1"/>
      <w:marLeft w:val="0"/>
      <w:marRight w:val="0"/>
      <w:marTop w:val="0"/>
      <w:marBottom w:val="0"/>
      <w:divBdr>
        <w:top w:val="none" w:sz="0" w:space="0" w:color="auto"/>
        <w:left w:val="none" w:sz="0" w:space="0" w:color="auto"/>
        <w:bottom w:val="none" w:sz="0" w:space="0" w:color="auto"/>
        <w:right w:val="none" w:sz="0" w:space="0" w:color="auto"/>
      </w:divBdr>
    </w:div>
    <w:div w:id="1911038311">
      <w:bodyDiv w:val="1"/>
      <w:marLeft w:val="0"/>
      <w:marRight w:val="0"/>
      <w:marTop w:val="0"/>
      <w:marBottom w:val="0"/>
      <w:divBdr>
        <w:top w:val="none" w:sz="0" w:space="0" w:color="auto"/>
        <w:left w:val="none" w:sz="0" w:space="0" w:color="auto"/>
        <w:bottom w:val="none" w:sz="0" w:space="0" w:color="auto"/>
        <w:right w:val="none" w:sz="0" w:space="0" w:color="auto"/>
      </w:divBdr>
    </w:div>
    <w:div w:id="1934164282">
      <w:bodyDiv w:val="1"/>
      <w:marLeft w:val="0"/>
      <w:marRight w:val="0"/>
      <w:marTop w:val="0"/>
      <w:marBottom w:val="0"/>
      <w:divBdr>
        <w:top w:val="none" w:sz="0" w:space="0" w:color="auto"/>
        <w:left w:val="none" w:sz="0" w:space="0" w:color="auto"/>
        <w:bottom w:val="none" w:sz="0" w:space="0" w:color="auto"/>
        <w:right w:val="none" w:sz="0" w:space="0" w:color="auto"/>
      </w:divBdr>
    </w:div>
    <w:div w:id="1949459399">
      <w:bodyDiv w:val="1"/>
      <w:marLeft w:val="0"/>
      <w:marRight w:val="0"/>
      <w:marTop w:val="0"/>
      <w:marBottom w:val="0"/>
      <w:divBdr>
        <w:top w:val="none" w:sz="0" w:space="0" w:color="auto"/>
        <w:left w:val="none" w:sz="0" w:space="0" w:color="auto"/>
        <w:bottom w:val="none" w:sz="0" w:space="0" w:color="auto"/>
        <w:right w:val="none" w:sz="0" w:space="0" w:color="auto"/>
      </w:divBdr>
    </w:div>
    <w:div w:id="2026129576">
      <w:bodyDiv w:val="1"/>
      <w:marLeft w:val="0"/>
      <w:marRight w:val="0"/>
      <w:marTop w:val="0"/>
      <w:marBottom w:val="0"/>
      <w:divBdr>
        <w:top w:val="none" w:sz="0" w:space="0" w:color="auto"/>
        <w:left w:val="none" w:sz="0" w:space="0" w:color="auto"/>
        <w:bottom w:val="none" w:sz="0" w:space="0" w:color="auto"/>
        <w:right w:val="none" w:sz="0" w:space="0" w:color="auto"/>
      </w:divBdr>
    </w:div>
    <w:div w:id="2066440490">
      <w:bodyDiv w:val="1"/>
      <w:marLeft w:val="0"/>
      <w:marRight w:val="0"/>
      <w:marTop w:val="0"/>
      <w:marBottom w:val="0"/>
      <w:divBdr>
        <w:top w:val="none" w:sz="0" w:space="0" w:color="auto"/>
        <w:left w:val="none" w:sz="0" w:space="0" w:color="auto"/>
        <w:bottom w:val="none" w:sz="0" w:space="0" w:color="auto"/>
        <w:right w:val="none" w:sz="0" w:space="0" w:color="auto"/>
      </w:divBdr>
    </w:div>
    <w:div w:id="2089302896">
      <w:bodyDiv w:val="1"/>
      <w:marLeft w:val="0"/>
      <w:marRight w:val="0"/>
      <w:marTop w:val="0"/>
      <w:marBottom w:val="0"/>
      <w:divBdr>
        <w:top w:val="none" w:sz="0" w:space="0" w:color="auto"/>
        <w:left w:val="none" w:sz="0" w:space="0" w:color="auto"/>
        <w:bottom w:val="none" w:sz="0" w:space="0" w:color="auto"/>
        <w:right w:val="none" w:sz="0" w:space="0" w:color="auto"/>
      </w:divBdr>
    </w:div>
    <w:div w:id="212808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yperlink" Target="https://www.consumer.vic.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twitter.com/consumervic"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creativecommons.org/licenses/by/4.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facebook.com/ConsumerAffairsVictori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svg"/><Relationship Id="rId5" Type="http://schemas.openxmlformats.org/officeDocument/2006/relationships/customXml" Target="../customXml/item5.xml"/><Relationship Id="rId15" Type="http://schemas.openxmlformats.org/officeDocument/2006/relationships/image" Target="media/image4.jpg"/><Relationship Id="rId23" Type="http://schemas.openxmlformats.org/officeDocument/2006/relationships/image" Target="media/image5.png"/><Relationship Id="rId10" Type="http://schemas.openxmlformats.org/officeDocument/2006/relationships/footnotes" Target="footnotes.xml"/><Relationship Id="rId19" Type="http://schemas.openxmlformats.org/officeDocument/2006/relationships/hyperlink" Target="https://www.consumer.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 Id="rId22" Type="http://schemas.openxmlformats.org/officeDocument/2006/relationships/hyperlink" Target="https://www.youtube.com/consumerv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als xmlns="a0a21f9c-edc1-4b0f-a2f7-c6ac7f14bc3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265D79D61091942A4A1BAD50811B0D9" ma:contentTypeVersion="13" ma:contentTypeDescription="Create a new document." ma:contentTypeScope="" ma:versionID="87eee164cec5a6cdaccf97637b19185a">
  <xsd:schema xmlns:xsd="http://www.w3.org/2001/XMLSchema" xmlns:xs="http://www.w3.org/2001/XMLSchema" xmlns:p="http://schemas.microsoft.com/office/2006/metadata/properties" xmlns:ns2="a0a21f9c-edc1-4b0f-a2f7-c6ac7f14bc31" xmlns:ns3="60b6a01b-9bff-4298-a3fd-070febc62cfa" targetNamespace="http://schemas.microsoft.com/office/2006/metadata/properties" ma:root="true" ma:fieldsID="c12aa030d1e48bddc92b6384bca75688" ns2:_="" ns3:_="">
    <xsd:import namespace="a0a21f9c-edc1-4b0f-a2f7-c6ac7f14bc31"/>
    <xsd:import namespace="60b6a01b-9bff-4298-a3fd-070febc62c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Approva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21f9c-edc1-4b0f-a2f7-c6ac7f14b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Approvals" ma:index="20" nillable="true" ma:displayName="Approvals" ma:description="Details of approvals" ma:format="Dropdown" ma:internalName="Approval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b6a01b-9bff-4298-a3fd-070febc62c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313A83-F3EF-4BC5-B324-F68E5B173B56}">
  <ds:schemaRefs>
    <ds:schemaRef ds:uri="http://schemas.openxmlformats.org/officeDocument/2006/bibliography"/>
  </ds:schemaRefs>
</ds:datastoreItem>
</file>

<file path=customXml/itemProps2.xml><?xml version="1.0" encoding="utf-8"?>
<ds:datastoreItem xmlns:ds="http://schemas.openxmlformats.org/officeDocument/2006/customXml" ds:itemID="{926D2FBC-62FC-444A-A0D0-E2A3A33B2AA5}">
  <ds:schemaRefs>
    <ds:schemaRef ds:uri="http://schemas.openxmlformats.org/officeDocument/2006/bibliography"/>
  </ds:schemaRefs>
</ds:datastoreItem>
</file>

<file path=customXml/itemProps3.xml><?xml version="1.0" encoding="utf-8"?>
<ds:datastoreItem xmlns:ds="http://schemas.openxmlformats.org/officeDocument/2006/customXml" ds:itemID="{8552FFC0-9A6C-42D9-A085-6DE87F0306D7}">
  <ds:schemaRefs>
    <ds:schemaRef ds:uri="http://schemas.microsoft.com/sharepoint/v3/contenttype/forms"/>
  </ds:schemaRefs>
</ds:datastoreItem>
</file>

<file path=customXml/itemProps4.xml><?xml version="1.0" encoding="utf-8"?>
<ds:datastoreItem xmlns:ds="http://schemas.openxmlformats.org/officeDocument/2006/customXml" ds:itemID="{98D29388-6E65-44D2-B6D8-1414BE7B31D6}">
  <ds:schemaRefs>
    <ds:schemaRef ds:uri="http://schemas.microsoft.com/office/2006/metadata/properties"/>
    <ds:schemaRef ds:uri="http://schemas.microsoft.com/office/infopath/2007/PartnerControls"/>
    <ds:schemaRef ds:uri="a0a21f9c-edc1-4b0f-a2f7-c6ac7f14bc31"/>
  </ds:schemaRefs>
</ds:datastoreItem>
</file>

<file path=customXml/itemProps5.xml><?xml version="1.0" encoding="utf-8"?>
<ds:datastoreItem xmlns:ds="http://schemas.openxmlformats.org/officeDocument/2006/customXml" ds:itemID="{73BBF796-9E83-4463-B722-A72BA7C7A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21f9c-edc1-4b0f-a2f7-c6ac7f14bc31"/>
    <ds:schemaRef ds:uri="60b6a01b-9bff-4298-a3fd-070febc62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32</Pages>
  <Words>7718</Words>
  <Characters>43993</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Consumer Affairs Victoria Annual Report 2019-20</vt:lpstr>
    </vt:vector>
  </TitlesOfParts>
  <Company>Victorian Department of Justice and Community Safety</Company>
  <LinksUpToDate>false</LinksUpToDate>
  <CharactersWithSpaces>51608</CharactersWithSpaces>
  <SharedDoc>false</SharedDoc>
  <HLinks>
    <vt:vector size="132" baseType="variant">
      <vt:variant>
        <vt:i4>3211309</vt:i4>
      </vt:variant>
      <vt:variant>
        <vt:i4>120</vt:i4>
      </vt:variant>
      <vt:variant>
        <vt:i4>0</vt:i4>
      </vt:variant>
      <vt:variant>
        <vt:i4>5</vt:i4>
      </vt:variant>
      <vt:variant>
        <vt:lpwstr>http://www.youtube.com/consumervic</vt:lpwstr>
      </vt:variant>
      <vt:variant>
        <vt:lpwstr/>
      </vt:variant>
      <vt:variant>
        <vt:i4>7536702</vt:i4>
      </vt:variant>
      <vt:variant>
        <vt:i4>117</vt:i4>
      </vt:variant>
      <vt:variant>
        <vt:i4>0</vt:i4>
      </vt:variant>
      <vt:variant>
        <vt:i4>5</vt:i4>
      </vt:variant>
      <vt:variant>
        <vt:lpwstr>https://twitter.com/consumervic</vt:lpwstr>
      </vt:variant>
      <vt:variant>
        <vt:lpwstr/>
      </vt:variant>
      <vt:variant>
        <vt:i4>4718659</vt:i4>
      </vt:variant>
      <vt:variant>
        <vt:i4>114</vt:i4>
      </vt:variant>
      <vt:variant>
        <vt:i4>0</vt:i4>
      </vt:variant>
      <vt:variant>
        <vt:i4>5</vt:i4>
      </vt:variant>
      <vt:variant>
        <vt:lpwstr>https://www.facebook.com/ConsumerAffairsVictoria</vt:lpwstr>
      </vt:variant>
      <vt:variant>
        <vt:lpwstr/>
      </vt:variant>
      <vt:variant>
        <vt:i4>65536</vt:i4>
      </vt:variant>
      <vt:variant>
        <vt:i4>111</vt:i4>
      </vt:variant>
      <vt:variant>
        <vt:i4>0</vt:i4>
      </vt:variant>
      <vt:variant>
        <vt:i4>5</vt:i4>
      </vt:variant>
      <vt:variant>
        <vt:lpwstr>https://www.consumer.vic.gov.au/</vt:lpwstr>
      </vt:variant>
      <vt:variant>
        <vt:lpwstr/>
      </vt:variant>
      <vt:variant>
        <vt:i4>1900594</vt:i4>
      </vt:variant>
      <vt:variant>
        <vt:i4>104</vt:i4>
      </vt:variant>
      <vt:variant>
        <vt:i4>0</vt:i4>
      </vt:variant>
      <vt:variant>
        <vt:i4>5</vt:i4>
      </vt:variant>
      <vt:variant>
        <vt:lpwstr/>
      </vt:variant>
      <vt:variant>
        <vt:lpwstr>_Toc524534097</vt:lpwstr>
      </vt:variant>
      <vt:variant>
        <vt:i4>1900594</vt:i4>
      </vt:variant>
      <vt:variant>
        <vt:i4>98</vt:i4>
      </vt:variant>
      <vt:variant>
        <vt:i4>0</vt:i4>
      </vt:variant>
      <vt:variant>
        <vt:i4>5</vt:i4>
      </vt:variant>
      <vt:variant>
        <vt:lpwstr/>
      </vt:variant>
      <vt:variant>
        <vt:lpwstr>_Toc524534096</vt:lpwstr>
      </vt:variant>
      <vt:variant>
        <vt:i4>1900594</vt:i4>
      </vt:variant>
      <vt:variant>
        <vt:i4>92</vt:i4>
      </vt:variant>
      <vt:variant>
        <vt:i4>0</vt:i4>
      </vt:variant>
      <vt:variant>
        <vt:i4>5</vt:i4>
      </vt:variant>
      <vt:variant>
        <vt:lpwstr/>
      </vt:variant>
      <vt:variant>
        <vt:lpwstr>_Toc524534095</vt:lpwstr>
      </vt:variant>
      <vt:variant>
        <vt:i4>1900594</vt:i4>
      </vt:variant>
      <vt:variant>
        <vt:i4>86</vt:i4>
      </vt:variant>
      <vt:variant>
        <vt:i4>0</vt:i4>
      </vt:variant>
      <vt:variant>
        <vt:i4>5</vt:i4>
      </vt:variant>
      <vt:variant>
        <vt:lpwstr/>
      </vt:variant>
      <vt:variant>
        <vt:lpwstr>_Toc524534094</vt:lpwstr>
      </vt:variant>
      <vt:variant>
        <vt:i4>1900594</vt:i4>
      </vt:variant>
      <vt:variant>
        <vt:i4>80</vt:i4>
      </vt:variant>
      <vt:variant>
        <vt:i4>0</vt:i4>
      </vt:variant>
      <vt:variant>
        <vt:i4>5</vt:i4>
      </vt:variant>
      <vt:variant>
        <vt:lpwstr/>
      </vt:variant>
      <vt:variant>
        <vt:lpwstr>_Toc524534093</vt:lpwstr>
      </vt:variant>
      <vt:variant>
        <vt:i4>1900594</vt:i4>
      </vt:variant>
      <vt:variant>
        <vt:i4>74</vt:i4>
      </vt:variant>
      <vt:variant>
        <vt:i4>0</vt:i4>
      </vt:variant>
      <vt:variant>
        <vt:i4>5</vt:i4>
      </vt:variant>
      <vt:variant>
        <vt:lpwstr/>
      </vt:variant>
      <vt:variant>
        <vt:lpwstr>_Toc524534092</vt:lpwstr>
      </vt:variant>
      <vt:variant>
        <vt:i4>1900594</vt:i4>
      </vt:variant>
      <vt:variant>
        <vt:i4>68</vt:i4>
      </vt:variant>
      <vt:variant>
        <vt:i4>0</vt:i4>
      </vt:variant>
      <vt:variant>
        <vt:i4>5</vt:i4>
      </vt:variant>
      <vt:variant>
        <vt:lpwstr/>
      </vt:variant>
      <vt:variant>
        <vt:lpwstr>_Toc524534091</vt:lpwstr>
      </vt:variant>
      <vt:variant>
        <vt:i4>1900594</vt:i4>
      </vt:variant>
      <vt:variant>
        <vt:i4>62</vt:i4>
      </vt:variant>
      <vt:variant>
        <vt:i4>0</vt:i4>
      </vt:variant>
      <vt:variant>
        <vt:i4>5</vt:i4>
      </vt:variant>
      <vt:variant>
        <vt:lpwstr/>
      </vt:variant>
      <vt:variant>
        <vt:lpwstr>_Toc524534090</vt:lpwstr>
      </vt:variant>
      <vt:variant>
        <vt:i4>1835058</vt:i4>
      </vt:variant>
      <vt:variant>
        <vt:i4>56</vt:i4>
      </vt:variant>
      <vt:variant>
        <vt:i4>0</vt:i4>
      </vt:variant>
      <vt:variant>
        <vt:i4>5</vt:i4>
      </vt:variant>
      <vt:variant>
        <vt:lpwstr/>
      </vt:variant>
      <vt:variant>
        <vt:lpwstr>_Toc524534089</vt:lpwstr>
      </vt:variant>
      <vt:variant>
        <vt:i4>1835058</vt:i4>
      </vt:variant>
      <vt:variant>
        <vt:i4>50</vt:i4>
      </vt:variant>
      <vt:variant>
        <vt:i4>0</vt:i4>
      </vt:variant>
      <vt:variant>
        <vt:i4>5</vt:i4>
      </vt:variant>
      <vt:variant>
        <vt:lpwstr/>
      </vt:variant>
      <vt:variant>
        <vt:lpwstr>_Toc524534088</vt:lpwstr>
      </vt:variant>
      <vt:variant>
        <vt:i4>1835058</vt:i4>
      </vt:variant>
      <vt:variant>
        <vt:i4>44</vt:i4>
      </vt:variant>
      <vt:variant>
        <vt:i4>0</vt:i4>
      </vt:variant>
      <vt:variant>
        <vt:i4>5</vt:i4>
      </vt:variant>
      <vt:variant>
        <vt:lpwstr/>
      </vt:variant>
      <vt:variant>
        <vt:lpwstr>_Toc524534087</vt:lpwstr>
      </vt:variant>
      <vt:variant>
        <vt:i4>1835058</vt:i4>
      </vt:variant>
      <vt:variant>
        <vt:i4>38</vt:i4>
      </vt:variant>
      <vt:variant>
        <vt:i4>0</vt:i4>
      </vt:variant>
      <vt:variant>
        <vt:i4>5</vt:i4>
      </vt:variant>
      <vt:variant>
        <vt:lpwstr/>
      </vt:variant>
      <vt:variant>
        <vt:lpwstr>_Toc524534086</vt:lpwstr>
      </vt:variant>
      <vt:variant>
        <vt:i4>1835058</vt:i4>
      </vt:variant>
      <vt:variant>
        <vt:i4>32</vt:i4>
      </vt:variant>
      <vt:variant>
        <vt:i4>0</vt:i4>
      </vt:variant>
      <vt:variant>
        <vt:i4>5</vt:i4>
      </vt:variant>
      <vt:variant>
        <vt:lpwstr/>
      </vt:variant>
      <vt:variant>
        <vt:lpwstr>_Toc524534085</vt:lpwstr>
      </vt:variant>
      <vt:variant>
        <vt:i4>1835058</vt:i4>
      </vt:variant>
      <vt:variant>
        <vt:i4>26</vt:i4>
      </vt:variant>
      <vt:variant>
        <vt:i4>0</vt:i4>
      </vt:variant>
      <vt:variant>
        <vt:i4>5</vt:i4>
      </vt:variant>
      <vt:variant>
        <vt:lpwstr/>
      </vt:variant>
      <vt:variant>
        <vt:lpwstr>_Toc524534084</vt:lpwstr>
      </vt:variant>
      <vt:variant>
        <vt:i4>1835058</vt:i4>
      </vt:variant>
      <vt:variant>
        <vt:i4>20</vt:i4>
      </vt:variant>
      <vt:variant>
        <vt:i4>0</vt:i4>
      </vt:variant>
      <vt:variant>
        <vt:i4>5</vt:i4>
      </vt:variant>
      <vt:variant>
        <vt:lpwstr/>
      </vt:variant>
      <vt:variant>
        <vt:lpwstr>_Toc524534083</vt:lpwstr>
      </vt:variant>
      <vt:variant>
        <vt:i4>1835058</vt:i4>
      </vt:variant>
      <vt:variant>
        <vt:i4>14</vt:i4>
      </vt:variant>
      <vt:variant>
        <vt:i4>0</vt:i4>
      </vt:variant>
      <vt:variant>
        <vt:i4>5</vt:i4>
      </vt:variant>
      <vt:variant>
        <vt:lpwstr/>
      </vt:variant>
      <vt:variant>
        <vt:lpwstr>_Toc524534082</vt:lpwstr>
      </vt:variant>
      <vt:variant>
        <vt:i4>1835058</vt:i4>
      </vt:variant>
      <vt:variant>
        <vt:i4>8</vt:i4>
      </vt:variant>
      <vt:variant>
        <vt:i4>0</vt:i4>
      </vt:variant>
      <vt:variant>
        <vt:i4>5</vt:i4>
      </vt:variant>
      <vt:variant>
        <vt:lpwstr/>
      </vt:variant>
      <vt:variant>
        <vt:lpwstr>_Toc524534081</vt:lpwstr>
      </vt:variant>
      <vt:variant>
        <vt:i4>1835058</vt:i4>
      </vt:variant>
      <vt:variant>
        <vt:i4>2</vt:i4>
      </vt:variant>
      <vt:variant>
        <vt:i4>0</vt:i4>
      </vt:variant>
      <vt:variant>
        <vt:i4>5</vt:i4>
      </vt:variant>
      <vt:variant>
        <vt:lpwstr/>
      </vt:variant>
      <vt:variant>
        <vt:lpwstr>_Toc524534080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Affairs Victoria Annual Report 2019-20</dc:title>
  <dc:creator>Consumer Affairs Victoria</dc:creator>
  <cp:lastModifiedBy>Ingrid Wang (DJCS)</cp:lastModifiedBy>
  <cp:revision>36</cp:revision>
  <cp:lastPrinted>2020-11-11T03:27:00Z</cp:lastPrinted>
  <dcterms:created xsi:type="dcterms:W3CDTF">2019-11-28T23:34:00Z</dcterms:created>
  <dcterms:modified xsi:type="dcterms:W3CDTF">2021-01-14T06:31:00Z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0x0101005265D79D61091942A4A1BAD50811B0D9</vt:lpwstr>
  </property>
</Properties>
</file>