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80" w:rsidRPr="00062049" w:rsidRDefault="00C90E80" w:rsidP="00E15E1B">
      <w:pPr>
        <w:pStyle w:val="Heading1"/>
        <w:spacing w:before="4400" w:after="8400"/>
      </w:pPr>
      <w:r w:rsidRPr="00062049">
        <w:t>Annual</w:t>
      </w:r>
      <w:r w:rsidR="00E15E1B">
        <w:t xml:space="preserve"> </w:t>
      </w:r>
      <w:r w:rsidRPr="00062049">
        <w:t>Report</w:t>
      </w:r>
      <w:r w:rsidR="00E15E1B">
        <w:t xml:space="preserve"> </w:t>
      </w:r>
      <w:r w:rsidRPr="00062049">
        <w:t>201</w:t>
      </w:r>
      <w:r w:rsidR="00625180">
        <w:t>7</w:t>
      </w:r>
      <w:r w:rsidR="00232A4C">
        <w:t>–</w:t>
      </w:r>
      <w:r w:rsidRPr="00062049">
        <w:t>1</w:t>
      </w:r>
      <w:r w:rsidR="00625180">
        <w:t>8</w:t>
      </w:r>
    </w:p>
    <w:p w:rsidR="00062049" w:rsidRPr="003D521F" w:rsidRDefault="002D316F" w:rsidP="00FF30B8">
      <w:pPr>
        <w:pStyle w:val="BodyText"/>
        <w:jc w:val="right"/>
      </w:pPr>
      <w:r>
        <w:rPr>
          <w:noProof/>
          <w:lang w:eastAsia="en-AU"/>
        </w:rPr>
        <w:drawing>
          <wp:inline distT="0" distB="0" distL="0" distR="0" wp14:anchorId="35B96ACD" wp14:editId="254306FA">
            <wp:extent cx="1913255" cy="525145"/>
            <wp:effectExtent l="0" t="0" r="0" b="8255"/>
            <wp:docPr id="1" name="Picture 1" descr="Consumer Affairs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umer Affairs Victo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3BB" w:rsidRDefault="003913BB" w:rsidP="003913BB">
      <w:pPr>
        <w:pStyle w:val="Heading2"/>
      </w:pPr>
      <w:bookmarkStart w:id="0" w:name="_Toc525132651"/>
      <w:r>
        <w:lastRenderedPageBreak/>
        <w:t>Letter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Minister</w:t>
      </w:r>
      <w:bookmarkEnd w:id="0"/>
    </w:p>
    <w:p w:rsidR="003913BB" w:rsidRDefault="002D316F" w:rsidP="003913BB">
      <w:pPr>
        <w:pStyle w:val="BodyText"/>
        <w:spacing w:after="40"/>
      </w:pPr>
      <w:r>
        <w:rPr>
          <w:noProof/>
          <w:lang w:eastAsia="en-AU"/>
        </w:rPr>
        <w:drawing>
          <wp:inline distT="0" distB="0" distL="0" distR="0" wp14:anchorId="176F69C2" wp14:editId="2838EF26">
            <wp:extent cx="1206226" cy="1200150"/>
            <wp:effectExtent l="0" t="0" r="0" b="0"/>
            <wp:docPr id="2" name="Picture 2" descr="The Hon. Marlene Kairouz 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: Marlene Kairou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22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3BB" w:rsidRPr="003932B1" w:rsidRDefault="003913BB" w:rsidP="003913BB">
      <w:pPr>
        <w:pStyle w:val="BodyTextSmallSpace"/>
        <w:rPr>
          <w:rStyle w:val="Strong"/>
        </w:rPr>
      </w:pPr>
      <w:r w:rsidRPr="003932B1">
        <w:rPr>
          <w:rStyle w:val="Strong"/>
        </w:rPr>
        <w:t>The</w:t>
      </w:r>
      <w:r w:rsidR="00E15E1B">
        <w:rPr>
          <w:rStyle w:val="Strong"/>
        </w:rPr>
        <w:t xml:space="preserve"> </w:t>
      </w:r>
      <w:r w:rsidRPr="003932B1">
        <w:rPr>
          <w:rStyle w:val="Strong"/>
        </w:rPr>
        <w:t>Hon.</w:t>
      </w:r>
      <w:r w:rsidR="00E15E1B">
        <w:rPr>
          <w:rStyle w:val="Strong"/>
        </w:rPr>
        <w:t xml:space="preserve"> </w:t>
      </w:r>
      <w:r w:rsidRPr="003932B1">
        <w:rPr>
          <w:rStyle w:val="Strong"/>
        </w:rPr>
        <w:t>Marlene</w:t>
      </w:r>
      <w:r w:rsidR="00E15E1B">
        <w:rPr>
          <w:rStyle w:val="Strong"/>
        </w:rPr>
        <w:t xml:space="preserve"> </w:t>
      </w:r>
      <w:r w:rsidRPr="003932B1">
        <w:rPr>
          <w:rStyle w:val="Strong"/>
        </w:rPr>
        <w:t>Kairouz</w:t>
      </w:r>
      <w:r w:rsidR="00E15E1B">
        <w:rPr>
          <w:rStyle w:val="Strong"/>
        </w:rPr>
        <w:t xml:space="preserve"> </w:t>
      </w:r>
      <w:r w:rsidRPr="003932B1">
        <w:rPr>
          <w:rStyle w:val="Strong"/>
        </w:rPr>
        <w:t>MP</w:t>
      </w:r>
    </w:p>
    <w:p w:rsidR="003913BB" w:rsidRDefault="003913BB" w:rsidP="003913BB">
      <w:pPr>
        <w:pStyle w:val="BodyTextSmallSpace"/>
        <w:spacing w:before="0"/>
      </w:pPr>
      <w:r>
        <w:t>Minister</w:t>
      </w:r>
      <w:r w:rsidR="00E15E1B">
        <w:t xml:space="preserve"> </w:t>
      </w:r>
      <w:r>
        <w:t>for</w:t>
      </w:r>
      <w:r w:rsidR="00E15E1B">
        <w:t xml:space="preserve"> </w:t>
      </w:r>
      <w:r>
        <w:t>Consumer</w:t>
      </w:r>
      <w:r w:rsidR="00E15E1B">
        <w:t xml:space="preserve"> </w:t>
      </w:r>
      <w:r>
        <w:t>Affairs,</w:t>
      </w:r>
      <w:r w:rsidR="00E15E1B">
        <w:t xml:space="preserve"> </w:t>
      </w:r>
      <w:r>
        <w:br/>
        <w:t>Gaming</w:t>
      </w:r>
      <w:r w:rsidR="00E15E1B">
        <w:t xml:space="preserve"> </w:t>
      </w:r>
      <w:r>
        <w:t>and</w:t>
      </w:r>
      <w:r w:rsidR="00E15E1B">
        <w:t xml:space="preserve"> </w:t>
      </w:r>
      <w:r>
        <w:t>Liquor</w:t>
      </w:r>
      <w:r w:rsidR="00E15E1B">
        <w:t xml:space="preserve"> </w:t>
      </w:r>
      <w:r>
        <w:t>Regulation</w:t>
      </w:r>
    </w:p>
    <w:p w:rsidR="00E953DB" w:rsidRDefault="00E953DB" w:rsidP="003913BB">
      <w:pPr>
        <w:pStyle w:val="BodyText"/>
      </w:pPr>
      <w:r>
        <w:t>Dear</w:t>
      </w:r>
      <w:r w:rsidR="00E15E1B">
        <w:t xml:space="preserve"> </w:t>
      </w:r>
      <w:r>
        <w:t>Minister</w:t>
      </w:r>
    </w:p>
    <w:p w:rsidR="003913BB" w:rsidRDefault="003913BB" w:rsidP="003913BB">
      <w:pPr>
        <w:pStyle w:val="BodyText"/>
      </w:pPr>
      <w:r>
        <w:t>In</w:t>
      </w:r>
      <w:r w:rsidR="00E15E1B">
        <w:t xml:space="preserve"> </w:t>
      </w:r>
      <w:r>
        <w:t>accordance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Australian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Consumer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Law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and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Fair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Trading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2012</w:t>
      </w:r>
      <w:r>
        <w:t>,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Credit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(Administration)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1984</w:t>
      </w:r>
      <w:r w:rsidR="00E15E1B">
        <w:t xml:space="preserve"> </w:t>
      </w:r>
      <w:r>
        <w:t>and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Veterans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2005</w:t>
      </w:r>
      <w:r>
        <w:t>,</w:t>
      </w:r>
      <w:r w:rsidR="00E15E1B">
        <w:t xml:space="preserve"> </w:t>
      </w:r>
      <w:r>
        <w:t>I</w:t>
      </w:r>
      <w:r w:rsidR="00E15E1B">
        <w:t xml:space="preserve"> </w:t>
      </w:r>
      <w:r>
        <w:t>am</w:t>
      </w:r>
      <w:r w:rsidR="00E15E1B">
        <w:t xml:space="preserve"> </w:t>
      </w:r>
      <w:r>
        <w:t>pleased</w:t>
      </w:r>
      <w:r w:rsidR="00E15E1B">
        <w:t xml:space="preserve"> </w:t>
      </w:r>
      <w:r>
        <w:t>to</w:t>
      </w:r>
      <w:r w:rsidR="00E15E1B">
        <w:t xml:space="preserve"> </w:t>
      </w:r>
      <w:r>
        <w:t>present</w:t>
      </w:r>
      <w:r w:rsidR="00E15E1B">
        <w:t xml:space="preserve"> </w:t>
      </w:r>
      <w:r>
        <w:t>the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Victoria</w:t>
      </w:r>
      <w:r w:rsidR="00E15E1B">
        <w:t xml:space="preserve"> </w:t>
      </w:r>
      <w:r>
        <w:t>Annual</w:t>
      </w:r>
      <w:r w:rsidR="00E15E1B">
        <w:t xml:space="preserve"> </w:t>
      </w:r>
      <w:r>
        <w:t>Report</w:t>
      </w:r>
      <w:r w:rsidR="00E15E1B">
        <w:t xml:space="preserve"> </w:t>
      </w:r>
      <w:r>
        <w:t>for</w:t>
      </w:r>
      <w:r w:rsidR="00E15E1B">
        <w:t xml:space="preserve"> </w:t>
      </w:r>
      <w:r>
        <w:t>the</w:t>
      </w:r>
      <w:r w:rsidR="00E15E1B">
        <w:t xml:space="preserve"> </w:t>
      </w:r>
      <w:r>
        <w:t>year</w:t>
      </w:r>
      <w:r w:rsidR="00E15E1B">
        <w:t xml:space="preserve"> </w:t>
      </w:r>
      <w:r>
        <w:t>ending</w:t>
      </w:r>
      <w:r w:rsidR="00E15E1B">
        <w:t xml:space="preserve"> </w:t>
      </w:r>
      <w:r>
        <w:t>30</w:t>
      </w:r>
      <w:r w:rsidR="00E15E1B">
        <w:t xml:space="preserve"> </w:t>
      </w:r>
      <w:r>
        <w:t>June</w:t>
      </w:r>
      <w:r w:rsidR="00E15E1B">
        <w:t xml:space="preserve"> </w:t>
      </w:r>
      <w:r>
        <w:t>2018.</w:t>
      </w:r>
    </w:p>
    <w:p w:rsidR="003913BB" w:rsidRDefault="003913BB" w:rsidP="003913BB">
      <w:pPr>
        <w:pStyle w:val="BodyText"/>
      </w:pPr>
      <w:r>
        <w:t>Yours</w:t>
      </w:r>
      <w:r w:rsidR="00E15E1B">
        <w:t xml:space="preserve"> </w:t>
      </w:r>
      <w:r>
        <w:t>sincerely,</w:t>
      </w:r>
    </w:p>
    <w:p w:rsidR="003913BB" w:rsidRPr="00215056" w:rsidRDefault="002D316F" w:rsidP="003913BB">
      <w:pPr>
        <w:pStyle w:val="BodyText"/>
      </w:pPr>
      <w:r>
        <w:rPr>
          <w:noProof/>
          <w:lang w:eastAsia="en-AU"/>
        </w:rPr>
        <w:drawing>
          <wp:inline distT="0" distB="0" distL="0" distR="0" wp14:anchorId="2B3B5D12" wp14:editId="1F6E5455">
            <wp:extent cx="1360170" cy="656590"/>
            <wp:effectExtent l="0" t="0" r="0" b="0"/>
            <wp:docPr id="3" name="Picture 3" descr="Simon Cohe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on Cohen signa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3BB" w:rsidRDefault="003913BB" w:rsidP="00BD3E39">
      <w:pPr>
        <w:pStyle w:val="BodyTextSmallSpace"/>
      </w:pPr>
      <w:r w:rsidRPr="003932B1">
        <w:rPr>
          <w:rStyle w:val="Strong"/>
        </w:rPr>
        <w:t>Simon</w:t>
      </w:r>
      <w:r w:rsidR="00E15E1B">
        <w:rPr>
          <w:rStyle w:val="Strong"/>
        </w:rPr>
        <w:t xml:space="preserve"> </w:t>
      </w:r>
      <w:r w:rsidRPr="003932B1">
        <w:rPr>
          <w:rStyle w:val="Strong"/>
        </w:rPr>
        <w:t>Cohen</w:t>
      </w:r>
      <w:r w:rsidR="00BD3E39">
        <w:rPr>
          <w:rStyle w:val="Strong"/>
        </w:rPr>
        <w:br/>
      </w:r>
      <w:r>
        <w:t>Director,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Victoria</w:t>
      </w:r>
      <w:r>
        <w:br/>
        <w:t>Deputy</w:t>
      </w:r>
      <w:r w:rsidR="00E15E1B">
        <w:t xml:space="preserve"> </w:t>
      </w:r>
      <w:r>
        <w:t>Secretary,</w:t>
      </w:r>
      <w:r w:rsidR="00E15E1B">
        <w:t xml:space="preserve"> </w:t>
      </w:r>
      <w:r>
        <w:t>Regulation,</w:t>
      </w:r>
      <w:r w:rsidR="00E15E1B">
        <w:t xml:space="preserve"> </w:t>
      </w:r>
      <w:r>
        <w:br/>
        <w:t>Department</w:t>
      </w:r>
      <w:r w:rsidR="00E15E1B">
        <w:t xml:space="preserve"> </w:t>
      </w:r>
      <w:r>
        <w:t>of</w:t>
      </w:r>
      <w:r w:rsidR="00E15E1B">
        <w:t xml:space="preserve"> </w:t>
      </w:r>
      <w:r>
        <w:t>Justice</w:t>
      </w:r>
      <w:r w:rsidR="00E15E1B">
        <w:t xml:space="preserve"> </w:t>
      </w:r>
      <w:r>
        <w:t>and</w:t>
      </w:r>
      <w:r w:rsidR="00E15E1B">
        <w:t xml:space="preserve"> </w:t>
      </w:r>
      <w:r>
        <w:t>Regulation</w:t>
      </w:r>
    </w:p>
    <w:p w:rsidR="008E1660" w:rsidRDefault="008E1660" w:rsidP="008E1660">
      <w:pPr>
        <w:pStyle w:val="Heading2"/>
      </w:pPr>
      <w:bookmarkStart w:id="1" w:name="_Toc525132652"/>
      <w:r>
        <w:lastRenderedPageBreak/>
        <w:t>Director’s</w:t>
      </w:r>
      <w:r w:rsidR="00E15E1B">
        <w:t xml:space="preserve"> </w:t>
      </w:r>
      <w:r>
        <w:t>foreword</w:t>
      </w:r>
      <w:bookmarkEnd w:id="1"/>
    </w:p>
    <w:p w:rsidR="00215056" w:rsidRDefault="002D316F" w:rsidP="008E1660">
      <w:pPr>
        <w:pStyle w:val="BodyText"/>
      </w:pPr>
      <w:r>
        <w:rPr>
          <w:noProof/>
          <w:lang w:eastAsia="en-AU"/>
        </w:rPr>
        <w:drawing>
          <wp:inline distT="0" distB="0" distL="0" distR="0" wp14:anchorId="66A5FDB8" wp14:editId="09036892">
            <wp:extent cx="1211702" cy="1214755"/>
            <wp:effectExtent l="0" t="0" r="7620" b="4445"/>
            <wp:docPr id="4" name="Picture 4" descr="Simon Co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: Simon Coh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702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mission</w:t>
      </w:r>
      <w:r w:rsidR="00E15E1B">
        <w:t xml:space="preserve"> </w:t>
      </w:r>
      <w:r>
        <w:t>of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Victoria</w:t>
      </w:r>
      <w:r w:rsidR="00E15E1B">
        <w:t xml:space="preserve"> </w:t>
      </w:r>
      <w:r>
        <w:t>is</w:t>
      </w:r>
      <w:r w:rsidR="00E15E1B">
        <w:t xml:space="preserve"> </w:t>
      </w:r>
      <w:r>
        <w:t>a</w:t>
      </w:r>
      <w:r w:rsidR="00E15E1B">
        <w:t xml:space="preserve"> </w:t>
      </w:r>
      <w:r>
        <w:t>clear</w:t>
      </w:r>
      <w:r w:rsidR="00E15E1B">
        <w:t xml:space="preserve"> </w:t>
      </w:r>
      <w:r>
        <w:t>one</w:t>
      </w:r>
      <w:r w:rsidR="00E15E1B">
        <w:t xml:space="preserve"> </w:t>
      </w:r>
      <w:r>
        <w:t>–</w:t>
      </w:r>
      <w:r w:rsidR="00E15E1B">
        <w:t xml:space="preserve"> </w:t>
      </w:r>
      <w:r>
        <w:t>to</w:t>
      </w:r>
      <w:r w:rsidR="00E15E1B">
        <w:t xml:space="preserve"> </w:t>
      </w:r>
      <w:r>
        <w:t>promote</w:t>
      </w:r>
      <w:r w:rsidR="00E15E1B">
        <w:t xml:space="preserve"> </w:t>
      </w:r>
      <w:r>
        <w:t>a</w:t>
      </w:r>
      <w:r w:rsidR="00E15E1B">
        <w:t xml:space="preserve"> </w:t>
      </w:r>
      <w:r>
        <w:t>fair</w:t>
      </w:r>
      <w:r w:rsidR="00E15E1B">
        <w:t xml:space="preserve"> </w:t>
      </w:r>
      <w:r>
        <w:t>and</w:t>
      </w:r>
      <w:r w:rsidR="00E15E1B">
        <w:t xml:space="preserve"> </w:t>
      </w:r>
      <w:r>
        <w:t>competitive</w:t>
      </w:r>
      <w:r w:rsidR="00E15E1B">
        <w:t xml:space="preserve"> </w:t>
      </w:r>
      <w:r>
        <w:t>Victorian</w:t>
      </w:r>
      <w:r w:rsidR="00E15E1B">
        <w:t xml:space="preserve"> </w:t>
      </w:r>
      <w:r>
        <w:t>marketplace.</w:t>
      </w:r>
    </w:p>
    <w:p w:rsidR="00156239" w:rsidRDefault="00156239" w:rsidP="00156239">
      <w:pPr>
        <w:pStyle w:val="BodyText"/>
      </w:pPr>
      <w:r>
        <w:t>Our</w:t>
      </w:r>
      <w:r w:rsidR="00E15E1B">
        <w:t xml:space="preserve"> </w:t>
      </w:r>
      <w:r>
        <w:t>approach</w:t>
      </w:r>
      <w:r w:rsidR="00E15E1B">
        <w:t xml:space="preserve"> </w:t>
      </w:r>
      <w:r>
        <w:t>to</w:t>
      </w:r>
      <w:r w:rsidR="00E15E1B">
        <w:t xml:space="preserve"> </w:t>
      </w:r>
      <w:r>
        <w:t>this</w:t>
      </w:r>
      <w:r w:rsidR="00E15E1B">
        <w:t xml:space="preserve"> </w:t>
      </w:r>
      <w:r>
        <w:t>mission</w:t>
      </w:r>
      <w:r w:rsidR="00E15E1B">
        <w:t xml:space="preserve"> </w:t>
      </w:r>
      <w:r>
        <w:t>is</w:t>
      </w:r>
      <w:r w:rsidR="00E15E1B">
        <w:t xml:space="preserve"> </w:t>
      </w:r>
      <w:r>
        <w:t>to</w:t>
      </w:r>
      <w:r w:rsidR="00E15E1B">
        <w:t xml:space="preserve"> </w:t>
      </w:r>
      <w:r>
        <w:t>ensure</w:t>
      </w:r>
      <w:r w:rsidR="00E15E1B">
        <w:t xml:space="preserve"> </w:t>
      </w:r>
      <w:r>
        <w:t>businesses</w:t>
      </w:r>
      <w:r w:rsidR="00E15E1B">
        <w:t xml:space="preserve"> </w:t>
      </w:r>
      <w:r>
        <w:t>comply</w:t>
      </w:r>
      <w:r w:rsidR="00E15E1B">
        <w:t xml:space="preserve"> </w:t>
      </w:r>
      <w:r>
        <w:t>with</w:t>
      </w:r>
      <w:r w:rsidR="00E15E1B">
        <w:t xml:space="preserve"> </w:t>
      </w:r>
      <w:r>
        <w:t>consumer</w:t>
      </w:r>
      <w:r w:rsidR="00E15E1B">
        <w:t xml:space="preserve"> </w:t>
      </w:r>
      <w:r>
        <w:t>laws,</w:t>
      </w:r>
      <w:r w:rsidR="00E15E1B">
        <w:t xml:space="preserve"> </w:t>
      </w:r>
      <w:r>
        <w:t>and</w:t>
      </w:r>
      <w:r w:rsidR="00E15E1B">
        <w:t xml:space="preserve"> </w:t>
      </w:r>
      <w:r>
        <w:t>empower</w:t>
      </w:r>
      <w:r w:rsidR="00E15E1B">
        <w:t xml:space="preserve"> </w:t>
      </w:r>
      <w:r>
        <w:t>consumers</w:t>
      </w:r>
      <w:r w:rsidR="00E15E1B">
        <w:t xml:space="preserve"> </w:t>
      </w:r>
      <w:r>
        <w:t>to</w:t>
      </w:r>
      <w:r w:rsidR="00E15E1B">
        <w:t xml:space="preserve"> </w:t>
      </w:r>
      <w:r>
        <w:t>exercise</w:t>
      </w:r>
      <w:r w:rsidR="00E15E1B">
        <w:t xml:space="preserve"> </w:t>
      </w:r>
      <w:r>
        <w:t>their</w:t>
      </w:r>
      <w:r w:rsidR="00E15E1B">
        <w:t xml:space="preserve"> </w:t>
      </w:r>
      <w:r>
        <w:t>rights.</w:t>
      </w:r>
    </w:p>
    <w:p w:rsidR="00156239" w:rsidRDefault="00156239" w:rsidP="00156239">
      <w:pPr>
        <w:pStyle w:val="BodyText"/>
      </w:pPr>
      <w:r>
        <w:t>This</w:t>
      </w:r>
      <w:r w:rsidR="00E15E1B">
        <w:t xml:space="preserve"> </w:t>
      </w:r>
      <w:r>
        <w:t>year,</w:t>
      </w:r>
      <w:r w:rsidR="00E15E1B">
        <w:t xml:space="preserve"> </w:t>
      </w:r>
      <w:r>
        <w:t>we</w:t>
      </w:r>
      <w:r w:rsidR="00E15E1B">
        <w:t xml:space="preserve"> </w:t>
      </w:r>
      <w:r>
        <w:t>have</w:t>
      </w:r>
      <w:r w:rsidR="00E15E1B">
        <w:t xml:space="preserve"> </w:t>
      </w:r>
      <w:r>
        <w:t>continued</w:t>
      </w:r>
      <w:r w:rsidR="00E15E1B">
        <w:t xml:space="preserve"> </w:t>
      </w:r>
      <w:r>
        <w:t>to</w:t>
      </w:r>
      <w:r w:rsidR="00E15E1B">
        <w:t xml:space="preserve"> </w:t>
      </w:r>
      <w:r>
        <w:t>make</w:t>
      </w:r>
      <w:r w:rsidR="00E15E1B">
        <w:t xml:space="preserve"> </w:t>
      </w:r>
      <w:r>
        <w:t>it</w:t>
      </w:r>
      <w:r w:rsidR="00E15E1B">
        <w:t xml:space="preserve"> </w:t>
      </w:r>
      <w:r>
        <w:t>easier</w:t>
      </w:r>
      <w:r w:rsidR="00E15E1B">
        <w:t xml:space="preserve"> </w:t>
      </w:r>
      <w:r>
        <w:t>for</w:t>
      </w:r>
      <w:r w:rsidR="00E15E1B">
        <w:t xml:space="preserve"> </w:t>
      </w:r>
      <w:r>
        <w:t>businesses</w:t>
      </w:r>
      <w:r w:rsidR="00E15E1B">
        <w:t xml:space="preserve"> </w:t>
      </w:r>
      <w:r>
        <w:t>that</w:t>
      </w:r>
      <w:r w:rsidR="00E15E1B">
        <w:t xml:space="preserve"> </w:t>
      </w:r>
      <w:r>
        <w:t>do</w:t>
      </w:r>
      <w:r w:rsidR="00E15E1B">
        <w:t xml:space="preserve"> </w:t>
      </w:r>
      <w:r>
        <w:t>the</w:t>
      </w:r>
      <w:r w:rsidR="00E15E1B">
        <w:t xml:space="preserve"> </w:t>
      </w:r>
      <w:r>
        <w:t>right</w:t>
      </w:r>
      <w:r w:rsidR="00E15E1B">
        <w:t xml:space="preserve"> </w:t>
      </w:r>
      <w:r>
        <w:t>thing,</w:t>
      </w:r>
      <w:r w:rsidR="00E15E1B">
        <w:t xml:space="preserve"> </w:t>
      </w:r>
      <w:r>
        <w:t>while</w:t>
      </w:r>
      <w:r w:rsidR="00E15E1B">
        <w:t xml:space="preserve"> </w:t>
      </w:r>
      <w:r>
        <w:t>zeroing</w:t>
      </w:r>
      <w:r w:rsidR="00E15E1B">
        <w:t xml:space="preserve"> </w:t>
      </w:r>
      <w:r>
        <w:t>in</w:t>
      </w:r>
      <w:r w:rsidR="00E15E1B">
        <w:t xml:space="preserve"> </w:t>
      </w:r>
      <w:r>
        <w:t>on</w:t>
      </w:r>
      <w:r w:rsidR="00E15E1B">
        <w:t xml:space="preserve"> </w:t>
      </w:r>
      <w:r>
        <w:t>those</w:t>
      </w:r>
      <w:r w:rsidR="00E15E1B">
        <w:t xml:space="preserve"> </w:t>
      </w:r>
      <w:r>
        <w:t>that</w:t>
      </w:r>
      <w:r w:rsidR="00E15E1B">
        <w:t xml:space="preserve"> </w:t>
      </w:r>
      <w:r>
        <w:t>deliberately</w:t>
      </w:r>
      <w:r w:rsidR="00E15E1B">
        <w:t xml:space="preserve"> </w:t>
      </w:r>
      <w:r>
        <w:t>disregard</w:t>
      </w:r>
      <w:r w:rsidR="00E15E1B">
        <w:t xml:space="preserve"> </w:t>
      </w:r>
      <w:r>
        <w:t>consumer</w:t>
      </w:r>
      <w:r w:rsidR="00E15E1B">
        <w:t xml:space="preserve"> </w:t>
      </w:r>
      <w:r>
        <w:t>laws.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implemented</w:t>
      </w:r>
      <w:r w:rsidR="00E15E1B">
        <w:t xml:space="preserve"> </w:t>
      </w:r>
      <w:r>
        <w:t>a</w:t>
      </w:r>
      <w:r w:rsidR="00E15E1B">
        <w:t xml:space="preserve"> </w:t>
      </w:r>
      <w:r>
        <w:t>new</w:t>
      </w:r>
      <w:r w:rsidR="00E15E1B">
        <w:t xml:space="preserve"> </w:t>
      </w:r>
      <w:r>
        <w:t>case</w:t>
      </w:r>
      <w:r w:rsidR="00E15E1B">
        <w:t xml:space="preserve"> </w:t>
      </w:r>
      <w:r>
        <w:t>management</w:t>
      </w:r>
      <w:r w:rsidR="00E15E1B">
        <w:t xml:space="preserve"> </w:t>
      </w:r>
      <w:r>
        <w:t>system</w:t>
      </w:r>
      <w:r w:rsidR="00E15E1B">
        <w:t xml:space="preserve"> </w:t>
      </w:r>
      <w:r>
        <w:t>that</w:t>
      </w:r>
      <w:r w:rsidR="00E15E1B">
        <w:t xml:space="preserve"> </w:t>
      </w:r>
      <w:r>
        <w:t>has</w:t>
      </w:r>
      <w:r w:rsidR="00E15E1B">
        <w:t xml:space="preserve"> </w:t>
      </w:r>
      <w:r>
        <w:t>made</w:t>
      </w:r>
      <w:r w:rsidR="00E15E1B">
        <w:t xml:space="preserve"> </w:t>
      </w:r>
      <w:r>
        <w:t>it</w:t>
      </w:r>
      <w:r w:rsidR="00E15E1B">
        <w:t xml:space="preserve"> </w:t>
      </w:r>
      <w:r>
        <w:t>easier</w:t>
      </w:r>
      <w:r w:rsidR="00E15E1B">
        <w:t xml:space="preserve"> </w:t>
      </w:r>
      <w:r>
        <w:t>for</w:t>
      </w:r>
      <w:r w:rsidR="00E15E1B">
        <w:t xml:space="preserve"> </w:t>
      </w:r>
      <w:r>
        <w:t>estate</w:t>
      </w:r>
      <w:r w:rsidR="00E15E1B">
        <w:t xml:space="preserve"> </w:t>
      </w:r>
      <w:r>
        <w:t>agents</w:t>
      </w:r>
      <w:r w:rsidR="00E15E1B">
        <w:t xml:space="preserve"> </w:t>
      </w:r>
      <w:r>
        <w:t>to</w:t>
      </w:r>
      <w:r w:rsidR="00E15E1B">
        <w:t xml:space="preserve"> </w:t>
      </w:r>
      <w:r>
        <w:t>apply</w:t>
      </w:r>
      <w:r w:rsidR="00E15E1B">
        <w:t xml:space="preserve"> </w:t>
      </w:r>
      <w:r>
        <w:t>for</w:t>
      </w:r>
      <w:r w:rsidR="00E15E1B">
        <w:t xml:space="preserve"> </w:t>
      </w:r>
      <w:r>
        <w:t>a</w:t>
      </w:r>
      <w:r w:rsidR="00E15E1B">
        <w:t xml:space="preserve"> </w:t>
      </w:r>
      <w:r>
        <w:t>licence</w:t>
      </w:r>
      <w:r w:rsidR="00E15E1B">
        <w:t xml:space="preserve"> </w:t>
      </w:r>
      <w:r>
        <w:t>and</w:t>
      </w:r>
      <w:r w:rsidR="00E15E1B">
        <w:t xml:space="preserve"> </w:t>
      </w:r>
      <w:r>
        <w:t>keep</w:t>
      </w:r>
      <w:r w:rsidR="00E15E1B">
        <w:t xml:space="preserve"> </w:t>
      </w:r>
      <w:r>
        <w:t>up</w:t>
      </w:r>
      <w:r w:rsidR="00E15E1B">
        <w:t xml:space="preserve"> </w:t>
      </w:r>
      <w:r>
        <w:t>to</w:t>
      </w:r>
      <w:r w:rsidR="00E15E1B">
        <w:t xml:space="preserve"> </w:t>
      </w:r>
      <w:r>
        <w:t>date</w:t>
      </w:r>
      <w:r w:rsidR="00E15E1B">
        <w:t xml:space="preserve"> </w:t>
      </w:r>
      <w:r>
        <w:t>with</w:t>
      </w:r>
      <w:r w:rsidR="00E15E1B">
        <w:t xml:space="preserve"> </w:t>
      </w:r>
      <w:r>
        <w:t>their</w:t>
      </w:r>
      <w:r w:rsidR="00E15E1B">
        <w:t xml:space="preserve"> </w:t>
      </w:r>
      <w:r>
        <w:t>regulatory</w:t>
      </w:r>
      <w:r w:rsidR="00E15E1B">
        <w:t xml:space="preserve"> </w:t>
      </w:r>
      <w:r>
        <w:t>obligations.</w:t>
      </w:r>
      <w:r w:rsidR="00E15E1B">
        <w:t xml:space="preserve"> </w:t>
      </w:r>
      <w:r>
        <w:t>And</w:t>
      </w:r>
      <w:r w:rsidR="00E15E1B">
        <w:t xml:space="preserve"> </w:t>
      </w:r>
      <w:r>
        <w:t>we</w:t>
      </w:r>
      <w:r w:rsidR="00E15E1B">
        <w:t xml:space="preserve"> </w:t>
      </w:r>
      <w:r>
        <w:t>finalised</w:t>
      </w:r>
      <w:r w:rsidR="00E15E1B">
        <w:t xml:space="preserve"> </w:t>
      </w:r>
      <w:r>
        <w:t>new</w:t>
      </w:r>
      <w:r w:rsidR="00E15E1B">
        <w:t xml:space="preserve"> </w:t>
      </w:r>
      <w:r>
        <w:t>laws</w:t>
      </w:r>
      <w:r w:rsidR="00E15E1B">
        <w:t xml:space="preserve"> </w:t>
      </w:r>
      <w:r>
        <w:t>and</w:t>
      </w:r>
      <w:r w:rsidR="00E15E1B">
        <w:t xml:space="preserve"> </w:t>
      </w:r>
      <w:r>
        <w:t>administrative</w:t>
      </w:r>
      <w:r w:rsidR="00E15E1B">
        <w:t xml:space="preserve"> </w:t>
      </w:r>
      <w:r>
        <w:t>arrangements</w:t>
      </w:r>
      <w:r w:rsidR="00E15E1B">
        <w:t xml:space="preserve"> </w:t>
      </w:r>
      <w:r>
        <w:t>to</w:t>
      </w:r>
      <w:r w:rsidR="00E15E1B">
        <w:t xml:space="preserve"> </w:t>
      </w:r>
      <w:r>
        <w:t>end</w:t>
      </w:r>
      <w:r w:rsidR="00E15E1B">
        <w:t xml:space="preserve"> </w:t>
      </w:r>
      <w:r>
        <w:t>double-reporting</w:t>
      </w:r>
      <w:r w:rsidR="00E15E1B">
        <w:t xml:space="preserve"> </w:t>
      </w:r>
      <w:r>
        <w:t>for</w:t>
      </w:r>
      <w:r w:rsidR="00E15E1B">
        <w:t xml:space="preserve"> </w:t>
      </w:r>
      <w:r>
        <w:t>incorporated</w:t>
      </w:r>
      <w:r w:rsidR="00E15E1B">
        <w:t xml:space="preserve"> </w:t>
      </w:r>
      <w:r>
        <w:t>associations</w:t>
      </w:r>
      <w:r w:rsidR="00E15E1B">
        <w:t xml:space="preserve"> </w:t>
      </w:r>
      <w:r>
        <w:t>that</w:t>
      </w:r>
      <w:r w:rsidR="00E15E1B">
        <w:t xml:space="preserve"> </w:t>
      </w:r>
      <w:r>
        <w:t>are</w:t>
      </w:r>
      <w:r w:rsidR="00E15E1B">
        <w:t xml:space="preserve"> </w:t>
      </w:r>
      <w:r>
        <w:t>also</w:t>
      </w:r>
      <w:r w:rsidR="00E15E1B">
        <w:t xml:space="preserve"> </w:t>
      </w:r>
      <w:r>
        <w:t>registered</w:t>
      </w:r>
      <w:r w:rsidR="00E15E1B">
        <w:t xml:space="preserve"> </w:t>
      </w:r>
      <w:r>
        <w:t>charities.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completed</w:t>
      </w:r>
      <w:r w:rsidR="00E15E1B">
        <w:t xml:space="preserve"> </w:t>
      </w:r>
      <w:r>
        <w:t>a</w:t>
      </w:r>
      <w:r w:rsidR="00E15E1B">
        <w:t xml:space="preserve"> </w:t>
      </w:r>
      <w:r>
        <w:t>number</w:t>
      </w:r>
      <w:r w:rsidR="00E15E1B">
        <w:t xml:space="preserve"> </w:t>
      </w:r>
      <w:r>
        <w:t>of</w:t>
      </w:r>
      <w:r w:rsidR="00E15E1B">
        <w:t xml:space="preserve"> </w:t>
      </w:r>
      <w:r>
        <w:t>important</w:t>
      </w:r>
      <w:r w:rsidR="00E15E1B">
        <w:t xml:space="preserve"> </w:t>
      </w:r>
      <w:r>
        <w:t>court</w:t>
      </w:r>
      <w:r w:rsidR="00E15E1B">
        <w:t xml:space="preserve"> </w:t>
      </w:r>
      <w:r>
        <w:t>matters,</w:t>
      </w:r>
      <w:r w:rsidR="00E15E1B">
        <w:t xml:space="preserve"> </w:t>
      </w:r>
      <w:r>
        <w:t>from</w:t>
      </w:r>
      <w:r w:rsidR="00E15E1B">
        <w:t xml:space="preserve"> </w:t>
      </w:r>
      <w:r>
        <w:t>civil</w:t>
      </w:r>
      <w:r w:rsidR="00E15E1B">
        <w:t xml:space="preserve"> </w:t>
      </w:r>
      <w:r>
        <w:t>cases</w:t>
      </w:r>
      <w:r w:rsidR="00E15E1B">
        <w:t xml:space="preserve"> </w:t>
      </w:r>
      <w:r>
        <w:t>focusing</w:t>
      </w:r>
      <w:r w:rsidR="00E15E1B">
        <w:t xml:space="preserve"> </w:t>
      </w:r>
      <w:r>
        <w:t>on</w:t>
      </w:r>
      <w:r w:rsidR="00E15E1B">
        <w:t xml:space="preserve"> </w:t>
      </w:r>
      <w:r>
        <w:t>product</w:t>
      </w:r>
      <w:r w:rsidR="00E15E1B">
        <w:t xml:space="preserve"> </w:t>
      </w:r>
      <w:r>
        <w:t>safety</w:t>
      </w:r>
      <w:r w:rsidR="00E15E1B">
        <w:t xml:space="preserve"> </w:t>
      </w:r>
      <w:r>
        <w:t>and</w:t>
      </w:r>
      <w:r w:rsidR="00E15E1B">
        <w:t xml:space="preserve"> </w:t>
      </w:r>
      <w:r>
        <w:t>estate</w:t>
      </w:r>
      <w:r w:rsidR="00E15E1B">
        <w:t xml:space="preserve"> </w:t>
      </w:r>
      <w:r>
        <w:t>agent</w:t>
      </w:r>
      <w:r w:rsidR="00E15E1B">
        <w:t xml:space="preserve"> </w:t>
      </w:r>
      <w:r>
        <w:t>underquoting,</w:t>
      </w:r>
      <w:r w:rsidR="00E15E1B">
        <w:t xml:space="preserve"> </w:t>
      </w:r>
      <w:r>
        <w:t>to</w:t>
      </w:r>
      <w:r w:rsidR="00E15E1B">
        <w:t xml:space="preserve"> </w:t>
      </w:r>
      <w:r>
        <w:t>criminal</w:t>
      </w:r>
      <w:r w:rsidR="00E15E1B">
        <w:t xml:space="preserve"> </w:t>
      </w:r>
      <w:r>
        <w:t>prosecutions</w:t>
      </w:r>
      <w:r w:rsidR="00E15E1B">
        <w:t xml:space="preserve"> </w:t>
      </w:r>
      <w:r>
        <w:t>of</w:t>
      </w:r>
      <w:r w:rsidR="00E15E1B">
        <w:t xml:space="preserve"> </w:t>
      </w:r>
      <w:r>
        <w:t>estate</w:t>
      </w:r>
      <w:r w:rsidR="00E15E1B">
        <w:t xml:space="preserve"> </w:t>
      </w:r>
      <w:r>
        <w:t>agents</w:t>
      </w:r>
      <w:r w:rsidR="00E15E1B">
        <w:t xml:space="preserve"> </w:t>
      </w:r>
      <w:r>
        <w:t>who</w:t>
      </w:r>
      <w:r w:rsidR="00E15E1B">
        <w:t xml:space="preserve"> </w:t>
      </w:r>
      <w:r>
        <w:t>misappropriate</w:t>
      </w:r>
      <w:r w:rsidR="00E15E1B">
        <w:t xml:space="preserve"> </w:t>
      </w:r>
      <w:r>
        <w:t>trust</w:t>
      </w:r>
      <w:r w:rsidR="00E15E1B">
        <w:t xml:space="preserve"> </w:t>
      </w:r>
      <w:r>
        <w:t>money.</w:t>
      </w:r>
      <w:r w:rsidR="00E15E1B">
        <w:t xml:space="preserve"> </w:t>
      </w:r>
      <w:r>
        <w:t>These</w:t>
      </w:r>
      <w:r w:rsidR="00E15E1B">
        <w:t xml:space="preserve"> </w:t>
      </w:r>
      <w:r>
        <w:t>cases</w:t>
      </w:r>
      <w:r w:rsidR="00E15E1B">
        <w:t xml:space="preserve"> </w:t>
      </w:r>
      <w:r>
        <w:t>demonstrate</w:t>
      </w:r>
      <w:r w:rsidR="00E15E1B">
        <w:t xml:space="preserve"> </w:t>
      </w:r>
      <w:r>
        <w:t>our</w:t>
      </w:r>
      <w:r w:rsidR="00E15E1B">
        <w:t xml:space="preserve"> </w:t>
      </w:r>
      <w:r>
        <w:t>increasing</w:t>
      </w:r>
      <w:r w:rsidR="00E15E1B">
        <w:t xml:space="preserve"> </w:t>
      </w:r>
      <w:r>
        <w:t>capability</w:t>
      </w:r>
      <w:r w:rsidR="00E15E1B">
        <w:t xml:space="preserve"> </w:t>
      </w:r>
      <w:r>
        <w:t>to</w:t>
      </w:r>
      <w:r w:rsidR="00E15E1B">
        <w:t xml:space="preserve"> </w:t>
      </w:r>
      <w:r>
        <w:t>identify,</w:t>
      </w:r>
      <w:r w:rsidR="00E15E1B">
        <w:t xml:space="preserve"> </w:t>
      </w:r>
      <w:r>
        <w:t>investigate</w:t>
      </w:r>
      <w:r w:rsidR="00E15E1B">
        <w:t xml:space="preserve"> </w:t>
      </w:r>
      <w:r>
        <w:t>and</w:t>
      </w:r>
      <w:r w:rsidR="00E15E1B">
        <w:t xml:space="preserve"> </w:t>
      </w:r>
      <w:r>
        <w:t>prosecute</w:t>
      </w:r>
      <w:r w:rsidR="00E15E1B">
        <w:t xml:space="preserve"> </w:t>
      </w:r>
      <w:r>
        <w:t>businesses</w:t>
      </w:r>
      <w:r w:rsidR="00E15E1B">
        <w:t xml:space="preserve"> </w:t>
      </w:r>
      <w:r>
        <w:t>that</w:t>
      </w:r>
      <w:r w:rsidR="00E15E1B">
        <w:t xml:space="preserve"> </w:t>
      </w:r>
      <w:r>
        <w:t>harm</w:t>
      </w:r>
      <w:r w:rsidR="00E15E1B">
        <w:t xml:space="preserve"> </w:t>
      </w:r>
      <w:r>
        <w:t>consumers.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have</w:t>
      </w:r>
      <w:r w:rsidR="00E15E1B">
        <w:t xml:space="preserve"> </w:t>
      </w:r>
      <w:r>
        <w:t>increased</w:t>
      </w:r>
      <w:r w:rsidR="00E15E1B">
        <w:t xml:space="preserve"> </w:t>
      </w:r>
      <w:r>
        <w:t>our</w:t>
      </w:r>
      <w:r w:rsidR="00E15E1B">
        <w:t xml:space="preserve"> </w:t>
      </w:r>
      <w:r>
        <w:t>efforts</w:t>
      </w:r>
      <w:r w:rsidR="00E15E1B">
        <w:t xml:space="preserve"> </w:t>
      </w:r>
      <w:r>
        <w:t>to</w:t>
      </w:r>
      <w:r w:rsidR="00E15E1B">
        <w:t xml:space="preserve"> </w:t>
      </w:r>
      <w:r>
        <w:t>assist</w:t>
      </w:r>
      <w:r w:rsidR="00E15E1B">
        <w:t xml:space="preserve"> </w:t>
      </w:r>
      <w:r>
        <w:t>consumers,</w:t>
      </w:r>
      <w:r w:rsidR="00E15E1B">
        <w:t xml:space="preserve"> </w:t>
      </w:r>
      <w:r>
        <w:t>providing</w:t>
      </w:r>
      <w:r w:rsidR="00E15E1B">
        <w:t xml:space="preserve"> </w:t>
      </w:r>
      <w:r>
        <w:t>better</w:t>
      </w:r>
      <w:r w:rsidR="00E15E1B">
        <w:t xml:space="preserve"> </w:t>
      </w:r>
      <w:r>
        <w:t>digital</w:t>
      </w:r>
      <w:r w:rsidR="00E15E1B">
        <w:t xml:space="preserve"> </w:t>
      </w:r>
      <w:r>
        <w:t>information</w:t>
      </w:r>
      <w:r w:rsidR="00E15E1B">
        <w:t xml:space="preserve"> </w:t>
      </w:r>
      <w:r>
        <w:t>for</w:t>
      </w:r>
      <w:r w:rsidR="00E15E1B">
        <w:t xml:space="preserve"> </w:t>
      </w:r>
      <w:r>
        <w:t>all</w:t>
      </w:r>
      <w:r w:rsidR="00E15E1B">
        <w:t xml:space="preserve"> </w:t>
      </w:r>
      <w:r>
        <w:t>Victorians,</w:t>
      </w:r>
      <w:r w:rsidR="00E15E1B">
        <w:t xml:space="preserve"> </w:t>
      </w:r>
      <w:r>
        <w:t>while</w:t>
      </w:r>
      <w:r w:rsidR="00E15E1B">
        <w:t xml:space="preserve"> </w:t>
      </w:r>
      <w:r>
        <w:t>enhancing</w:t>
      </w:r>
      <w:r w:rsidR="00E15E1B">
        <w:t xml:space="preserve"> </w:t>
      </w:r>
      <w:r>
        <w:t>our</w:t>
      </w:r>
      <w:r w:rsidR="00E15E1B">
        <w:t xml:space="preserve"> </w:t>
      </w:r>
      <w:r>
        <w:t>services</w:t>
      </w:r>
      <w:r w:rsidR="00E15E1B">
        <w:t xml:space="preserve"> </w:t>
      </w:r>
      <w:r>
        <w:t>for</w:t>
      </w:r>
      <w:r w:rsidR="00E15E1B">
        <w:t xml:space="preserve"> </w:t>
      </w:r>
      <w:r>
        <w:t>those</w:t>
      </w:r>
      <w:r w:rsidR="00E15E1B">
        <w:t xml:space="preserve"> </w:t>
      </w:r>
      <w:r>
        <w:t>who</w:t>
      </w:r>
      <w:r w:rsidR="00E15E1B">
        <w:t xml:space="preserve"> </w:t>
      </w:r>
      <w:r>
        <w:t>are</w:t>
      </w:r>
      <w:r w:rsidR="00E15E1B">
        <w:t xml:space="preserve"> </w:t>
      </w:r>
      <w:r>
        <w:t>in</w:t>
      </w:r>
      <w:r w:rsidR="00E15E1B">
        <w:t xml:space="preserve"> </w:t>
      </w:r>
      <w:r>
        <w:t>vulnerable</w:t>
      </w:r>
      <w:r w:rsidR="00E15E1B">
        <w:t xml:space="preserve"> </w:t>
      </w:r>
      <w:r>
        <w:t>circumstances.</w:t>
      </w:r>
    </w:p>
    <w:p w:rsidR="00156239" w:rsidRDefault="00156239" w:rsidP="00156239">
      <w:pPr>
        <w:pStyle w:val="BodyText"/>
      </w:pPr>
      <w:r>
        <w:t>Our</w:t>
      </w:r>
      <w:r w:rsidR="00E15E1B">
        <w:t xml:space="preserve"> </w:t>
      </w:r>
      <w:r>
        <w:t>new</w:t>
      </w:r>
      <w:r w:rsidR="00E15E1B">
        <w:t xml:space="preserve"> </w:t>
      </w:r>
      <w:r>
        <w:t>website,</w:t>
      </w:r>
      <w:r w:rsidR="00E15E1B">
        <w:t xml:space="preserve"> </w:t>
      </w:r>
      <w:r>
        <w:t>responsive</w:t>
      </w:r>
      <w:r w:rsidR="00E15E1B">
        <w:t xml:space="preserve"> </w:t>
      </w:r>
      <w:r>
        <w:t>to</w:t>
      </w:r>
      <w:r w:rsidR="00E15E1B">
        <w:t xml:space="preserve"> </w:t>
      </w:r>
      <w:r>
        <w:t>all</w:t>
      </w:r>
      <w:r w:rsidR="00E15E1B">
        <w:t xml:space="preserve"> </w:t>
      </w:r>
      <w:r>
        <w:t>digital</w:t>
      </w:r>
      <w:r w:rsidR="00E15E1B">
        <w:t xml:space="preserve"> </w:t>
      </w:r>
      <w:r>
        <w:t>devices,</w:t>
      </w:r>
      <w:r w:rsidR="00E15E1B">
        <w:t xml:space="preserve"> </w:t>
      </w:r>
      <w:r>
        <w:t>was</w:t>
      </w:r>
      <w:r w:rsidR="00E15E1B">
        <w:t xml:space="preserve"> </w:t>
      </w:r>
      <w:r>
        <w:t>accessed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3.6</w:t>
      </w:r>
      <w:r w:rsidR="00E15E1B">
        <w:t xml:space="preserve"> </w:t>
      </w:r>
      <w:r>
        <w:t>million</w:t>
      </w:r>
      <w:r w:rsidR="00E15E1B">
        <w:t xml:space="preserve"> </w:t>
      </w:r>
      <w:r>
        <w:t>times.</w:t>
      </w:r>
      <w:r w:rsidR="00E15E1B">
        <w:t xml:space="preserve"> </w:t>
      </w:r>
      <w:r>
        <w:t>And</w:t>
      </w:r>
      <w:r w:rsidR="00E15E1B">
        <w:t xml:space="preserve"> </w:t>
      </w:r>
      <w:r>
        <w:t>we</w:t>
      </w:r>
      <w:r w:rsidR="00E15E1B">
        <w:t xml:space="preserve"> </w:t>
      </w:r>
      <w:r>
        <w:t>delivered</w:t>
      </w:r>
      <w:r w:rsidR="00E15E1B">
        <w:t xml:space="preserve"> </w:t>
      </w:r>
      <w:r>
        <w:t>a</w:t>
      </w:r>
      <w:r w:rsidR="00E15E1B">
        <w:t xml:space="preserve"> </w:t>
      </w:r>
      <w:r>
        <w:t>diverse</w:t>
      </w:r>
      <w:r w:rsidR="00E15E1B">
        <w:t xml:space="preserve"> </w:t>
      </w:r>
      <w:r>
        <w:t>range</w:t>
      </w:r>
      <w:r w:rsidR="00E15E1B">
        <w:t xml:space="preserve"> </w:t>
      </w:r>
      <w:r>
        <w:t>of</w:t>
      </w:r>
      <w:r w:rsidR="00E15E1B">
        <w:t xml:space="preserve"> </w:t>
      </w:r>
      <w:r>
        <w:t>information</w:t>
      </w:r>
      <w:r w:rsidR="00E15E1B">
        <w:t xml:space="preserve"> </w:t>
      </w:r>
      <w:r>
        <w:t>campaigns</w:t>
      </w:r>
      <w:r w:rsidR="00E15E1B">
        <w:t xml:space="preserve"> </w:t>
      </w:r>
      <w:r>
        <w:t>targeting</w:t>
      </w:r>
      <w:r w:rsidR="00E15E1B">
        <w:t xml:space="preserve"> </w:t>
      </w:r>
      <w:r>
        <w:t>scammers</w:t>
      </w:r>
      <w:r w:rsidR="00E15E1B">
        <w:t xml:space="preserve"> </w:t>
      </w:r>
      <w:r>
        <w:t>–</w:t>
      </w:r>
      <w:r w:rsidR="00E15E1B">
        <w:t xml:space="preserve"> </w:t>
      </w:r>
      <w:r>
        <w:t>from</w:t>
      </w:r>
      <w:r w:rsidR="00E15E1B">
        <w:t xml:space="preserve"> </w:t>
      </w:r>
      <w:r>
        <w:t>raising</w:t>
      </w:r>
      <w:r w:rsidR="00E15E1B">
        <w:t xml:space="preserve"> </w:t>
      </w:r>
      <w:r>
        <w:t>awareness</w:t>
      </w:r>
      <w:r w:rsidR="00E15E1B">
        <w:t xml:space="preserve"> </w:t>
      </w:r>
      <w:r>
        <w:t>for</w:t>
      </w:r>
      <w:r w:rsidR="00E15E1B">
        <w:t xml:space="preserve"> </w:t>
      </w:r>
      <w:r>
        <w:t>senior</w:t>
      </w:r>
      <w:r w:rsidR="00E15E1B">
        <w:t xml:space="preserve"> </w:t>
      </w:r>
      <w:r>
        <w:t>Victorians</w:t>
      </w:r>
      <w:r w:rsidR="00E15E1B">
        <w:t xml:space="preserve"> </w:t>
      </w:r>
      <w:r>
        <w:t>through</w:t>
      </w:r>
      <w:r w:rsidR="00E15E1B">
        <w:t xml:space="preserve"> </w:t>
      </w:r>
      <w:r>
        <w:t>library</w:t>
      </w:r>
      <w:r w:rsidR="00E15E1B">
        <w:t xml:space="preserve"> </w:t>
      </w:r>
      <w:r>
        <w:t>education</w:t>
      </w:r>
      <w:r w:rsidR="00E15E1B">
        <w:t xml:space="preserve"> </w:t>
      </w:r>
      <w:r>
        <w:t>sessions</w:t>
      </w:r>
      <w:r w:rsidR="00E15E1B">
        <w:t xml:space="preserve"> </w:t>
      </w:r>
      <w:r>
        <w:t>across</w:t>
      </w:r>
      <w:r w:rsidR="00E15E1B">
        <w:t xml:space="preserve"> </w:t>
      </w:r>
      <w:r>
        <w:t>the</w:t>
      </w:r>
      <w:r w:rsidR="00E15E1B">
        <w:t xml:space="preserve"> </w:t>
      </w:r>
      <w:r>
        <w:t>state,</w:t>
      </w:r>
      <w:r w:rsidR="00E15E1B">
        <w:t xml:space="preserve"> </w:t>
      </w:r>
      <w:r>
        <w:t>to</w:t>
      </w:r>
      <w:r w:rsidR="00E15E1B">
        <w:t xml:space="preserve"> </w:t>
      </w:r>
      <w:r>
        <w:t>our</w:t>
      </w:r>
      <w:r w:rsidR="00E15E1B">
        <w:t xml:space="preserve"> </w:t>
      </w:r>
      <w:r>
        <w:t>Australian</w:t>
      </w:r>
      <w:r w:rsidR="00E15E1B">
        <w:t xml:space="preserve"> </w:t>
      </w:r>
      <w:r>
        <w:t>Tax</w:t>
      </w:r>
      <w:r w:rsidR="00E15E1B">
        <w:t xml:space="preserve"> </w:t>
      </w:r>
      <w:r>
        <w:t>Office</w:t>
      </w:r>
      <w:r w:rsidR="00E15E1B">
        <w:t xml:space="preserve"> </w:t>
      </w:r>
      <w:r>
        <w:t>scam</w:t>
      </w:r>
      <w:r w:rsidR="00E15E1B">
        <w:t xml:space="preserve"> </w:t>
      </w:r>
      <w:r>
        <w:t>warning,</w:t>
      </w:r>
      <w:r w:rsidR="00E15E1B">
        <w:t xml:space="preserve"> </w:t>
      </w:r>
      <w:r>
        <w:t>which</w:t>
      </w:r>
      <w:r w:rsidR="00E15E1B">
        <w:t xml:space="preserve"> </w:t>
      </w:r>
      <w:r>
        <w:t>reached</w:t>
      </w:r>
      <w:r w:rsidR="00E15E1B">
        <w:t xml:space="preserve"> </w:t>
      </w:r>
      <w:r>
        <w:t>an</w:t>
      </w:r>
      <w:r w:rsidR="00E15E1B">
        <w:t xml:space="preserve"> </w:t>
      </w:r>
      <w:r>
        <w:t>estimated</w:t>
      </w:r>
      <w:r w:rsidR="00E15E1B">
        <w:t xml:space="preserve"> </w:t>
      </w:r>
      <w:r>
        <w:t>audience</w:t>
      </w:r>
      <w:r w:rsidR="00E15E1B">
        <w:t xml:space="preserve"> </w:t>
      </w:r>
      <w:r>
        <w:t>of</w:t>
      </w:r>
      <w:r w:rsidR="00E15E1B">
        <w:t xml:space="preserve"> </w:t>
      </w:r>
      <w:r>
        <w:t>over</w:t>
      </w:r>
      <w:r w:rsidR="00E15E1B">
        <w:t xml:space="preserve"> </w:t>
      </w:r>
      <w:r>
        <w:t>5</w:t>
      </w:r>
      <w:r w:rsidR="00E15E1B">
        <w:t xml:space="preserve"> </w:t>
      </w:r>
      <w:r>
        <w:t>million</w:t>
      </w:r>
      <w:r w:rsidR="00E15E1B">
        <w:t xml:space="preserve"> </w:t>
      </w:r>
      <w:r>
        <w:t>people.</w:t>
      </w:r>
    </w:p>
    <w:p w:rsidR="00156239" w:rsidRDefault="00156239" w:rsidP="00156239">
      <w:pPr>
        <w:pStyle w:val="BodyText"/>
      </w:pPr>
      <w:r>
        <w:t>And</w:t>
      </w:r>
      <w:r w:rsidR="00E15E1B">
        <w:t xml:space="preserve"> </w:t>
      </w:r>
      <w:r>
        <w:t>we</w:t>
      </w:r>
      <w:r w:rsidR="00E15E1B">
        <w:t xml:space="preserve"> </w:t>
      </w:r>
      <w:r>
        <w:t>provided,</w:t>
      </w:r>
      <w:r w:rsidR="00E15E1B">
        <w:t xml:space="preserve"> </w:t>
      </w:r>
      <w:r>
        <w:t>through</w:t>
      </w:r>
      <w:r w:rsidR="00E15E1B">
        <w:t xml:space="preserve"> </w:t>
      </w:r>
      <w:r>
        <w:t>community-based</w:t>
      </w:r>
      <w:r w:rsidR="00E15E1B">
        <w:t xml:space="preserve"> </w:t>
      </w:r>
      <w:r>
        <w:t>service</w:t>
      </w:r>
      <w:r w:rsidR="00E15E1B">
        <w:t xml:space="preserve"> </w:t>
      </w:r>
      <w:r>
        <w:t>organisations,</w:t>
      </w:r>
      <w:r w:rsidR="00E15E1B">
        <w:t xml:space="preserve"> </w:t>
      </w:r>
      <w:r>
        <w:t>intensive</w:t>
      </w:r>
      <w:r w:rsidR="00E15E1B">
        <w:t xml:space="preserve"> </w:t>
      </w:r>
      <w:r>
        <w:t>assistance</w:t>
      </w:r>
      <w:r w:rsidR="00E15E1B">
        <w:t xml:space="preserve"> </w:t>
      </w:r>
      <w:r>
        <w:t>to</w:t>
      </w:r>
      <w:r w:rsidR="00E15E1B">
        <w:t xml:space="preserve"> </w:t>
      </w:r>
      <w:r>
        <w:t>over</w:t>
      </w:r>
      <w:r w:rsidR="00E15E1B">
        <w:t xml:space="preserve"> </w:t>
      </w:r>
      <w:r>
        <w:t>40,500</w:t>
      </w:r>
      <w:r w:rsidR="00E15E1B">
        <w:t xml:space="preserve"> </w:t>
      </w:r>
      <w:r>
        <w:t>vulnerable</w:t>
      </w:r>
      <w:r w:rsidR="00E15E1B">
        <w:t xml:space="preserve"> </w:t>
      </w:r>
      <w:r>
        <w:t>and</w:t>
      </w:r>
      <w:r w:rsidR="00E15E1B">
        <w:t xml:space="preserve"> </w:t>
      </w:r>
      <w:r>
        <w:t>disadvantaged</w:t>
      </w:r>
      <w:r w:rsidR="00E15E1B">
        <w:t xml:space="preserve"> </w:t>
      </w:r>
      <w:r>
        <w:t>Victorians,</w:t>
      </w:r>
      <w:r w:rsidR="00E15E1B">
        <w:t xml:space="preserve"> </w:t>
      </w:r>
      <w:r>
        <w:t>with</w:t>
      </w:r>
      <w:r w:rsidR="00E15E1B">
        <w:t xml:space="preserve"> </w:t>
      </w:r>
      <w:r>
        <w:t>funding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tenancy</w:t>
      </w:r>
      <w:r w:rsidR="00E15E1B">
        <w:t xml:space="preserve"> </w:t>
      </w:r>
      <w:r>
        <w:t>and</w:t>
      </w:r>
      <w:r w:rsidR="00E15E1B">
        <w:t xml:space="preserve"> </w:t>
      </w:r>
      <w:r>
        <w:t>consumer</w:t>
      </w:r>
      <w:r w:rsidR="00E15E1B">
        <w:t xml:space="preserve"> </w:t>
      </w:r>
      <w:r>
        <w:t>advocacy</w:t>
      </w:r>
      <w:r w:rsidR="00E15E1B">
        <w:t xml:space="preserve"> </w:t>
      </w:r>
      <w:r>
        <w:t>services</w:t>
      </w:r>
      <w:r w:rsidR="00E15E1B">
        <w:t xml:space="preserve"> </w:t>
      </w:r>
      <w:r>
        <w:t>increasing</w:t>
      </w:r>
      <w:r w:rsidR="00E15E1B">
        <w:t xml:space="preserve"> </w:t>
      </w:r>
      <w:r>
        <w:t>by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$1</w:t>
      </w:r>
      <w:r w:rsidR="00E15E1B">
        <w:t xml:space="preserve"> </w:t>
      </w:r>
      <w:r>
        <w:t>million</w:t>
      </w:r>
      <w:r w:rsidR="00E15E1B">
        <w:t xml:space="preserve"> </w:t>
      </w:r>
      <w:r>
        <w:t>this</w:t>
      </w:r>
      <w:r w:rsidR="00E15E1B">
        <w:t xml:space="preserve"> </w:t>
      </w:r>
      <w:r>
        <w:t>year.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also</w:t>
      </w:r>
      <w:r w:rsidR="00E15E1B">
        <w:t xml:space="preserve"> </w:t>
      </w:r>
      <w:r>
        <w:t>have</w:t>
      </w:r>
      <w:r w:rsidR="00E15E1B">
        <w:t xml:space="preserve"> </w:t>
      </w:r>
      <w:r>
        <w:t>an</w:t>
      </w:r>
      <w:r w:rsidR="00E15E1B">
        <w:t xml:space="preserve"> </w:t>
      </w:r>
      <w:r>
        <w:t>important</w:t>
      </w:r>
      <w:r w:rsidR="00E15E1B">
        <w:t xml:space="preserve"> </w:t>
      </w:r>
      <w:r>
        <w:t>role</w:t>
      </w:r>
      <w:r w:rsidR="00E15E1B">
        <w:t xml:space="preserve"> </w:t>
      </w:r>
      <w:r>
        <w:t>in</w:t>
      </w:r>
      <w:r w:rsidR="00E15E1B">
        <w:t xml:space="preserve"> </w:t>
      </w:r>
      <w:r>
        <w:t>making</w:t>
      </w:r>
      <w:r w:rsidR="00E15E1B">
        <w:t xml:space="preserve"> </w:t>
      </w:r>
      <w:r>
        <w:t>the</w:t>
      </w:r>
      <w:r w:rsidR="00E15E1B">
        <w:t xml:space="preserve"> </w:t>
      </w:r>
      <w:r>
        <w:t>private</w:t>
      </w:r>
      <w:r w:rsidR="00E15E1B">
        <w:t xml:space="preserve"> </w:t>
      </w:r>
      <w:r>
        <w:t>rental</w:t>
      </w:r>
      <w:r w:rsidR="00E15E1B">
        <w:t xml:space="preserve"> </w:t>
      </w:r>
      <w:r>
        <w:t>sector</w:t>
      </w:r>
      <w:r w:rsidR="00E15E1B">
        <w:t xml:space="preserve"> </w:t>
      </w:r>
      <w:r>
        <w:t>safe</w:t>
      </w:r>
      <w:r w:rsidR="00E15E1B">
        <w:t xml:space="preserve"> </w:t>
      </w:r>
      <w:r>
        <w:t>and</w:t>
      </w:r>
      <w:r w:rsidR="00E15E1B">
        <w:t xml:space="preserve"> </w:t>
      </w:r>
      <w:r>
        <w:t>fair.</w:t>
      </w:r>
    </w:p>
    <w:p w:rsidR="00156239" w:rsidRDefault="00156239" w:rsidP="00156239">
      <w:pPr>
        <w:pStyle w:val="BodyText"/>
      </w:pPr>
      <w:r>
        <w:t>This</w:t>
      </w:r>
      <w:r w:rsidR="00E15E1B">
        <w:t xml:space="preserve"> </w:t>
      </w:r>
      <w:r>
        <w:t>year,</w:t>
      </w:r>
      <w:r w:rsidR="00E15E1B">
        <w:t xml:space="preserve"> </w:t>
      </w:r>
      <w:r>
        <w:t>we</w:t>
      </w:r>
      <w:r w:rsidR="00E15E1B">
        <w:t xml:space="preserve"> </w:t>
      </w:r>
      <w:r>
        <w:t>supported</w:t>
      </w:r>
      <w:r w:rsidR="00E15E1B">
        <w:t xml:space="preserve"> </w:t>
      </w:r>
      <w:r>
        <w:t>the</w:t>
      </w:r>
      <w:r w:rsidR="00E15E1B">
        <w:t xml:space="preserve"> </w:t>
      </w:r>
      <w:r>
        <w:t>Business</w:t>
      </w:r>
      <w:r w:rsidR="00E15E1B">
        <w:t xml:space="preserve"> </w:t>
      </w:r>
      <w:r>
        <w:t>Licensing</w:t>
      </w:r>
      <w:r w:rsidR="00E15E1B">
        <w:t xml:space="preserve"> </w:t>
      </w:r>
      <w:r>
        <w:t>Authority</w:t>
      </w:r>
      <w:r w:rsidR="00E15E1B">
        <w:t xml:space="preserve"> </w:t>
      </w:r>
      <w:r>
        <w:t>to</w:t>
      </w:r>
      <w:r w:rsidR="00E15E1B">
        <w:t xml:space="preserve"> </w:t>
      </w:r>
      <w:r>
        <w:t>implement</w:t>
      </w:r>
      <w:r w:rsidR="00E15E1B">
        <w:t xml:space="preserve"> </w:t>
      </w:r>
      <w:r>
        <w:t>new</w:t>
      </w:r>
      <w:r w:rsidR="00E15E1B">
        <w:t xml:space="preserve"> </w:t>
      </w:r>
      <w:r>
        <w:t>‘fit</w:t>
      </w:r>
      <w:r w:rsidR="00E15E1B">
        <w:t xml:space="preserve"> </w:t>
      </w:r>
      <w:r>
        <w:t>and</w:t>
      </w:r>
      <w:r w:rsidR="00E15E1B">
        <w:t xml:space="preserve"> </w:t>
      </w:r>
      <w:r>
        <w:t>proper</w:t>
      </w:r>
      <w:r w:rsidR="00E15E1B">
        <w:t xml:space="preserve"> </w:t>
      </w:r>
      <w:r>
        <w:t>person’</w:t>
      </w:r>
      <w:r w:rsidR="00E15E1B">
        <w:t xml:space="preserve"> </w:t>
      </w:r>
      <w:r>
        <w:t>laws</w:t>
      </w:r>
      <w:r w:rsidR="00E15E1B">
        <w:t xml:space="preserve"> </w:t>
      </w:r>
      <w:r>
        <w:t>requiring</w:t>
      </w:r>
      <w:r w:rsidR="00E15E1B">
        <w:t xml:space="preserve"> </w:t>
      </w:r>
      <w:r>
        <w:t>the</w:t>
      </w:r>
      <w:r w:rsidR="00E15E1B">
        <w:t xml:space="preserve"> </w:t>
      </w:r>
      <w:r>
        <w:t>licensing</w:t>
      </w:r>
      <w:r w:rsidR="00E15E1B">
        <w:t xml:space="preserve"> </w:t>
      </w:r>
      <w:r>
        <w:t>of</w:t>
      </w:r>
      <w:r w:rsidR="00E15E1B">
        <w:t xml:space="preserve"> </w:t>
      </w:r>
      <w:r>
        <w:t>all</w:t>
      </w:r>
      <w:r w:rsidR="00E15E1B">
        <w:t xml:space="preserve"> </w:t>
      </w:r>
      <w:r>
        <w:t>rooming</w:t>
      </w:r>
      <w:r w:rsidR="00E15E1B">
        <w:t xml:space="preserve"> </w:t>
      </w:r>
      <w:r>
        <w:t>house</w:t>
      </w:r>
      <w:r w:rsidR="00E15E1B">
        <w:t xml:space="preserve"> </w:t>
      </w:r>
      <w:r>
        <w:t>operators,</w:t>
      </w:r>
      <w:r w:rsidR="00E15E1B">
        <w:t xml:space="preserve"> </w:t>
      </w:r>
      <w:r>
        <w:t>with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860</w:t>
      </w:r>
      <w:r w:rsidR="00E15E1B">
        <w:t xml:space="preserve"> </w:t>
      </w:r>
      <w:r>
        <w:t>licences</w:t>
      </w:r>
      <w:r w:rsidR="00E15E1B">
        <w:t xml:space="preserve"> </w:t>
      </w:r>
      <w:r>
        <w:t>approved.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continued</w:t>
      </w:r>
      <w:r w:rsidR="00E15E1B">
        <w:t xml:space="preserve"> </w:t>
      </w:r>
      <w:r>
        <w:t>our</w:t>
      </w:r>
      <w:r w:rsidR="00E15E1B">
        <w:t xml:space="preserve"> </w:t>
      </w:r>
      <w:r>
        <w:t>review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Residential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Tenancies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1997</w:t>
      </w:r>
      <w:r>
        <w:t>,</w:t>
      </w:r>
      <w:r w:rsidR="00E15E1B">
        <w:t xml:space="preserve"> </w:t>
      </w:r>
      <w:r>
        <w:t>and</w:t>
      </w:r>
      <w:r w:rsidR="00E15E1B">
        <w:t xml:space="preserve"> </w:t>
      </w:r>
      <w:r>
        <w:t>supported</w:t>
      </w:r>
      <w:r w:rsidR="00E15E1B">
        <w:t xml:space="preserve"> </w:t>
      </w:r>
      <w:r>
        <w:t>the</w:t>
      </w:r>
      <w:r w:rsidR="00E15E1B">
        <w:t xml:space="preserve"> </w:t>
      </w:r>
      <w:r>
        <w:t>Government</w:t>
      </w:r>
      <w:r w:rsidR="00E15E1B">
        <w:t xml:space="preserve"> </w:t>
      </w:r>
      <w:r>
        <w:t>to</w:t>
      </w:r>
      <w:r w:rsidR="00E15E1B">
        <w:t xml:space="preserve"> </w:t>
      </w:r>
      <w:r>
        <w:t>introduce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Parliament</w:t>
      </w:r>
      <w:r w:rsidR="00E15E1B">
        <w:t xml:space="preserve"> </w:t>
      </w:r>
      <w:r>
        <w:t>new</w:t>
      </w:r>
      <w:r w:rsidR="00E15E1B">
        <w:t xml:space="preserve"> </w:t>
      </w:r>
      <w:r>
        <w:t>long-term</w:t>
      </w:r>
      <w:r w:rsidR="00E15E1B">
        <w:t xml:space="preserve"> </w:t>
      </w:r>
      <w:r>
        <w:t>tenancy</w:t>
      </w:r>
      <w:r w:rsidR="00E15E1B">
        <w:t xml:space="preserve"> </w:t>
      </w:r>
      <w:r>
        <w:t>laws</w:t>
      </w:r>
      <w:r w:rsidR="00E15E1B">
        <w:t xml:space="preserve"> </w:t>
      </w:r>
      <w:r>
        <w:t>to</w:t>
      </w:r>
      <w:r w:rsidR="00E15E1B">
        <w:t xml:space="preserve"> </w:t>
      </w:r>
      <w:r>
        <w:t>increase</w:t>
      </w:r>
      <w:r w:rsidR="00E15E1B">
        <w:t xml:space="preserve"> </w:t>
      </w:r>
      <w:r>
        <w:t>security</w:t>
      </w:r>
      <w:r w:rsidR="00E15E1B">
        <w:t xml:space="preserve"> </w:t>
      </w:r>
      <w:r>
        <w:t>for</w:t>
      </w:r>
      <w:r w:rsidR="00E15E1B">
        <w:t xml:space="preserve"> </w:t>
      </w:r>
      <w:r>
        <w:t>both</w:t>
      </w:r>
      <w:r w:rsidR="00E15E1B">
        <w:t xml:space="preserve"> </w:t>
      </w:r>
      <w:r>
        <w:t>tenants</w:t>
      </w:r>
      <w:r w:rsidR="00E15E1B">
        <w:t xml:space="preserve"> </w:t>
      </w:r>
      <w:r>
        <w:t>and</w:t>
      </w:r>
      <w:r w:rsidR="00E15E1B">
        <w:t xml:space="preserve"> </w:t>
      </w:r>
      <w:r>
        <w:t>landlords.</w:t>
      </w:r>
    </w:p>
    <w:p w:rsidR="00156239" w:rsidRDefault="00156239" w:rsidP="00156239">
      <w:pPr>
        <w:pStyle w:val="BodyText"/>
      </w:pPr>
      <w:r>
        <w:lastRenderedPageBreak/>
        <w:t>And</w:t>
      </w:r>
      <w:r w:rsidR="00E15E1B">
        <w:t xml:space="preserve"> </w:t>
      </w:r>
      <w:r>
        <w:t>the</w:t>
      </w:r>
      <w:r w:rsidR="00E15E1B">
        <w:t xml:space="preserve"> </w:t>
      </w:r>
      <w:r>
        <w:t>Minister</w:t>
      </w:r>
      <w:r w:rsidR="00E15E1B">
        <w:t xml:space="preserve"> </w:t>
      </w:r>
      <w:r>
        <w:t>approved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$27</w:t>
      </w:r>
      <w:r w:rsidR="00E15E1B">
        <w:t xml:space="preserve"> </w:t>
      </w:r>
      <w:r>
        <w:t>million</w:t>
      </w:r>
      <w:r w:rsidR="00E15E1B">
        <w:t xml:space="preserve"> </w:t>
      </w:r>
      <w:r>
        <w:t>in</w:t>
      </w:r>
      <w:r w:rsidR="00E15E1B">
        <w:t xml:space="preserve"> </w:t>
      </w:r>
      <w:r>
        <w:t>grants</w:t>
      </w:r>
      <w:r w:rsidR="00E15E1B">
        <w:t xml:space="preserve"> </w:t>
      </w:r>
      <w:r>
        <w:t>from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Property</w:t>
      </w:r>
      <w:r w:rsidR="00E15E1B">
        <w:t xml:space="preserve"> </w:t>
      </w:r>
      <w:r>
        <w:t>Fund,</w:t>
      </w:r>
      <w:r w:rsidR="00E15E1B">
        <w:t xml:space="preserve"> </w:t>
      </w:r>
      <w:r>
        <w:t>administered</w:t>
      </w:r>
      <w:r w:rsidR="00E15E1B">
        <w:t xml:space="preserve"> </w:t>
      </w:r>
      <w:r>
        <w:t>by</w:t>
      </w:r>
      <w:r w:rsidR="00E15E1B">
        <w:t xml:space="preserve"> </w:t>
      </w:r>
      <w:r>
        <w:t>Consumer</w:t>
      </w:r>
      <w:r w:rsidR="00E15E1B">
        <w:t xml:space="preserve"> </w:t>
      </w:r>
      <w:r>
        <w:t>Affairs,</w:t>
      </w:r>
      <w:r w:rsidR="00E15E1B">
        <w:t xml:space="preserve"> </w:t>
      </w:r>
      <w:r>
        <w:t>for</w:t>
      </w:r>
      <w:r w:rsidR="00E15E1B">
        <w:t xml:space="preserve"> </w:t>
      </w:r>
      <w:r>
        <w:t>9</w:t>
      </w:r>
      <w:r w:rsidR="00E15E1B">
        <w:t xml:space="preserve"> </w:t>
      </w:r>
      <w:r>
        <w:t>community</w:t>
      </w:r>
      <w:r w:rsidR="00E15E1B">
        <w:t xml:space="preserve"> </w:t>
      </w:r>
      <w:r>
        <w:t>housing</w:t>
      </w:r>
      <w:r w:rsidR="00E15E1B">
        <w:t xml:space="preserve"> </w:t>
      </w:r>
      <w:r>
        <w:t>developments</w:t>
      </w:r>
      <w:r w:rsidR="00E15E1B">
        <w:t xml:space="preserve"> </w:t>
      </w:r>
      <w:r>
        <w:t>providing</w:t>
      </w:r>
      <w:r w:rsidR="00E15E1B">
        <w:t xml:space="preserve"> </w:t>
      </w:r>
      <w:r>
        <w:t>229</w:t>
      </w:r>
      <w:r w:rsidR="00E15E1B">
        <w:t xml:space="preserve"> </w:t>
      </w:r>
      <w:r>
        <w:t>additional</w:t>
      </w:r>
      <w:r w:rsidR="00E15E1B">
        <w:t xml:space="preserve"> </w:t>
      </w:r>
      <w:r>
        <w:t>houses</w:t>
      </w:r>
      <w:r w:rsidR="00E15E1B">
        <w:t xml:space="preserve"> </w:t>
      </w:r>
      <w:r>
        <w:t>and</w:t>
      </w:r>
      <w:r w:rsidR="00E15E1B">
        <w:t xml:space="preserve"> </w:t>
      </w:r>
      <w:r>
        <w:t>apartments</w:t>
      </w:r>
      <w:r w:rsidR="00E15E1B">
        <w:t xml:space="preserve"> </w:t>
      </w:r>
      <w:r>
        <w:t>for</w:t>
      </w:r>
      <w:r w:rsidR="00E15E1B">
        <w:t xml:space="preserve"> </w:t>
      </w:r>
      <w:r>
        <w:t>low-income</w:t>
      </w:r>
      <w:r w:rsidR="00E15E1B">
        <w:t xml:space="preserve"> </w:t>
      </w:r>
      <w:r>
        <w:t>and</w:t>
      </w:r>
      <w:r w:rsidR="00E15E1B">
        <w:t xml:space="preserve"> </w:t>
      </w:r>
      <w:r>
        <w:t>other</w:t>
      </w:r>
      <w:r w:rsidR="00E15E1B">
        <w:t xml:space="preserve"> </w:t>
      </w:r>
      <w:r>
        <w:t>vulnerable</w:t>
      </w:r>
      <w:r w:rsidR="00E15E1B">
        <w:t xml:space="preserve"> </w:t>
      </w:r>
      <w:r>
        <w:t>Victorians.</w:t>
      </w:r>
    </w:p>
    <w:p w:rsidR="00156239" w:rsidRDefault="00156239" w:rsidP="00156239">
      <w:pPr>
        <w:pStyle w:val="BodyText"/>
      </w:pPr>
      <w:r>
        <w:t>This</w:t>
      </w:r>
      <w:r w:rsidR="00E15E1B">
        <w:t xml:space="preserve"> </w:t>
      </w:r>
      <w:r>
        <w:t>annual</w:t>
      </w:r>
      <w:r w:rsidR="00E15E1B">
        <w:t xml:space="preserve"> </w:t>
      </w:r>
      <w:r>
        <w:t>report</w:t>
      </w:r>
      <w:r w:rsidR="00E15E1B">
        <w:t xml:space="preserve"> </w:t>
      </w:r>
      <w:r>
        <w:t>again</w:t>
      </w:r>
      <w:r w:rsidR="00E15E1B">
        <w:t xml:space="preserve"> </w:t>
      </w:r>
      <w:r>
        <w:t>reflects</w:t>
      </w:r>
      <w:r w:rsidR="00E15E1B">
        <w:t xml:space="preserve"> </w:t>
      </w:r>
      <w:r>
        <w:t>the</w:t>
      </w:r>
      <w:r w:rsidR="00E15E1B">
        <w:t xml:space="preserve"> </w:t>
      </w:r>
      <w:r>
        <w:t>commitment</w:t>
      </w:r>
      <w:r w:rsidR="00E15E1B">
        <w:t xml:space="preserve"> </w:t>
      </w:r>
      <w:r>
        <w:t>and</w:t>
      </w:r>
      <w:r w:rsidR="00E15E1B">
        <w:t xml:space="preserve"> </w:t>
      </w:r>
      <w:r>
        <w:t>passion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team</w:t>
      </w:r>
      <w:r w:rsidR="00E15E1B">
        <w:t xml:space="preserve"> </w:t>
      </w:r>
      <w:r>
        <w:t>to</w:t>
      </w:r>
      <w:r w:rsidR="00E15E1B">
        <w:t xml:space="preserve"> </w:t>
      </w:r>
      <w:r>
        <w:t>deliver</w:t>
      </w:r>
      <w:r w:rsidR="00E15E1B">
        <w:t xml:space="preserve"> </w:t>
      </w:r>
      <w:r>
        <w:t>high-quality</w:t>
      </w:r>
      <w:r w:rsidR="00E15E1B">
        <w:t xml:space="preserve"> </w:t>
      </w:r>
      <w:r>
        <w:t>and</w:t>
      </w:r>
      <w:r w:rsidR="00E15E1B">
        <w:t xml:space="preserve"> </w:t>
      </w:r>
      <w:r>
        <w:t>relevant</w:t>
      </w:r>
      <w:r w:rsidR="00E15E1B">
        <w:t xml:space="preserve"> </w:t>
      </w:r>
      <w:r>
        <w:t>services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community.</w:t>
      </w:r>
      <w:r w:rsidR="00E15E1B">
        <w:t xml:space="preserve"> </w:t>
      </w:r>
      <w:r>
        <w:t>I</w:t>
      </w:r>
      <w:r w:rsidR="00E15E1B">
        <w:t xml:space="preserve"> </w:t>
      </w:r>
      <w:r>
        <w:t>am</w:t>
      </w:r>
      <w:r w:rsidR="00E15E1B">
        <w:t xml:space="preserve"> </w:t>
      </w:r>
      <w:r>
        <w:t>indebted</w:t>
      </w:r>
      <w:r w:rsidR="00E15E1B">
        <w:t xml:space="preserve"> </w:t>
      </w:r>
      <w:r>
        <w:t>to</w:t>
      </w:r>
      <w:r w:rsidR="00E15E1B">
        <w:t xml:space="preserve"> </w:t>
      </w:r>
      <w:r>
        <w:t>them</w:t>
      </w:r>
      <w:r w:rsidR="00E15E1B">
        <w:t xml:space="preserve"> </w:t>
      </w:r>
      <w:r>
        <w:t>for</w:t>
      </w:r>
      <w:r w:rsidR="00E15E1B">
        <w:t xml:space="preserve"> </w:t>
      </w:r>
      <w:r>
        <w:t>their</w:t>
      </w:r>
      <w:r w:rsidR="00E15E1B">
        <w:t xml:space="preserve"> </w:t>
      </w:r>
      <w:r>
        <w:t>commitment</w:t>
      </w:r>
      <w:r w:rsidR="00E15E1B">
        <w:t xml:space="preserve"> </w:t>
      </w:r>
      <w:r>
        <w:t>and</w:t>
      </w:r>
      <w:r w:rsidR="00E15E1B">
        <w:t xml:space="preserve"> </w:t>
      </w:r>
      <w:r>
        <w:t>drive</w:t>
      </w:r>
      <w:r w:rsidR="00E15E1B">
        <w:t xml:space="preserve"> </w:t>
      </w:r>
      <w:r>
        <w:t>to</w:t>
      </w:r>
      <w:r w:rsidR="00E15E1B">
        <w:t xml:space="preserve"> </w:t>
      </w:r>
      <w:r>
        <w:t>keep</w:t>
      </w:r>
      <w:r w:rsidR="00E15E1B">
        <w:t xml:space="preserve"> </w:t>
      </w:r>
      <w:r>
        <w:t>things</w:t>
      </w:r>
      <w:r w:rsidR="00E15E1B">
        <w:t xml:space="preserve"> </w:t>
      </w:r>
      <w:r>
        <w:t>fair</w:t>
      </w:r>
      <w:r w:rsidR="00E15E1B">
        <w:t xml:space="preserve"> </w:t>
      </w:r>
      <w:r>
        <w:t>for</w:t>
      </w:r>
      <w:r w:rsidR="00E15E1B">
        <w:t xml:space="preserve"> </w:t>
      </w:r>
      <w:r>
        <w:t>every</w:t>
      </w:r>
      <w:r w:rsidR="00E15E1B">
        <w:t xml:space="preserve"> </w:t>
      </w:r>
      <w:r>
        <w:t>Victorian.</w:t>
      </w:r>
    </w:p>
    <w:p w:rsidR="00215056" w:rsidRPr="00215056" w:rsidRDefault="002D316F" w:rsidP="00215056">
      <w:pPr>
        <w:pStyle w:val="BodyText"/>
      </w:pPr>
      <w:r>
        <w:rPr>
          <w:noProof/>
          <w:lang w:eastAsia="en-AU"/>
        </w:rPr>
        <w:drawing>
          <wp:inline distT="0" distB="0" distL="0" distR="0" wp14:anchorId="62CF4BA7" wp14:editId="459642B9">
            <wp:extent cx="1360170" cy="656590"/>
            <wp:effectExtent l="0" t="0" r="0" b="0"/>
            <wp:docPr id="5" name="Picture 5" descr="Simon Cohe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on Cohen signa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239" w:rsidRDefault="008E1660" w:rsidP="00156239">
      <w:pPr>
        <w:pStyle w:val="BodyText"/>
      </w:pPr>
      <w:r w:rsidRPr="00BD3E39">
        <w:rPr>
          <w:rStyle w:val="Strong"/>
        </w:rPr>
        <w:t>Simon</w:t>
      </w:r>
      <w:r w:rsidR="00E15E1B">
        <w:rPr>
          <w:rStyle w:val="Strong"/>
        </w:rPr>
        <w:t xml:space="preserve"> </w:t>
      </w:r>
      <w:r w:rsidRPr="00BD3E39">
        <w:rPr>
          <w:rStyle w:val="Strong"/>
        </w:rPr>
        <w:t>Cohen</w:t>
      </w:r>
      <w:r>
        <w:br/>
      </w:r>
      <w:r w:rsidR="00156239">
        <w:t>Director,</w:t>
      </w:r>
      <w:r w:rsidR="00E15E1B">
        <w:t xml:space="preserve"> </w:t>
      </w:r>
      <w:r w:rsidR="00156239">
        <w:t>Consumer</w:t>
      </w:r>
      <w:r w:rsidR="00E15E1B">
        <w:t xml:space="preserve"> </w:t>
      </w:r>
      <w:r w:rsidR="00156239">
        <w:t>Affairs</w:t>
      </w:r>
      <w:r w:rsidR="00E15E1B">
        <w:t xml:space="preserve"> </w:t>
      </w:r>
      <w:r w:rsidR="00156239">
        <w:t>Victoria</w:t>
      </w:r>
      <w:r w:rsidR="00156239">
        <w:br/>
        <w:t>Deputy</w:t>
      </w:r>
      <w:r w:rsidR="00E15E1B">
        <w:t xml:space="preserve"> </w:t>
      </w:r>
      <w:r w:rsidR="00156239">
        <w:t>Secretary,</w:t>
      </w:r>
      <w:r w:rsidR="00E15E1B">
        <w:t xml:space="preserve"> </w:t>
      </w:r>
      <w:r w:rsidR="00156239">
        <w:t>Regulation,</w:t>
      </w:r>
      <w:r w:rsidR="00E15E1B">
        <w:t xml:space="preserve"> </w:t>
      </w:r>
      <w:r w:rsidR="00156239">
        <w:br/>
        <w:t>Department</w:t>
      </w:r>
      <w:r w:rsidR="00E15E1B">
        <w:t xml:space="preserve"> </w:t>
      </w:r>
      <w:r w:rsidR="00156239">
        <w:t>of</w:t>
      </w:r>
      <w:r w:rsidR="00E15E1B">
        <w:t xml:space="preserve"> </w:t>
      </w:r>
      <w:r w:rsidR="00156239">
        <w:t>Justice</w:t>
      </w:r>
      <w:r w:rsidR="00E15E1B">
        <w:t xml:space="preserve"> </w:t>
      </w:r>
      <w:r w:rsidR="00156239">
        <w:t>and</w:t>
      </w:r>
      <w:r w:rsidR="00E15E1B">
        <w:t xml:space="preserve"> </w:t>
      </w:r>
      <w:r w:rsidR="00156239">
        <w:t>Regulation</w:t>
      </w:r>
    </w:p>
    <w:p w:rsidR="008E1660" w:rsidRDefault="008E1660" w:rsidP="008E1660">
      <w:pPr>
        <w:pStyle w:val="Heading2"/>
      </w:pPr>
      <w:bookmarkStart w:id="2" w:name="_Toc525132653"/>
      <w:r>
        <w:lastRenderedPageBreak/>
        <w:t>Contents</w:t>
      </w:r>
      <w:bookmarkEnd w:id="2"/>
    </w:p>
    <w:bookmarkStart w:id="3" w:name="_GoBack"/>
    <w:bookmarkEnd w:id="3"/>
    <w:p w:rsidR="008C6D11" w:rsidRDefault="009569B2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r>
        <w:fldChar w:fldCharType="begin"/>
      </w:r>
      <w:r>
        <w:instrText xml:space="preserve"> TOC \h \z \u \t "Heading 2,1,Heading 3,2,TOC heading,2" </w:instrText>
      </w:r>
      <w:r>
        <w:fldChar w:fldCharType="separate"/>
      </w:r>
      <w:hyperlink w:anchor="_Toc525132651" w:history="1">
        <w:r w:rsidR="008C6D11" w:rsidRPr="00CC41B2">
          <w:rPr>
            <w:rStyle w:val="Hyperlink"/>
            <w:noProof/>
          </w:rPr>
          <w:t>Letter to the Minister</w:t>
        </w:r>
        <w:r w:rsidR="008C6D11">
          <w:rPr>
            <w:noProof/>
            <w:webHidden/>
          </w:rPr>
          <w:tab/>
        </w:r>
        <w:r w:rsidR="008C6D11">
          <w:rPr>
            <w:noProof/>
            <w:webHidden/>
          </w:rPr>
          <w:fldChar w:fldCharType="begin"/>
        </w:r>
        <w:r w:rsidR="008C6D11">
          <w:rPr>
            <w:noProof/>
            <w:webHidden/>
          </w:rPr>
          <w:instrText xml:space="preserve"> PAGEREF _Toc525132651 \h </w:instrText>
        </w:r>
        <w:r w:rsidR="008C6D11">
          <w:rPr>
            <w:noProof/>
            <w:webHidden/>
          </w:rPr>
        </w:r>
        <w:r w:rsidR="008C6D11">
          <w:rPr>
            <w:noProof/>
            <w:webHidden/>
          </w:rPr>
          <w:fldChar w:fldCharType="separate"/>
        </w:r>
        <w:r w:rsidR="008C6D11">
          <w:rPr>
            <w:noProof/>
            <w:webHidden/>
          </w:rPr>
          <w:t>2</w:t>
        </w:r>
        <w:r w:rsidR="008C6D11">
          <w:rPr>
            <w:noProof/>
            <w:webHidden/>
          </w:rPr>
          <w:fldChar w:fldCharType="end"/>
        </w:r>
      </w:hyperlink>
    </w:p>
    <w:p w:rsidR="008C6D11" w:rsidRDefault="008C6D1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525132652" w:history="1">
        <w:r w:rsidRPr="00CC41B2">
          <w:rPr>
            <w:rStyle w:val="Hyperlink"/>
            <w:noProof/>
          </w:rPr>
          <w:t>Director’s foreword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_Toc525132652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C6D11" w:rsidRDefault="008C6D1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525132653" w:history="1">
        <w:r w:rsidRPr="00CC41B2">
          <w:rPr>
            <w:rStyle w:val="Hyperlink"/>
            <w:noProof/>
          </w:rPr>
          <w:t>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_Toc525132653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C6D11" w:rsidRDefault="008C6D1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525132654" w:history="1">
        <w:r w:rsidRPr="00CC41B2">
          <w:rPr>
            <w:rStyle w:val="Hyperlink"/>
            <w:noProof/>
          </w:rPr>
          <w:t>About 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_Toc525132654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C6D11" w:rsidRDefault="008C6D1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525132655" w:history="1">
        <w:r w:rsidRPr="00CC41B2">
          <w:rPr>
            <w:rStyle w:val="Hyperlink"/>
          </w:rPr>
          <w:t>Our values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_Toc525132655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C6D11" w:rsidRDefault="008C6D1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525132656" w:history="1">
        <w:r w:rsidRPr="00CC41B2">
          <w:rPr>
            <w:rStyle w:val="Hyperlink"/>
          </w:rPr>
          <w:t>Our vision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_Toc525132656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C6D11" w:rsidRDefault="008C6D1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525132657" w:history="1">
        <w:r w:rsidRPr="00CC41B2">
          <w:rPr>
            <w:rStyle w:val="Hyperlink"/>
          </w:rPr>
          <w:t>Our goals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_Toc525132657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C6D11" w:rsidRDefault="008C6D1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525132658" w:history="1">
        <w:r w:rsidRPr="00CC41B2">
          <w:rPr>
            <w:rStyle w:val="Hyperlink"/>
          </w:rPr>
          <w:t>Our functions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_Toc525132658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C6D11" w:rsidRDefault="008C6D1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525132659" w:history="1">
        <w:r w:rsidRPr="00CC41B2">
          <w:rPr>
            <w:rStyle w:val="Hyperlink"/>
          </w:rPr>
          <w:t>Our regulatory approach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_Toc525132659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C6D11" w:rsidRDefault="008C6D1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525132660" w:history="1">
        <w:r w:rsidRPr="00CC41B2">
          <w:rPr>
            <w:rStyle w:val="Hyperlink"/>
            <w:noProof/>
          </w:rPr>
          <w:t>Our performance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_Toc525132660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C6D11" w:rsidRDefault="008C6D1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525132661" w:history="1">
        <w:r w:rsidRPr="00CC41B2">
          <w:rPr>
            <w:rStyle w:val="Hyperlink"/>
            <w:noProof/>
          </w:rPr>
          <w:t>Our achievements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_Toc525132661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C6D11" w:rsidRDefault="008C6D1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525132662" w:history="1">
        <w:r w:rsidRPr="00CC41B2">
          <w:rPr>
            <w:rStyle w:val="Hyperlink"/>
          </w:rPr>
          <w:t>Goal 1: Businesses comply with consumer laws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_Toc525132662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C6D11" w:rsidRDefault="008C6D1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525132663" w:history="1">
        <w:r w:rsidRPr="00CC41B2">
          <w:rPr>
            <w:rStyle w:val="Hyperlink"/>
          </w:rPr>
          <w:t>Goal 2: Victorians exercise their consumer rights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_Toc525132663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C6D11" w:rsidRDefault="008C6D1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525132664" w:history="1">
        <w:r w:rsidRPr="00CC41B2">
          <w:rPr>
            <w:rStyle w:val="Hyperlink"/>
          </w:rPr>
          <w:t>Goal 3: A fair and safe rental market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_Toc525132664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C6D11" w:rsidRDefault="008C6D1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525132665" w:history="1">
        <w:r w:rsidRPr="00CC41B2">
          <w:rPr>
            <w:rStyle w:val="Hyperlink"/>
          </w:rPr>
          <w:t>Goal 4: A modern and effective consumer law framework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_Toc525132665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8C6D11" w:rsidRDefault="008C6D1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525132666" w:history="1">
        <w:r w:rsidRPr="00CC41B2">
          <w:rPr>
            <w:rStyle w:val="Hyperlink"/>
          </w:rPr>
          <w:t>Goal 5: A sustainable and innovative regulator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_Toc525132666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8C6D11" w:rsidRDefault="008C6D1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525132667" w:history="1">
        <w:r w:rsidRPr="00CC41B2">
          <w:rPr>
            <w:rStyle w:val="Hyperlink"/>
            <w:noProof/>
          </w:rPr>
          <w:t>Financial information 2017–18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_Toc525132667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C6D11" w:rsidRDefault="008C6D1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525132668" w:history="1">
        <w:r w:rsidRPr="00CC41B2">
          <w:rPr>
            <w:rStyle w:val="Hyperlink"/>
            <w:noProof/>
          </w:rPr>
          <w:t>Appendix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_Toc525132668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C6D11" w:rsidRDefault="008C6D1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525132669" w:history="1">
        <w:r w:rsidRPr="00CC41B2">
          <w:rPr>
            <w:rStyle w:val="Hyperlink"/>
            <w:noProof/>
          </w:rPr>
          <w:t>Consumer Affairs Victoria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_Toc525132669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C6D11" w:rsidRDefault="008C6D1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525132670" w:history="1">
        <w:r w:rsidRPr="00CC41B2">
          <w:rPr>
            <w:rStyle w:val="Hyperlink"/>
          </w:rPr>
          <w:t>Accessibility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_Toc525132670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E1660" w:rsidRDefault="009569B2" w:rsidP="008E1660">
      <w:pPr>
        <w:pStyle w:val="BodyText"/>
      </w:pPr>
      <w:r>
        <w:fldChar w:fldCharType="end"/>
      </w:r>
    </w:p>
    <w:p w:rsidR="00156239" w:rsidRDefault="00156239" w:rsidP="00156239">
      <w:pPr>
        <w:pStyle w:val="Heading2"/>
      </w:pPr>
      <w:bookmarkStart w:id="4" w:name="_Toc525132654"/>
      <w:r>
        <w:lastRenderedPageBreak/>
        <w:t>About</w:t>
      </w:r>
      <w:r w:rsidR="00E15E1B">
        <w:t xml:space="preserve"> </w:t>
      </w:r>
      <w:r>
        <w:t>us</w:t>
      </w:r>
      <w:bookmarkEnd w:id="4"/>
    </w:p>
    <w:p w:rsidR="00156239" w:rsidRDefault="00156239" w:rsidP="00156239">
      <w:pPr>
        <w:pStyle w:val="BodyText"/>
      </w:pP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Victoria</w:t>
      </w:r>
      <w:r w:rsidR="00E15E1B">
        <w:t xml:space="preserve"> </w:t>
      </w:r>
      <w:r>
        <w:t>(CAV)</w:t>
      </w:r>
      <w:r w:rsidR="00E15E1B">
        <w:t xml:space="preserve"> </w:t>
      </w:r>
      <w:r>
        <w:t>is</w:t>
      </w:r>
      <w:r w:rsidR="00E15E1B">
        <w:t xml:space="preserve"> </w:t>
      </w:r>
      <w:r>
        <w:t>Victoria’s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regulator,</w:t>
      </w:r>
      <w:r w:rsidR="00E15E1B">
        <w:t xml:space="preserve"> </w:t>
      </w:r>
      <w:r>
        <w:t>operating</w:t>
      </w:r>
      <w:r w:rsidR="00E15E1B">
        <w:t xml:space="preserve"> </w:t>
      </w:r>
      <w:r>
        <w:t>within</w:t>
      </w:r>
      <w:r w:rsidR="00E15E1B">
        <w:t xml:space="preserve"> </w:t>
      </w:r>
      <w:r>
        <w:t>the</w:t>
      </w:r>
      <w:r w:rsidR="00E15E1B">
        <w:t xml:space="preserve"> </w:t>
      </w:r>
      <w:r>
        <w:t>national</w:t>
      </w:r>
      <w:r w:rsidR="00E15E1B">
        <w:t xml:space="preserve"> </w:t>
      </w:r>
      <w:r>
        <w:t>consumer</w:t>
      </w:r>
      <w:r w:rsidR="00E15E1B">
        <w:t xml:space="preserve"> </w:t>
      </w:r>
      <w:r>
        <w:t>protection</w:t>
      </w:r>
      <w:r w:rsidR="00E15E1B">
        <w:t xml:space="preserve"> </w:t>
      </w:r>
      <w:r>
        <w:t>framework.</w:t>
      </w:r>
      <w:r w:rsidR="00E15E1B">
        <w:t xml:space="preserve"> </w:t>
      </w:r>
      <w:r>
        <w:t>We</w:t>
      </w:r>
      <w:r w:rsidR="00E15E1B">
        <w:t xml:space="preserve"> </w:t>
      </w:r>
      <w:r>
        <w:t>are</w:t>
      </w:r>
      <w:r w:rsidR="00E15E1B">
        <w:t xml:space="preserve"> </w:t>
      </w:r>
      <w:r>
        <w:t>part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Regulation</w:t>
      </w:r>
      <w:r w:rsidR="00E15E1B">
        <w:t xml:space="preserve"> </w:t>
      </w:r>
      <w:r>
        <w:t>Division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Department</w:t>
      </w:r>
      <w:r w:rsidR="00E15E1B">
        <w:t xml:space="preserve"> </w:t>
      </w:r>
      <w:r>
        <w:t>of</w:t>
      </w:r>
      <w:r w:rsidR="00E15E1B">
        <w:t xml:space="preserve"> </w:t>
      </w:r>
      <w:r>
        <w:t>Justice</w:t>
      </w:r>
      <w:r w:rsidR="00E15E1B">
        <w:t xml:space="preserve"> </w:t>
      </w:r>
      <w:r>
        <w:t>and</w:t>
      </w:r>
      <w:r w:rsidR="00E15E1B">
        <w:t xml:space="preserve"> </w:t>
      </w:r>
      <w:r>
        <w:t>Regulation</w:t>
      </w:r>
      <w:r w:rsidR="00E15E1B">
        <w:t xml:space="preserve"> </w:t>
      </w:r>
      <w:r>
        <w:t>(DJR).</w:t>
      </w:r>
    </w:p>
    <w:p w:rsidR="00156239" w:rsidRDefault="00156239" w:rsidP="00156239">
      <w:pPr>
        <w:pStyle w:val="Heading3"/>
      </w:pPr>
      <w:bookmarkStart w:id="5" w:name="_Toc525132655"/>
      <w:r>
        <w:t>Our</w:t>
      </w:r>
      <w:r w:rsidR="00E15E1B">
        <w:t xml:space="preserve"> </w:t>
      </w:r>
      <w:r>
        <w:t>values</w:t>
      </w:r>
      <w:bookmarkEnd w:id="5"/>
    </w:p>
    <w:p w:rsidR="00156239" w:rsidRDefault="00156239" w:rsidP="00156239">
      <w:pPr>
        <w:pStyle w:val="BodyText"/>
      </w:pPr>
      <w:r>
        <w:t>DJR</w:t>
      </w:r>
      <w:r w:rsidR="00E15E1B">
        <w:t xml:space="preserve"> </w:t>
      </w:r>
      <w:r>
        <w:t>promotes</w:t>
      </w:r>
      <w:r w:rsidR="00E15E1B">
        <w:t xml:space="preserve"> </w:t>
      </w:r>
      <w:r>
        <w:t>and</w:t>
      </w:r>
      <w:r w:rsidR="00E15E1B">
        <w:t xml:space="preserve"> </w:t>
      </w:r>
      <w:r>
        <w:t>embraces</w:t>
      </w:r>
      <w:r w:rsidR="00E15E1B">
        <w:t xml:space="preserve"> </w:t>
      </w:r>
      <w:r>
        <w:t>the</w:t>
      </w:r>
      <w:r w:rsidR="00E15E1B">
        <w:t xml:space="preserve"> </w:t>
      </w:r>
      <w:r>
        <w:t>values</w:t>
      </w:r>
      <w:r w:rsidR="00E15E1B">
        <w:t xml:space="preserve"> </w:t>
      </w:r>
      <w:r>
        <w:t>of:</w:t>
      </w:r>
    </w:p>
    <w:p w:rsidR="00156239" w:rsidRDefault="00156239" w:rsidP="00156239">
      <w:pPr>
        <w:pStyle w:val="ListBullet"/>
      </w:pPr>
      <w:r>
        <w:t>working</w:t>
      </w:r>
      <w:r w:rsidR="00E15E1B">
        <w:t xml:space="preserve"> </w:t>
      </w:r>
      <w:r>
        <w:t>together</w:t>
      </w:r>
    </w:p>
    <w:p w:rsidR="00156239" w:rsidRDefault="00156239" w:rsidP="00156239">
      <w:pPr>
        <w:pStyle w:val="ListBullet"/>
      </w:pPr>
      <w:r>
        <w:t>making</w:t>
      </w:r>
      <w:r w:rsidR="00E15E1B">
        <w:t xml:space="preserve"> </w:t>
      </w:r>
      <w:r>
        <w:t>it</w:t>
      </w:r>
      <w:r w:rsidR="00E15E1B">
        <w:t xml:space="preserve"> </w:t>
      </w:r>
      <w:r>
        <w:t>happen</w:t>
      </w:r>
    </w:p>
    <w:p w:rsidR="00156239" w:rsidRDefault="00156239" w:rsidP="00156239">
      <w:pPr>
        <w:pStyle w:val="ListBullet"/>
      </w:pPr>
      <w:r>
        <w:t>respecting</w:t>
      </w:r>
      <w:r w:rsidR="00E15E1B">
        <w:t xml:space="preserve"> </w:t>
      </w:r>
      <w:r>
        <w:t>other</w:t>
      </w:r>
      <w:r w:rsidR="00E15E1B">
        <w:t xml:space="preserve"> </w:t>
      </w:r>
      <w:r>
        <w:t>people</w:t>
      </w:r>
    </w:p>
    <w:p w:rsidR="00156239" w:rsidRDefault="00156239" w:rsidP="00156239">
      <w:pPr>
        <w:pStyle w:val="ListBullet"/>
      </w:pPr>
      <w:r>
        <w:t>serving</w:t>
      </w:r>
      <w:r w:rsidR="00E15E1B">
        <w:t xml:space="preserve"> </w:t>
      </w:r>
      <w:r>
        <w:t>the</w:t>
      </w:r>
      <w:r w:rsidR="00E15E1B">
        <w:t xml:space="preserve"> </w:t>
      </w:r>
      <w:r>
        <w:t>community</w:t>
      </w:r>
    </w:p>
    <w:p w:rsidR="00156239" w:rsidRDefault="00156239" w:rsidP="00156239">
      <w:pPr>
        <w:pStyle w:val="ListBullet"/>
      </w:pPr>
      <w:r>
        <w:t>acting</w:t>
      </w:r>
      <w:r w:rsidR="00E15E1B">
        <w:t xml:space="preserve"> </w:t>
      </w:r>
      <w:r>
        <w:t>with</w:t>
      </w:r>
      <w:r w:rsidR="00E15E1B">
        <w:t xml:space="preserve"> </w:t>
      </w:r>
      <w:r>
        <w:t>integrity.</w:t>
      </w:r>
    </w:p>
    <w:p w:rsidR="00156239" w:rsidRDefault="00156239" w:rsidP="00156239">
      <w:pPr>
        <w:pStyle w:val="BodyText"/>
      </w:pPr>
      <w:r>
        <w:t>These</w:t>
      </w:r>
      <w:r w:rsidR="00E15E1B">
        <w:t xml:space="preserve"> </w:t>
      </w:r>
      <w:r>
        <w:t>values</w:t>
      </w:r>
      <w:r w:rsidR="00E15E1B">
        <w:t xml:space="preserve"> </w:t>
      </w:r>
      <w:r>
        <w:t>are</w:t>
      </w:r>
      <w:r w:rsidR="00E15E1B">
        <w:t xml:space="preserve"> </w:t>
      </w:r>
      <w:r>
        <w:t>the</w:t>
      </w:r>
      <w:r w:rsidR="00E15E1B">
        <w:t xml:space="preserve"> </w:t>
      </w:r>
      <w:r>
        <w:t>basis</w:t>
      </w:r>
      <w:r w:rsidR="00E15E1B">
        <w:t xml:space="preserve"> </w:t>
      </w:r>
      <w:r>
        <w:t>for</w:t>
      </w:r>
      <w:r w:rsidR="00E15E1B">
        <w:t xml:space="preserve"> </w:t>
      </w:r>
      <w:r>
        <w:t>the</w:t>
      </w:r>
      <w:r w:rsidR="00E15E1B">
        <w:t xml:space="preserve"> </w:t>
      </w:r>
      <w:r>
        <w:t>way</w:t>
      </w:r>
      <w:r w:rsidR="00E15E1B">
        <w:t xml:space="preserve"> </w:t>
      </w:r>
      <w:r>
        <w:t>we</w:t>
      </w:r>
      <w:r w:rsidR="00E15E1B">
        <w:t xml:space="preserve"> </w:t>
      </w:r>
      <w:r>
        <w:t>do</w:t>
      </w:r>
      <w:r w:rsidR="00E15E1B">
        <w:t xml:space="preserve"> </w:t>
      </w:r>
      <w:r>
        <w:t>business</w:t>
      </w:r>
      <w:r w:rsidR="00E15E1B">
        <w:t xml:space="preserve"> </w:t>
      </w:r>
      <w:r>
        <w:t>and</w:t>
      </w:r>
      <w:r w:rsidR="00E15E1B">
        <w:t xml:space="preserve"> </w:t>
      </w:r>
      <w:r>
        <w:t>are</w:t>
      </w:r>
      <w:r w:rsidR="00E15E1B">
        <w:t xml:space="preserve"> </w:t>
      </w:r>
      <w:r>
        <w:t>demonstrated</w:t>
      </w:r>
      <w:r w:rsidR="00E15E1B">
        <w:t xml:space="preserve"> </w:t>
      </w:r>
      <w:r>
        <w:t>every</w:t>
      </w:r>
      <w:r w:rsidR="00E15E1B">
        <w:t xml:space="preserve"> </w:t>
      </w:r>
      <w:r>
        <w:t>day</w:t>
      </w:r>
      <w:r w:rsidR="00E15E1B">
        <w:t xml:space="preserve"> </w:t>
      </w:r>
      <w:r>
        <w:t>through</w:t>
      </w:r>
      <w:r w:rsidR="00E15E1B">
        <w:t xml:space="preserve"> </w:t>
      </w:r>
      <w:r>
        <w:t>the</w:t>
      </w:r>
      <w:r w:rsidR="00E15E1B">
        <w:t xml:space="preserve"> </w:t>
      </w:r>
      <w:r>
        <w:t>actions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staff.</w:t>
      </w:r>
    </w:p>
    <w:p w:rsidR="00156239" w:rsidRDefault="00156239" w:rsidP="00156239">
      <w:pPr>
        <w:pStyle w:val="Heading3"/>
      </w:pPr>
      <w:bookmarkStart w:id="6" w:name="_Toc525132656"/>
      <w:r>
        <w:t>Our</w:t>
      </w:r>
      <w:r w:rsidR="00E15E1B">
        <w:t xml:space="preserve"> </w:t>
      </w:r>
      <w:r>
        <w:t>vision</w:t>
      </w:r>
      <w:bookmarkEnd w:id="6"/>
    </w:p>
    <w:p w:rsidR="00156239" w:rsidRDefault="00156239" w:rsidP="00156239">
      <w:pPr>
        <w:pStyle w:val="BodyText"/>
      </w:pPr>
      <w:r>
        <w:t>A</w:t>
      </w:r>
      <w:r w:rsidR="00E15E1B">
        <w:t xml:space="preserve"> </w:t>
      </w:r>
      <w:r>
        <w:t>fair</w:t>
      </w:r>
      <w:r w:rsidR="00E15E1B">
        <w:t xml:space="preserve"> </w:t>
      </w:r>
      <w:r>
        <w:t>and</w:t>
      </w:r>
      <w:r w:rsidR="00E15E1B">
        <w:t xml:space="preserve"> </w:t>
      </w:r>
      <w:r>
        <w:t>competitive</w:t>
      </w:r>
      <w:r w:rsidR="00E15E1B">
        <w:t xml:space="preserve"> </w:t>
      </w:r>
      <w:r>
        <w:t>marketplace</w:t>
      </w:r>
      <w:r w:rsidR="00E15E1B">
        <w:t xml:space="preserve"> </w:t>
      </w:r>
      <w:r>
        <w:t>in</w:t>
      </w:r>
      <w:r w:rsidR="00E15E1B">
        <w:t xml:space="preserve"> </w:t>
      </w:r>
      <w:r>
        <w:t>Victoria.</w:t>
      </w:r>
    </w:p>
    <w:p w:rsidR="00156239" w:rsidRDefault="00156239" w:rsidP="00156239">
      <w:pPr>
        <w:pStyle w:val="Heading3"/>
      </w:pPr>
      <w:bookmarkStart w:id="7" w:name="_Toc525132657"/>
      <w:r>
        <w:t>Our</w:t>
      </w:r>
      <w:r w:rsidR="00E15E1B">
        <w:t xml:space="preserve"> </w:t>
      </w:r>
      <w:r>
        <w:t>goals</w:t>
      </w:r>
      <w:bookmarkEnd w:id="7"/>
    </w:p>
    <w:p w:rsidR="00156239" w:rsidRDefault="00156239" w:rsidP="00156239">
      <w:pPr>
        <w:pStyle w:val="ListBullet"/>
      </w:pPr>
      <w:r>
        <w:t>Businesses</w:t>
      </w:r>
      <w:r w:rsidR="00E15E1B">
        <w:t xml:space="preserve"> </w:t>
      </w:r>
      <w:r>
        <w:t>comply</w:t>
      </w:r>
      <w:r w:rsidR="00E15E1B">
        <w:t xml:space="preserve"> </w:t>
      </w:r>
      <w:r>
        <w:t>with</w:t>
      </w:r>
      <w:r w:rsidR="00E15E1B">
        <w:t xml:space="preserve"> </w:t>
      </w:r>
      <w:r>
        <w:t>consumer</w:t>
      </w:r>
      <w:r w:rsidR="00E15E1B">
        <w:t xml:space="preserve"> </w:t>
      </w:r>
      <w:r>
        <w:t>laws.</w:t>
      </w:r>
    </w:p>
    <w:p w:rsidR="00156239" w:rsidRDefault="00156239" w:rsidP="00156239">
      <w:pPr>
        <w:pStyle w:val="ListBullet"/>
      </w:pPr>
      <w:r>
        <w:t>Victorians</w:t>
      </w:r>
      <w:r w:rsidR="00E15E1B">
        <w:t xml:space="preserve"> </w:t>
      </w:r>
      <w:r>
        <w:t>exercise</w:t>
      </w:r>
      <w:r w:rsidR="00E15E1B">
        <w:t xml:space="preserve"> </w:t>
      </w:r>
      <w:r>
        <w:t>their</w:t>
      </w:r>
      <w:r w:rsidR="00E15E1B">
        <w:t xml:space="preserve"> </w:t>
      </w:r>
      <w:r>
        <w:t>consumer</w:t>
      </w:r>
      <w:r w:rsidR="00E15E1B">
        <w:t xml:space="preserve"> </w:t>
      </w:r>
      <w:r>
        <w:t>rights.</w:t>
      </w:r>
    </w:p>
    <w:p w:rsidR="00156239" w:rsidRDefault="00156239" w:rsidP="00156239">
      <w:pPr>
        <w:pStyle w:val="ListBullet"/>
      </w:pPr>
      <w:r>
        <w:t>A</w:t>
      </w:r>
      <w:r w:rsidR="00E15E1B">
        <w:t xml:space="preserve"> </w:t>
      </w:r>
      <w:r>
        <w:t>fair</w:t>
      </w:r>
      <w:r w:rsidR="00E15E1B">
        <w:t xml:space="preserve"> </w:t>
      </w:r>
      <w:r>
        <w:t>and</w:t>
      </w:r>
      <w:r w:rsidR="00E15E1B">
        <w:t xml:space="preserve"> </w:t>
      </w:r>
      <w:r>
        <w:t>safe</w:t>
      </w:r>
      <w:r w:rsidR="00E15E1B">
        <w:t xml:space="preserve"> </w:t>
      </w:r>
      <w:r>
        <w:t>rental</w:t>
      </w:r>
      <w:r w:rsidR="00E15E1B">
        <w:t xml:space="preserve"> </w:t>
      </w:r>
      <w:r>
        <w:t>market</w:t>
      </w:r>
      <w:r w:rsidR="00E15E1B">
        <w:t xml:space="preserve"> </w:t>
      </w:r>
      <w:r>
        <w:t>for</w:t>
      </w:r>
      <w:r w:rsidR="00E15E1B">
        <w:t xml:space="preserve"> </w:t>
      </w:r>
      <w:r>
        <w:t>Victorians.</w:t>
      </w:r>
    </w:p>
    <w:p w:rsidR="00156239" w:rsidRDefault="00156239" w:rsidP="00156239">
      <w:pPr>
        <w:pStyle w:val="ListBullet"/>
      </w:pPr>
      <w:r>
        <w:t>A</w:t>
      </w:r>
      <w:r w:rsidR="00E15E1B">
        <w:t xml:space="preserve"> </w:t>
      </w:r>
      <w:r>
        <w:t>modern</w:t>
      </w:r>
      <w:r w:rsidR="00E15E1B">
        <w:t xml:space="preserve"> </w:t>
      </w:r>
      <w:r>
        <w:t>and</w:t>
      </w:r>
      <w:r w:rsidR="00E15E1B">
        <w:t xml:space="preserve"> </w:t>
      </w:r>
      <w:r>
        <w:t>effective</w:t>
      </w:r>
      <w:r w:rsidR="00E15E1B">
        <w:t xml:space="preserve"> </w:t>
      </w:r>
      <w:r>
        <w:t>consumer</w:t>
      </w:r>
      <w:r w:rsidR="00E15E1B">
        <w:t xml:space="preserve"> </w:t>
      </w:r>
      <w:r>
        <w:t>law</w:t>
      </w:r>
      <w:r w:rsidR="00E15E1B">
        <w:t xml:space="preserve"> </w:t>
      </w:r>
      <w:r>
        <w:t>framework.</w:t>
      </w:r>
    </w:p>
    <w:p w:rsidR="00156239" w:rsidRDefault="00156239" w:rsidP="00156239">
      <w:pPr>
        <w:pStyle w:val="ListBullet"/>
      </w:pPr>
      <w:r>
        <w:t>A</w:t>
      </w:r>
      <w:r w:rsidR="00E15E1B">
        <w:t xml:space="preserve"> </w:t>
      </w:r>
      <w:r>
        <w:t>sustainable</w:t>
      </w:r>
      <w:r w:rsidR="00E15E1B">
        <w:t xml:space="preserve"> </w:t>
      </w:r>
      <w:r>
        <w:t>and</w:t>
      </w:r>
      <w:r w:rsidR="00E15E1B">
        <w:t xml:space="preserve"> </w:t>
      </w:r>
      <w:r>
        <w:t>innovative</w:t>
      </w:r>
      <w:r w:rsidR="00E15E1B">
        <w:t xml:space="preserve"> </w:t>
      </w:r>
      <w:r>
        <w:t>regulator.</w:t>
      </w:r>
    </w:p>
    <w:p w:rsidR="00156239" w:rsidRDefault="00156239" w:rsidP="00156239">
      <w:pPr>
        <w:pStyle w:val="Heading3"/>
      </w:pPr>
      <w:bookmarkStart w:id="8" w:name="_Toc525132658"/>
      <w:r>
        <w:t>Our</w:t>
      </w:r>
      <w:r w:rsidR="00E15E1B">
        <w:t xml:space="preserve"> </w:t>
      </w:r>
      <w:r>
        <w:t>functions</w:t>
      </w:r>
      <w:bookmarkEnd w:id="8"/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help</w:t>
      </w:r>
      <w:r w:rsidR="00E15E1B">
        <w:t xml:space="preserve"> </w:t>
      </w:r>
      <w:r>
        <w:t>Victorians</w:t>
      </w:r>
      <w:r w:rsidR="00E15E1B">
        <w:t xml:space="preserve"> </w:t>
      </w:r>
      <w:r>
        <w:t>be</w:t>
      </w:r>
      <w:r w:rsidR="00E15E1B">
        <w:t xml:space="preserve"> </w:t>
      </w:r>
      <w:r>
        <w:t>responsible</w:t>
      </w:r>
      <w:r w:rsidR="00E15E1B">
        <w:t xml:space="preserve"> </w:t>
      </w:r>
      <w:r>
        <w:t>and</w:t>
      </w:r>
      <w:r w:rsidR="00E15E1B">
        <w:t xml:space="preserve"> </w:t>
      </w:r>
      <w:r>
        <w:t>informed</w:t>
      </w:r>
      <w:r w:rsidR="00E15E1B">
        <w:t xml:space="preserve"> </w:t>
      </w:r>
      <w:r>
        <w:t>businesses</w:t>
      </w:r>
      <w:r w:rsidR="00E15E1B">
        <w:t xml:space="preserve"> </w:t>
      </w:r>
      <w:r>
        <w:t>and</w:t>
      </w:r>
      <w:r w:rsidR="00E15E1B">
        <w:t xml:space="preserve"> </w:t>
      </w:r>
      <w:r>
        <w:t>consumers.</w:t>
      </w:r>
    </w:p>
    <w:p w:rsidR="00156239" w:rsidRDefault="00156239" w:rsidP="00156239">
      <w:pPr>
        <w:pStyle w:val="BodyText"/>
      </w:pPr>
      <w:r>
        <w:t>To</w:t>
      </w:r>
      <w:r w:rsidR="00E15E1B">
        <w:t xml:space="preserve"> </w:t>
      </w:r>
      <w:r>
        <w:t>do</w:t>
      </w:r>
      <w:r w:rsidR="00E15E1B">
        <w:t xml:space="preserve"> </w:t>
      </w:r>
      <w:r>
        <w:t>this</w:t>
      </w:r>
      <w:r w:rsidR="00E15E1B">
        <w:t xml:space="preserve"> </w:t>
      </w:r>
      <w:r>
        <w:t>we:</w:t>
      </w:r>
    </w:p>
    <w:p w:rsidR="00156239" w:rsidRDefault="00156239" w:rsidP="00156239">
      <w:pPr>
        <w:pStyle w:val="ListBullet"/>
      </w:pPr>
      <w:r>
        <w:t>provide</w:t>
      </w:r>
      <w:r w:rsidR="00E15E1B">
        <w:t xml:space="preserve"> </w:t>
      </w:r>
      <w:r>
        <w:t>information</w:t>
      </w:r>
      <w:r w:rsidR="00E15E1B">
        <w:t xml:space="preserve"> </w:t>
      </w:r>
      <w:r>
        <w:t>and</w:t>
      </w:r>
      <w:r w:rsidR="00E15E1B">
        <w:t xml:space="preserve"> </w:t>
      </w:r>
      <w:r>
        <w:t>advice</w:t>
      </w:r>
      <w:r w:rsidR="00E15E1B">
        <w:t xml:space="preserve"> </w:t>
      </w:r>
      <w:r>
        <w:t>to</w:t>
      </w:r>
      <w:r w:rsidR="00E15E1B">
        <w:t xml:space="preserve"> </w:t>
      </w:r>
      <w:r>
        <w:t>consumers,</w:t>
      </w:r>
      <w:r w:rsidR="00E15E1B">
        <w:t xml:space="preserve"> </w:t>
      </w:r>
      <w:r>
        <w:t>renters,</w:t>
      </w:r>
      <w:r w:rsidR="00E15E1B">
        <w:t xml:space="preserve"> </w:t>
      </w:r>
      <w:r>
        <w:t>businesses</w:t>
      </w:r>
      <w:r w:rsidR="00E15E1B">
        <w:t xml:space="preserve"> </w:t>
      </w:r>
      <w:r>
        <w:t>and</w:t>
      </w:r>
      <w:r w:rsidR="00E15E1B">
        <w:t xml:space="preserve"> </w:t>
      </w:r>
      <w:r>
        <w:t>rental</w:t>
      </w:r>
      <w:r w:rsidR="00E15E1B">
        <w:t xml:space="preserve"> </w:t>
      </w:r>
      <w:r>
        <w:t>providers</w:t>
      </w:r>
      <w:r w:rsidR="00E15E1B">
        <w:t xml:space="preserve"> </w:t>
      </w:r>
      <w:r>
        <w:t>on</w:t>
      </w:r>
      <w:r w:rsidR="00E15E1B">
        <w:t xml:space="preserve"> </w:t>
      </w:r>
      <w:r>
        <w:t>their</w:t>
      </w:r>
      <w:r w:rsidR="00E15E1B">
        <w:t xml:space="preserve"> </w:t>
      </w:r>
      <w:r>
        <w:t>rights,</w:t>
      </w:r>
      <w:r w:rsidR="00E15E1B">
        <w:t xml:space="preserve"> </w:t>
      </w:r>
      <w:r>
        <w:t>responsibilities</w:t>
      </w:r>
      <w:r w:rsidR="00E15E1B">
        <w:t xml:space="preserve"> </w:t>
      </w:r>
      <w:r>
        <w:t>and</w:t>
      </w:r>
      <w:r w:rsidR="00E15E1B">
        <w:t xml:space="preserve"> </w:t>
      </w:r>
      <w:r>
        <w:t>changes</w:t>
      </w:r>
      <w:r w:rsidR="00E15E1B">
        <w:t xml:space="preserve"> </w:t>
      </w:r>
      <w:r>
        <w:t>to</w:t>
      </w:r>
      <w:r w:rsidR="00E15E1B">
        <w:t xml:space="preserve"> </w:t>
      </w:r>
      <w:r>
        <w:t>relevant</w:t>
      </w:r>
      <w:r w:rsidR="00E15E1B">
        <w:t xml:space="preserve"> </w:t>
      </w:r>
      <w:r>
        <w:t>laws</w:t>
      </w:r>
    </w:p>
    <w:p w:rsidR="00156239" w:rsidRDefault="00156239" w:rsidP="00156239">
      <w:pPr>
        <w:pStyle w:val="ListBullet"/>
      </w:pPr>
      <w:r>
        <w:t>register</w:t>
      </w:r>
      <w:r w:rsidR="00E15E1B">
        <w:t xml:space="preserve"> </w:t>
      </w:r>
      <w:r>
        <w:t>and</w:t>
      </w:r>
      <w:r w:rsidR="00E15E1B">
        <w:t xml:space="preserve"> </w:t>
      </w:r>
      <w:r>
        <w:t>license</w:t>
      </w:r>
      <w:r w:rsidR="00E15E1B">
        <w:t xml:space="preserve"> </w:t>
      </w:r>
      <w:r>
        <w:t>certain</w:t>
      </w:r>
      <w:r w:rsidR="00E15E1B">
        <w:t xml:space="preserve"> </w:t>
      </w:r>
      <w:r>
        <w:t>businesses</w:t>
      </w:r>
      <w:r w:rsidR="00E15E1B">
        <w:t xml:space="preserve"> </w:t>
      </w:r>
      <w:r>
        <w:t>and</w:t>
      </w:r>
      <w:r w:rsidR="00E15E1B">
        <w:t xml:space="preserve"> </w:t>
      </w:r>
      <w:r>
        <w:t>occupations</w:t>
      </w:r>
    </w:p>
    <w:p w:rsidR="00156239" w:rsidRDefault="00156239" w:rsidP="00156239">
      <w:pPr>
        <w:pStyle w:val="ListBullet"/>
      </w:pPr>
      <w:r>
        <w:t>enforce</w:t>
      </w:r>
      <w:r w:rsidR="00E15E1B">
        <w:t xml:space="preserve"> </w:t>
      </w:r>
      <w:r>
        <w:t>compliance</w:t>
      </w:r>
      <w:r w:rsidR="00E15E1B">
        <w:t xml:space="preserve"> </w:t>
      </w:r>
      <w:r>
        <w:t>with</w:t>
      </w:r>
      <w:r w:rsidR="00E15E1B">
        <w:t xml:space="preserve"> </w:t>
      </w:r>
      <w:r>
        <w:t>consumer</w:t>
      </w:r>
      <w:r w:rsidR="00E15E1B">
        <w:t xml:space="preserve"> </w:t>
      </w:r>
      <w:r>
        <w:t>laws</w:t>
      </w:r>
    </w:p>
    <w:p w:rsidR="00156239" w:rsidRDefault="00156239" w:rsidP="00156239">
      <w:pPr>
        <w:pStyle w:val="ListBullet"/>
      </w:pPr>
      <w:r>
        <w:t>review</w:t>
      </w:r>
      <w:r w:rsidR="00E15E1B">
        <w:t xml:space="preserve"> </w:t>
      </w:r>
      <w:r>
        <w:t>and</w:t>
      </w:r>
      <w:r w:rsidR="00E15E1B">
        <w:t xml:space="preserve"> </w:t>
      </w:r>
      <w:r>
        <w:t>advise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</w:t>
      </w:r>
      <w:r w:rsidR="00E15E1B">
        <w:t xml:space="preserve"> </w:t>
      </w:r>
      <w:r>
        <w:t>on</w:t>
      </w:r>
      <w:r w:rsidR="00E15E1B">
        <w:t xml:space="preserve"> </w:t>
      </w:r>
      <w:r>
        <w:t>the</w:t>
      </w:r>
      <w:r w:rsidR="00E15E1B">
        <w:t xml:space="preserve"> </w:t>
      </w:r>
      <w:r>
        <w:t>consumer</w:t>
      </w:r>
      <w:r w:rsidR="00E15E1B">
        <w:t xml:space="preserve"> </w:t>
      </w:r>
      <w:r>
        <w:t>protection</w:t>
      </w:r>
      <w:r w:rsidR="00E15E1B">
        <w:t xml:space="preserve"> </w:t>
      </w:r>
      <w:r>
        <w:t>framework.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provide</w:t>
      </w:r>
      <w:r w:rsidR="00E15E1B">
        <w:t xml:space="preserve"> </w:t>
      </w:r>
      <w:r>
        <w:t>administrative</w:t>
      </w:r>
      <w:r w:rsidR="00E15E1B">
        <w:t xml:space="preserve"> </w:t>
      </w:r>
      <w:r>
        <w:t>support</w:t>
      </w:r>
      <w:r w:rsidR="00E15E1B">
        <w:t xml:space="preserve"> </w:t>
      </w:r>
      <w:r>
        <w:t>to</w:t>
      </w:r>
      <w:r w:rsidR="00E15E1B">
        <w:t xml:space="preserve"> </w:t>
      </w:r>
      <w:r>
        <w:t>several</w:t>
      </w:r>
      <w:r w:rsidR="00E15E1B">
        <w:t xml:space="preserve"> </w:t>
      </w:r>
      <w:r>
        <w:t>statutory</w:t>
      </w:r>
      <w:r w:rsidR="00E15E1B">
        <w:t xml:space="preserve"> </w:t>
      </w:r>
      <w:r>
        <w:t>offices</w:t>
      </w:r>
      <w:r w:rsidR="00E15E1B">
        <w:t xml:space="preserve"> </w:t>
      </w:r>
      <w:r>
        <w:t>and</w:t>
      </w:r>
      <w:r w:rsidR="00E15E1B">
        <w:t xml:space="preserve"> </w:t>
      </w:r>
      <w:r>
        <w:t>bodies</w:t>
      </w:r>
      <w:r w:rsidR="00E15E1B">
        <w:t xml:space="preserve"> </w:t>
      </w:r>
      <w:r>
        <w:t>including</w:t>
      </w:r>
      <w:r w:rsidR="00E15E1B">
        <w:t xml:space="preserve"> </w:t>
      </w:r>
      <w:r>
        <w:t>the</w:t>
      </w:r>
      <w:r w:rsidR="00E15E1B">
        <w:t xml:space="preserve"> </w:t>
      </w:r>
      <w:r>
        <w:t>Business</w:t>
      </w:r>
      <w:r w:rsidR="00E15E1B">
        <w:t xml:space="preserve"> </w:t>
      </w:r>
      <w:r>
        <w:t>Licensing</w:t>
      </w:r>
      <w:r w:rsidR="00E15E1B">
        <w:t xml:space="preserve"> </w:t>
      </w:r>
      <w:r>
        <w:t>Authority,</w:t>
      </w:r>
      <w:r w:rsidR="00E15E1B">
        <w:t xml:space="preserve"> </w:t>
      </w:r>
      <w:r>
        <w:t>the</w:t>
      </w:r>
      <w:r w:rsidR="00E15E1B">
        <w:t xml:space="preserve"> </w:t>
      </w:r>
      <w:r>
        <w:t>Estate</w:t>
      </w:r>
      <w:r w:rsidR="00E15E1B">
        <w:t xml:space="preserve"> </w:t>
      </w:r>
      <w:r>
        <w:t>Agents</w:t>
      </w:r>
      <w:r w:rsidR="00E15E1B">
        <w:t xml:space="preserve"> </w:t>
      </w:r>
      <w:r>
        <w:t>Council,</w:t>
      </w:r>
      <w:r w:rsidR="00E15E1B">
        <w:t xml:space="preserve"> </w:t>
      </w:r>
      <w:r>
        <w:t>the</w:t>
      </w:r>
      <w:r w:rsidR="00E15E1B">
        <w:t xml:space="preserve"> </w:t>
      </w:r>
      <w:r>
        <w:t>Motor</w:t>
      </w:r>
      <w:r w:rsidR="00E15E1B">
        <w:t xml:space="preserve"> </w:t>
      </w:r>
      <w:r>
        <w:t>Car</w:t>
      </w:r>
      <w:r w:rsidR="00E15E1B">
        <w:t xml:space="preserve"> </w:t>
      </w:r>
      <w:r>
        <w:t>Traders</w:t>
      </w:r>
      <w:r w:rsidR="00E15E1B">
        <w:t xml:space="preserve"> </w:t>
      </w:r>
      <w:r>
        <w:t>Claims</w:t>
      </w:r>
      <w:r w:rsidR="00E15E1B">
        <w:t xml:space="preserve"> </w:t>
      </w:r>
      <w:r>
        <w:t>Committee</w:t>
      </w:r>
      <w:r w:rsidR="00E15E1B">
        <w:t xml:space="preserve"> </w:t>
      </w:r>
      <w:r>
        <w:t>and</w:t>
      </w:r>
      <w:r w:rsidR="00E15E1B">
        <w:t xml:space="preserve"> </w:t>
      </w:r>
      <w:r>
        <w:t>the</w:t>
      </w:r>
      <w:r w:rsidR="00E15E1B">
        <w:t xml:space="preserve"> </w:t>
      </w:r>
      <w:r>
        <w:t>Residential</w:t>
      </w:r>
      <w:r w:rsidR="00E15E1B">
        <w:t xml:space="preserve"> </w:t>
      </w:r>
      <w:r>
        <w:t>Tenancies</w:t>
      </w:r>
      <w:r w:rsidR="00E15E1B">
        <w:t xml:space="preserve"> </w:t>
      </w:r>
      <w:r>
        <w:t>Bond</w:t>
      </w:r>
      <w:r w:rsidR="00E15E1B">
        <w:t xml:space="preserve"> </w:t>
      </w:r>
      <w:r>
        <w:t>Authority.</w:t>
      </w:r>
    </w:p>
    <w:p w:rsidR="00156239" w:rsidRDefault="00156239" w:rsidP="00156239">
      <w:pPr>
        <w:pStyle w:val="Heading3"/>
      </w:pPr>
      <w:bookmarkStart w:id="9" w:name="_Toc525132659"/>
      <w:r>
        <w:lastRenderedPageBreak/>
        <w:t>Our</w:t>
      </w:r>
      <w:r w:rsidR="00E15E1B">
        <w:t xml:space="preserve"> </w:t>
      </w:r>
      <w:r>
        <w:t>regulatory</w:t>
      </w:r>
      <w:r w:rsidR="00E15E1B">
        <w:t xml:space="preserve"> </w:t>
      </w:r>
      <w:r>
        <w:t>approach</w:t>
      </w:r>
      <w:bookmarkEnd w:id="9"/>
    </w:p>
    <w:p w:rsidR="00156239" w:rsidRDefault="00156239" w:rsidP="00156239">
      <w:pPr>
        <w:pStyle w:val="BodyText"/>
      </w:pPr>
      <w:r>
        <w:t>Our</w:t>
      </w:r>
      <w:r w:rsidR="00E15E1B">
        <w:t xml:space="preserve"> </w:t>
      </w:r>
      <w:r>
        <w:t>regulatory</w:t>
      </w:r>
      <w:r w:rsidR="00E15E1B">
        <w:t xml:space="preserve"> </w:t>
      </w:r>
      <w:r>
        <w:t>approach</w:t>
      </w:r>
      <w:r w:rsidR="00E15E1B">
        <w:t xml:space="preserve"> </w:t>
      </w:r>
      <w:r>
        <w:t>is</w:t>
      </w:r>
      <w:r w:rsidR="00E15E1B">
        <w:t xml:space="preserve"> </w:t>
      </w:r>
      <w:r>
        <w:t>intelligence-led,</w:t>
      </w:r>
      <w:r w:rsidR="00E15E1B">
        <w:t xml:space="preserve"> </w:t>
      </w:r>
      <w:r>
        <w:t>risk-based</w:t>
      </w:r>
      <w:r w:rsidR="00E15E1B">
        <w:t xml:space="preserve"> </w:t>
      </w:r>
      <w:r>
        <w:t>and</w:t>
      </w:r>
      <w:r w:rsidR="00E15E1B">
        <w:t xml:space="preserve"> </w:t>
      </w:r>
      <w:r>
        <w:t>outcome-focused.</w:t>
      </w:r>
      <w:r w:rsidR="00E15E1B">
        <w:t xml:space="preserve"> </w:t>
      </w:r>
      <w:r>
        <w:t>It</w:t>
      </w:r>
      <w:r w:rsidR="00E15E1B">
        <w:t xml:space="preserve"> </w:t>
      </w:r>
      <w:r>
        <w:t>enables</w:t>
      </w:r>
      <w:r w:rsidR="00E15E1B">
        <w:t xml:space="preserve"> </w:t>
      </w:r>
      <w:r>
        <w:t>us</w:t>
      </w:r>
      <w:r w:rsidR="00E15E1B">
        <w:t xml:space="preserve"> </w:t>
      </w:r>
      <w:r>
        <w:t>to</w:t>
      </w:r>
      <w:r w:rsidR="00E15E1B">
        <w:t xml:space="preserve"> </w:t>
      </w:r>
      <w:r>
        <w:t>target</w:t>
      </w:r>
      <w:r w:rsidR="00E15E1B">
        <w:t xml:space="preserve"> </w:t>
      </w:r>
      <w:r>
        <w:t>the</w:t>
      </w:r>
      <w:r w:rsidR="00E15E1B">
        <w:t xml:space="preserve"> </w:t>
      </w:r>
      <w:r>
        <w:t>conduct</w:t>
      </w:r>
      <w:r w:rsidR="00E15E1B">
        <w:t xml:space="preserve"> </w:t>
      </w:r>
      <w:r>
        <w:t>which</w:t>
      </w:r>
      <w:r w:rsidR="00E15E1B">
        <w:t xml:space="preserve"> </w:t>
      </w:r>
      <w:r>
        <w:t>poses</w:t>
      </w:r>
      <w:r w:rsidR="00E15E1B">
        <w:t xml:space="preserve"> </w:t>
      </w:r>
      <w:r>
        <w:t>the</w:t>
      </w:r>
      <w:r w:rsidR="00E15E1B">
        <w:t xml:space="preserve"> </w:t>
      </w:r>
      <w:r>
        <w:t>highest</w:t>
      </w:r>
      <w:r w:rsidR="00E15E1B">
        <w:t xml:space="preserve"> </w:t>
      </w:r>
      <w:r>
        <w:t>risk</w:t>
      </w:r>
      <w:r w:rsidR="00E15E1B">
        <w:t xml:space="preserve"> </w:t>
      </w:r>
      <w:r>
        <w:t>to</w:t>
      </w:r>
      <w:r w:rsidR="00E15E1B">
        <w:t xml:space="preserve"> </w:t>
      </w:r>
      <w:r>
        <w:t>Victorians,</w:t>
      </w:r>
      <w:r w:rsidR="00E15E1B">
        <w:t xml:space="preserve"> </w:t>
      </w:r>
      <w:r>
        <w:t>making</w:t>
      </w:r>
      <w:r w:rsidR="00E15E1B">
        <w:t xml:space="preserve"> </w:t>
      </w:r>
      <w:r>
        <w:t>the</w:t>
      </w:r>
      <w:r w:rsidR="00E15E1B">
        <w:t xml:space="preserve"> </w:t>
      </w:r>
      <w:r>
        <w:t>best</w:t>
      </w:r>
      <w:r w:rsidR="00E15E1B">
        <w:t xml:space="preserve"> </w:t>
      </w:r>
      <w:r>
        <w:t>use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available</w:t>
      </w:r>
      <w:r w:rsidR="00E15E1B">
        <w:t xml:space="preserve"> </w:t>
      </w:r>
      <w:r>
        <w:t>resources.</w:t>
      </w:r>
      <w:r w:rsidR="00E15E1B">
        <w:t xml:space="preserve"> </w:t>
      </w:r>
      <w:r>
        <w:t>Our</w:t>
      </w:r>
      <w:r w:rsidR="00E15E1B">
        <w:t xml:space="preserve"> </w:t>
      </w:r>
      <w:r>
        <w:t>compliance</w:t>
      </w:r>
      <w:r w:rsidR="00E15E1B">
        <w:t xml:space="preserve"> </w:t>
      </w:r>
      <w:r>
        <w:t>operating</w:t>
      </w:r>
      <w:r w:rsidR="00E15E1B">
        <w:t xml:space="preserve"> </w:t>
      </w:r>
      <w:r>
        <w:t>model</w:t>
      </w:r>
      <w:r w:rsidR="00E15E1B">
        <w:t xml:space="preserve"> </w:t>
      </w:r>
      <w:r>
        <w:t>ensures</w:t>
      </w:r>
      <w:r w:rsidR="00E15E1B">
        <w:t xml:space="preserve"> </w:t>
      </w:r>
      <w:r>
        <w:t>that</w:t>
      </w:r>
      <w:r w:rsidR="00E15E1B">
        <w:t xml:space="preserve"> </w:t>
      </w:r>
      <w:r>
        <w:t>the</w:t>
      </w:r>
      <w:r w:rsidR="00E15E1B">
        <w:t xml:space="preserve"> </w:t>
      </w:r>
      <w:r>
        <w:t>approach</w:t>
      </w:r>
      <w:r w:rsidR="00E15E1B">
        <w:t xml:space="preserve"> </w:t>
      </w:r>
      <w:r>
        <w:t>is</w:t>
      </w:r>
      <w:r w:rsidR="00E15E1B">
        <w:t xml:space="preserve"> </w:t>
      </w:r>
      <w:r>
        <w:t>embedded</w:t>
      </w:r>
      <w:r w:rsidR="00E15E1B">
        <w:t xml:space="preserve"> </w:t>
      </w:r>
      <w:r>
        <w:t>in</w:t>
      </w:r>
      <w:r w:rsidR="00E15E1B">
        <w:t xml:space="preserve"> </w:t>
      </w:r>
      <w:r>
        <w:t>our</w:t>
      </w:r>
      <w:r w:rsidR="00E15E1B">
        <w:t xml:space="preserve"> </w:t>
      </w:r>
      <w:r>
        <w:t>day</w:t>
      </w:r>
      <w:r>
        <w:rPr>
          <w:rFonts w:ascii="MS Mincho" w:eastAsia="MS Mincho" w:hAnsi="MS Mincho" w:cs="MS Mincho" w:hint="eastAsia"/>
        </w:rPr>
        <w:t>‑</w:t>
      </w:r>
      <w:r>
        <w:t>to-day</w:t>
      </w:r>
      <w:r w:rsidR="00E15E1B">
        <w:t xml:space="preserve"> </w:t>
      </w:r>
      <w:r>
        <w:t>work.</w:t>
      </w:r>
    </w:p>
    <w:p w:rsidR="00156239" w:rsidRDefault="00156239" w:rsidP="00156239">
      <w:pPr>
        <w:pStyle w:val="Heading4"/>
      </w:pPr>
      <w:r>
        <w:t>Intelligence-led</w:t>
      </w:r>
    </w:p>
    <w:p w:rsidR="00156239" w:rsidRDefault="00156239" w:rsidP="00156239">
      <w:pPr>
        <w:pStyle w:val="BodyText"/>
      </w:pPr>
      <w:r>
        <w:t>A</w:t>
      </w:r>
      <w:r w:rsidR="00E15E1B">
        <w:t xml:space="preserve"> </w:t>
      </w:r>
      <w:r>
        <w:t>core</w:t>
      </w:r>
      <w:r w:rsidR="00E15E1B">
        <w:t xml:space="preserve"> </w:t>
      </w:r>
      <w:r>
        <w:t>element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regulatory</w:t>
      </w:r>
      <w:r w:rsidR="00E15E1B">
        <w:t xml:space="preserve"> </w:t>
      </w:r>
      <w:r>
        <w:t>approach</w:t>
      </w:r>
      <w:r w:rsidR="00E15E1B">
        <w:t xml:space="preserve"> </w:t>
      </w:r>
      <w:r>
        <w:t>is</w:t>
      </w:r>
      <w:r w:rsidR="00E15E1B">
        <w:t xml:space="preserve"> </w:t>
      </w:r>
      <w:r>
        <w:t>the</w:t>
      </w:r>
      <w:r w:rsidR="00E15E1B">
        <w:t xml:space="preserve"> </w:t>
      </w:r>
      <w:r>
        <w:t>effective</w:t>
      </w:r>
      <w:r w:rsidR="00E15E1B">
        <w:t xml:space="preserve"> </w:t>
      </w:r>
      <w:r>
        <w:t>use</w:t>
      </w:r>
      <w:r w:rsidR="00E15E1B">
        <w:t xml:space="preserve"> </w:t>
      </w:r>
      <w:r>
        <w:t>of</w:t>
      </w:r>
      <w:r w:rsidR="00E15E1B">
        <w:t xml:space="preserve"> </w:t>
      </w:r>
      <w:r>
        <w:t>intelligence</w:t>
      </w:r>
      <w:r w:rsidR="00E15E1B">
        <w:t xml:space="preserve"> </w:t>
      </w:r>
      <w:r>
        <w:t>to</w:t>
      </w:r>
      <w:r w:rsidR="00E15E1B">
        <w:t xml:space="preserve"> </w:t>
      </w:r>
      <w:r>
        <w:t>inform</w:t>
      </w:r>
      <w:r w:rsidR="00E15E1B">
        <w:t xml:space="preserve"> </w:t>
      </w:r>
      <w:r>
        <w:t>decision</w:t>
      </w:r>
      <w:r w:rsidR="00E15E1B">
        <w:t xml:space="preserve"> </w:t>
      </w:r>
      <w:r>
        <w:t>making.</w:t>
      </w:r>
    </w:p>
    <w:p w:rsidR="00156239" w:rsidRDefault="00156239" w:rsidP="00156239">
      <w:pPr>
        <w:pStyle w:val="BodyText"/>
      </w:pPr>
      <w:r>
        <w:t>Intelligence</w:t>
      </w:r>
      <w:r w:rsidR="00E15E1B">
        <w:t xml:space="preserve"> </w:t>
      </w:r>
      <w:r>
        <w:t>gathered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course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regulatory</w:t>
      </w:r>
      <w:r w:rsidR="00E15E1B">
        <w:t xml:space="preserve"> </w:t>
      </w:r>
      <w:r>
        <w:t>operations</w:t>
      </w:r>
      <w:r w:rsidR="00E15E1B">
        <w:t xml:space="preserve"> </w:t>
      </w:r>
      <w:r>
        <w:t>is</w:t>
      </w:r>
      <w:r w:rsidR="00E15E1B">
        <w:t xml:space="preserve"> </w:t>
      </w:r>
      <w:r>
        <w:t>supplemented</w:t>
      </w:r>
      <w:r w:rsidR="00E15E1B">
        <w:t xml:space="preserve"> </w:t>
      </w:r>
      <w:r>
        <w:t>by</w:t>
      </w:r>
      <w:r w:rsidR="00E15E1B">
        <w:t xml:space="preserve"> </w:t>
      </w:r>
      <w:r>
        <w:t>other</w:t>
      </w:r>
      <w:r w:rsidR="00E15E1B">
        <w:t xml:space="preserve"> </w:t>
      </w:r>
      <w:r>
        <w:t>sources,</w:t>
      </w:r>
      <w:r w:rsidR="00E15E1B">
        <w:t xml:space="preserve"> </w:t>
      </w:r>
      <w:r>
        <w:t>including</w:t>
      </w:r>
      <w:r w:rsidR="00E15E1B">
        <w:t xml:space="preserve"> </w:t>
      </w:r>
      <w:r>
        <w:t>national</w:t>
      </w:r>
      <w:r w:rsidR="00E15E1B">
        <w:t xml:space="preserve"> </w:t>
      </w:r>
      <w:r>
        <w:t>information</w:t>
      </w:r>
      <w:r w:rsidR="00E15E1B">
        <w:t xml:space="preserve"> </w:t>
      </w:r>
      <w:r>
        <w:t>shared</w:t>
      </w:r>
      <w:r w:rsidR="00E15E1B">
        <w:t xml:space="preserve"> </w:t>
      </w:r>
      <w:r>
        <w:t>among</w:t>
      </w:r>
      <w:r w:rsidR="00E15E1B">
        <w:t xml:space="preserve"> </w:t>
      </w:r>
      <w:r>
        <w:t>Australian</w:t>
      </w:r>
      <w:r w:rsidR="00E15E1B">
        <w:t xml:space="preserve"> </w:t>
      </w:r>
      <w:r>
        <w:t>Consumer</w:t>
      </w:r>
      <w:r w:rsidR="00E15E1B">
        <w:t xml:space="preserve"> </w:t>
      </w:r>
      <w:r>
        <w:t>Law</w:t>
      </w:r>
      <w:r w:rsidR="00E15E1B">
        <w:t xml:space="preserve"> </w:t>
      </w:r>
      <w:r>
        <w:t>(ACL)</w:t>
      </w:r>
      <w:r w:rsidR="00E15E1B">
        <w:t xml:space="preserve"> </w:t>
      </w:r>
      <w:r>
        <w:t>regulators,</w:t>
      </w:r>
      <w:r w:rsidR="00E15E1B">
        <w:t xml:space="preserve"> </w:t>
      </w:r>
      <w:r>
        <w:t>and</w:t>
      </w:r>
      <w:r w:rsidR="00E15E1B">
        <w:t xml:space="preserve"> </w:t>
      </w:r>
      <w:r>
        <w:t>from</w:t>
      </w:r>
      <w:r w:rsidR="00E15E1B">
        <w:t xml:space="preserve"> </w:t>
      </w:r>
      <w:r>
        <w:t>local</w:t>
      </w:r>
      <w:r w:rsidR="00E15E1B">
        <w:t xml:space="preserve"> </w:t>
      </w:r>
      <w:r>
        <w:t>councils,</w:t>
      </w:r>
      <w:r w:rsidR="00E15E1B">
        <w:t xml:space="preserve"> </w:t>
      </w:r>
      <w:r>
        <w:t>state</w:t>
      </w:r>
      <w:r w:rsidR="00E15E1B">
        <w:t xml:space="preserve"> </w:t>
      </w:r>
      <w:r>
        <w:t>regulators,</w:t>
      </w:r>
      <w:r w:rsidR="00E15E1B">
        <w:t xml:space="preserve"> </w:t>
      </w:r>
      <w:r>
        <w:t>law</w:t>
      </w:r>
      <w:r w:rsidR="00E15E1B">
        <w:t xml:space="preserve"> </w:t>
      </w:r>
      <w:r>
        <w:t>enforcement</w:t>
      </w:r>
      <w:r w:rsidR="00E15E1B">
        <w:t xml:space="preserve"> </w:t>
      </w:r>
      <w:r>
        <w:t>organisations,</w:t>
      </w:r>
      <w:r w:rsidR="00E15E1B">
        <w:t xml:space="preserve"> </w:t>
      </w:r>
      <w:r>
        <w:t>industry</w:t>
      </w:r>
      <w:r w:rsidR="00E15E1B">
        <w:t xml:space="preserve"> </w:t>
      </w:r>
      <w:r>
        <w:t>stakeholders,</w:t>
      </w:r>
      <w:r w:rsidR="00E15E1B">
        <w:t xml:space="preserve"> </w:t>
      </w:r>
      <w:r>
        <w:t>online</w:t>
      </w:r>
      <w:r w:rsidR="00E15E1B">
        <w:t xml:space="preserve"> </w:t>
      </w:r>
      <w:r>
        <w:t>forums</w:t>
      </w:r>
      <w:r w:rsidR="00E15E1B">
        <w:t xml:space="preserve"> </w:t>
      </w:r>
      <w:r>
        <w:t>and</w:t>
      </w:r>
      <w:r w:rsidR="00E15E1B">
        <w:t xml:space="preserve"> </w:t>
      </w:r>
      <w:r>
        <w:t>social</w:t>
      </w:r>
      <w:r w:rsidR="00E15E1B">
        <w:t xml:space="preserve"> </w:t>
      </w:r>
      <w:r>
        <w:t>media.</w:t>
      </w:r>
      <w:r w:rsidR="00E15E1B">
        <w:t xml:space="preserve"> </w:t>
      </w:r>
      <w:r>
        <w:t>For</w:t>
      </w:r>
      <w:r w:rsidR="00E15E1B">
        <w:t xml:space="preserve"> </w:t>
      </w:r>
      <w:r>
        <w:t>example,</w:t>
      </w:r>
      <w:r w:rsidR="00E15E1B">
        <w:t xml:space="preserve"> </w:t>
      </w:r>
      <w:r>
        <w:t>information</w:t>
      </w:r>
      <w:r w:rsidR="00E15E1B">
        <w:t xml:space="preserve"> </w:t>
      </w:r>
      <w:r>
        <w:t>provided</w:t>
      </w:r>
      <w:r w:rsidR="00E15E1B">
        <w:t xml:space="preserve"> </w:t>
      </w:r>
      <w:r>
        <w:t>from</w:t>
      </w:r>
      <w:r w:rsidR="00E15E1B">
        <w:t xml:space="preserve"> </w:t>
      </w:r>
      <w:r>
        <w:t>auditors’</w:t>
      </w:r>
      <w:r w:rsidR="00E15E1B">
        <w:t xml:space="preserve"> </w:t>
      </w:r>
      <w:r>
        <w:t>reports</w:t>
      </w:r>
      <w:r w:rsidR="00E15E1B">
        <w:t xml:space="preserve"> </w:t>
      </w:r>
      <w:r>
        <w:t>on</w:t>
      </w:r>
      <w:r w:rsidR="00E15E1B">
        <w:t xml:space="preserve"> </w:t>
      </w:r>
      <w:r>
        <w:t>estate</w:t>
      </w:r>
      <w:r w:rsidR="00E15E1B">
        <w:t xml:space="preserve"> </w:t>
      </w:r>
      <w:r>
        <w:t>agent</w:t>
      </w:r>
      <w:r w:rsidR="00E15E1B">
        <w:t xml:space="preserve"> </w:t>
      </w:r>
      <w:r>
        <w:t>trust</w:t>
      </w:r>
      <w:r w:rsidR="00E15E1B">
        <w:t xml:space="preserve"> </w:t>
      </w:r>
      <w:r>
        <w:t>accounts</w:t>
      </w:r>
      <w:r w:rsidR="00E15E1B">
        <w:t xml:space="preserve"> </w:t>
      </w:r>
      <w:r>
        <w:t>alerts</w:t>
      </w:r>
      <w:r w:rsidR="00E15E1B">
        <w:t xml:space="preserve"> </w:t>
      </w:r>
      <w:r>
        <w:t>us</w:t>
      </w:r>
      <w:r w:rsidR="00E15E1B">
        <w:t xml:space="preserve"> </w:t>
      </w:r>
      <w:r>
        <w:t>to</w:t>
      </w:r>
      <w:r w:rsidR="00E15E1B">
        <w:t xml:space="preserve"> </w:t>
      </w:r>
      <w:r>
        <w:t>businesses</w:t>
      </w:r>
      <w:r w:rsidR="00E15E1B">
        <w:t xml:space="preserve"> </w:t>
      </w:r>
      <w:r>
        <w:t>that</w:t>
      </w:r>
      <w:r w:rsidR="00E15E1B">
        <w:t xml:space="preserve"> </w:t>
      </w:r>
      <w:r>
        <w:t>may</w:t>
      </w:r>
      <w:r w:rsidR="00E15E1B">
        <w:t xml:space="preserve"> </w:t>
      </w:r>
      <w:r>
        <w:t>have</w:t>
      </w:r>
      <w:r w:rsidR="00E15E1B">
        <w:t xml:space="preserve"> </w:t>
      </w:r>
      <w:r>
        <w:t>problematic</w:t>
      </w:r>
      <w:r w:rsidR="00E15E1B">
        <w:t xml:space="preserve"> </w:t>
      </w:r>
      <w:r>
        <w:t>practices,</w:t>
      </w:r>
      <w:r w:rsidR="00E15E1B">
        <w:t xml:space="preserve"> </w:t>
      </w:r>
      <w:r>
        <w:t>allowing</w:t>
      </w:r>
      <w:r w:rsidR="00E15E1B">
        <w:t xml:space="preserve"> </w:t>
      </w:r>
      <w:r>
        <w:t>us</w:t>
      </w:r>
      <w:r w:rsidR="00E15E1B">
        <w:t xml:space="preserve"> </w:t>
      </w:r>
      <w:r>
        <w:t>to</w:t>
      </w:r>
      <w:r w:rsidR="00E15E1B">
        <w:t xml:space="preserve"> </w:t>
      </w:r>
      <w:r>
        <w:t>prioritise</w:t>
      </w:r>
      <w:r w:rsidR="00E15E1B">
        <w:t xml:space="preserve"> </w:t>
      </w:r>
      <w:r>
        <w:t>inspection</w:t>
      </w:r>
      <w:r w:rsidR="00E15E1B">
        <w:t xml:space="preserve"> </w:t>
      </w:r>
      <w:r>
        <w:t>activity.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also</w:t>
      </w:r>
      <w:r w:rsidR="00E15E1B">
        <w:t xml:space="preserve"> </w:t>
      </w:r>
      <w:r>
        <w:t>receive</w:t>
      </w:r>
      <w:r w:rsidR="00E15E1B">
        <w:t xml:space="preserve"> </w:t>
      </w:r>
      <w:r>
        <w:t>a</w:t>
      </w:r>
      <w:r w:rsidR="00E15E1B">
        <w:t xml:space="preserve"> </w:t>
      </w:r>
      <w:r>
        <w:t>large</w:t>
      </w:r>
      <w:r w:rsidR="00E15E1B">
        <w:t xml:space="preserve"> </w:t>
      </w:r>
      <w:r>
        <w:t>number</w:t>
      </w:r>
      <w:r w:rsidR="00E15E1B">
        <w:t xml:space="preserve"> </w:t>
      </w:r>
      <w:r>
        <w:t>of</w:t>
      </w:r>
      <w:r w:rsidR="00E15E1B">
        <w:t xml:space="preserve"> </w:t>
      </w:r>
      <w:r>
        <w:t>reports</w:t>
      </w:r>
      <w:r w:rsidR="00E15E1B">
        <w:t xml:space="preserve"> </w:t>
      </w:r>
      <w:r>
        <w:t>from</w:t>
      </w:r>
      <w:r w:rsidR="00E15E1B">
        <w:t xml:space="preserve"> </w:t>
      </w:r>
      <w:r>
        <w:t>consumers</w:t>
      </w:r>
      <w:r w:rsidR="00E15E1B">
        <w:t xml:space="preserve"> </w:t>
      </w:r>
      <w:r>
        <w:t>and</w:t>
      </w:r>
      <w:r w:rsidR="00E15E1B">
        <w:t xml:space="preserve"> </w:t>
      </w:r>
      <w:r>
        <w:t>their</w:t>
      </w:r>
      <w:r w:rsidR="00E15E1B">
        <w:t xml:space="preserve"> </w:t>
      </w:r>
      <w:r>
        <w:t>representatives</w:t>
      </w:r>
      <w:r w:rsidR="00E15E1B">
        <w:t xml:space="preserve"> </w:t>
      </w:r>
      <w:r>
        <w:t>about</w:t>
      </w:r>
      <w:r w:rsidR="00E15E1B">
        <w:t xml:space="preserve"> </w:t>
      </w:r>
      <w:r>
        <w:t>business</w:t>
      </w:r>
      <w:r w:rsidR="00E15E1B">
        <w:t xml:space="preserve"> </w:t>
      </w:r>
      <w:r>
        <w:t>conduct</w:t>
      </w:r>
      <w:r w:rsidR="00E15E1B">
        <w:t xml:space="preserve"> </w:t>
      </w:r>
      <w:r>
        <w:t>or</w:t>
      </w:r>
      <w:r w:rsidR="00E15E1B">
        <w:t xml:space="preserve"> </w:t>
      </w:r>
      <w:r>
        <w:t>potential</w:t>
      </w:r>
      <w:r w:rsidR="00E15E1B">
        <w:t xml:space="preserve"> </w:t>
      </w:r>
      <w:r>
        <w:t>breaches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law.</w:t>
      </w:r>
      <w:r w:rsidR="00E15E1B">
        <w:t xml:space="preserve"> </w:t>
      </w:r>
      <w:r>
        <w:t>While</w:t>
      </w:r>
      <w:r w:rsidR="00E15E1B">
        <w:t xml:space="preserve"> </w:t>
      </w:r>
      <w:r>
        <w:t>we</w:t>
      </w:r>
      <w:r w:rsidR="00E15E1B">
        <w:t xml:space="preserve"> </w:t>
      </w:r>
      <w:r>
        <w:t>do</w:t>
      </w:r>
      <w:r w:rsidR="00E15E1B">
        <w:t xml:space="preserve"> </w:t>
      </w:r>
      <w:r>
        <w:t>not</w:t>
      </w:r>
      <w:r w:rsidR="00E15E1B">
        <w:t xml:space="preserve"> </w:t>
      </w:r>
      <w:r>
        <w:t>pursue</w:t>
      </w:r>
      <w:r w:rsidR="00E15E1B">
        <w:t xml:space="preserve"> </w:t>
      </w:r>
      <w:r>
        <w:t>all</w:t>
      </w:r>
      <w:r w:rsidR="00E15E1B">
        <w:t xml:space="preserve"> </w:t>
      </w:r>
      <w:r>
        <w:t>of</w:t>
      </w:r>
      <w:r w:rsidR="00E15E1B">
        <w:t xml:space="preserve"> </w:t>
      </w:r>
      <w:r>
        <w:t>these</w:t>
      </w:r>
      <w:r w:rsidR="00E15E1B">
        <w:t xml:space="preserve"> </w:t>
      </w:r>
      <w:r>
        <w:t>individually,</w:t>
      </w:r>
      <w:r w:rsidR="00E15E1B">
        <w:t xml:space="preserve"> </w:t>
      </w:r>
      <w:r>
        <w:t>we</w:t>
      </w:r>
      <w:r w:rsidR="00E15E1B">
        <w:t xml:space="preserve"> </w:t>
      </w:r>
      <w:r>
        <w:t>use</w:t>
      </w:r>
      <w:r w:rsidR="00E15E1B">
        <w:t xml:space="preserve"> </w:t>
      </w:r>
      <w:r>
        <w:t>them</w:t>
      </w:r>
      <w:r w:rsidR="00E15E1B">
        <w:t xml:space="preserve"> </w:t>
      </w:r>
      <w:r>
        <w:t>as</w:t>
      </w:r>
      <w:r w:rsidR="00E15E1B">
        <w:t xml:space="preserve"> </w:t>
      </w:r>
      <w:r>
        <w:t>an</w:t>
      </w:r>
      <w:r w:rsidR="00E15E1B">
        <w:t xml:space="preserve"> </w:t>
      </w:r>
      <w:r>
        <w:t>important</w:t>
      </w:r>
      <w:r w:rsidR="00E15E1B">
        <w:t xml:space="preserve"> </w:t>
      </w:r>
      <w:r>
        <w:t>source</w:t>
      </w:r>
      <w:r w:rsidR="00E15E1B">
        <w:t xml:space="preserve"> </w:t>
      </w:r>
      <w:r>
        <w:t>of</w:t>
      </w:r>
      <w:r w:rsidR="00E15E1B">
        <w:t xml:space="preserve"> </w:t>
      </w:r>
      <w:r>
        <w:t>intelligence</w:t>
      </w:r>
      <w:r w:rsidR="00E15E1B">
        <w:t xml:space="preserve"> </w:t>
      </w:r>
      <w:r>
        <w:t>that</w:t>
      </w:r>
      <w:r w:rsidR="00E15E1B">
        <w:t xml:space="preserve"> </w:t>
      </w:r>
      <w:r>
        <w:t>helps</w:t>
      </w:r>
      <w:r w:rsidR="00E15E1B">
        <w:t xml:space="preserve"> </w:t>
      </w:r>
      <w:r>
        <w:t>us</w:t>
      </w:r>
      <w:r w:rsidR="00E15E1B">
        <w:t xml:space="preserve"> </w:t>
      </w:r>
      <w:r>
        <w:t>assess</w:t>
      </w:r>
      <w:r w:rsidR="00E15E1B">
        <w:t xml:space="preserve"> </w:t>
      </w:r>
      <w:r>
        <w:t>risks</w:t>
      </w:r>
      <w:r w:rsidR="00E15E1B">
        <w:t xml:space="preserve"> </w:t>
      </w:r>
      <w:r>
        <w:t>and</w:t>
      </w:r>
      <w:r w:rsidR="00E15E1B">
        <w:t xml:space="preserve"> </w:t>
      </w:r>
      <w:r>
        <w:t>take</w:t>
      </w:r>
      <w:r w:rsidR="00E15E1B">
        <w:t xml:space="preserve"> </w:t>
      </w:r>
      <w:r>
        <w:t>action</w:t>
      </w:r>
      <w:r w:rsidR="00E15E1B">
        <w:t xml:space="preserve"> </w:t>
      </w:r>
      <w:r>
        <w:t>as</w:t>
      </w:r>
      <w:r w:rsidR="00E15E1B">
        <w:t xml:space="preserve"> </w:t>
      </w:r>
      <w:r>
        <w:t>appropriate.</w:t>
      </w:r>
    </w:p>
    <w:p w:rsidR="00156239" w:rsidRDefault="00156239" w:rsidP="00156239">
      <w:pPr>
        <w:pStyle w:val="Heading4"/>
      </w:pPr>
      <w:r>
        <w:t>Risk-based</w:t>
      </w:r>
    </w:p>
    <w:p w:rsidR="00156239" w:rsidRDefault="00156239" w:rsidP="00156239">
      <w:pPr>
        <w:pStyle w:val="BodyText"/>
      </w:pPr>
      <w:r>
        <w:t>Where</w:t>
      </w:r>
      <w:r w:rsidR="00E15E1B">
        <w:t xml:space="preserve"> </w:t>
      </w:r>
      <w:r>
        <w:t>possible,</w:t>
      </w:r>
      <w:r w:rsidR="00E15E1B">
        <w:t xml:space="preserve"> </w:t>
      </w:r>
      <w:r>
        <w:t>we</w:t>
      </w:r>
      <w:r w:rsidR="00E15E1B">
        <w:t xml:space="preserve"> </w:t>
      </w:r>
      <w:r>
        <w:t>aim</w:t>
      </w:r>
      <w:r w:rsidR="00E15E1B">
        <w:t xml:space="preserve"> </w:t>
      </w:r>
      <w:r>
        <w:t>to</w:t>
      </w:r>
      <w:r w:rsidR="00E15E1B">
        <w:t xml:space="preserve"> </w:t>
      </w:r>
      <w:r>
        <w:t>identify</w:t>
      </w:r>
      <w:r w:rsidR="00E15E1B">
        <w:t xml:space="preserve"> </w:t>
      </w:r>
      <w:r>
        <w:t>and</w:t>
      </w:r>
      <w:r w:rsidR="00E15E1B">
        <w:t xml:space="preserve"> </w:t>
      </w:r>
      <w:r>
        <w:t>treat</w:t>
      </w:r>
      <w:r w:rsidR="00E15E1B">
        <w:t xml:space="preserve"> </w:t>
      </w:r>
      <w:r>
        <w:t>risks</w:t>
      </w:r>
      <w:r w:rsidR="00E15E1B">
        <w:t xml:space="preserve"> </w:t>
      </w:r>
      <w:r>
        <w:t>before</w:t>
      </w:r>
      <w:r w:rsidR="00E15E1B">
        <w:t xml:space="preserve"> </w:t>
      </w:r>
      <w:r>
        <w:t>they</w:t>
      </w:r>
      <w:r w:rsidR="00E15E1B">
        <w:t xml:space="preserve"> </w:t>
      </w:r>
      <w:r>
        <w:t>lead</w:t>
      </w:r>
      <w:r w:rsidR="00E15E1B">
        <w:t xml:space="preserve"> </w:t>
      </w:r>
      <w:r>
        <w:t>to</w:t>
      </w:r>
      <w:r w:rsidR="00E15E1B">
        <w:t xml:space="preserve"> </w:t>
      </w:r>
      <w:r>
        <w:t>actual</w:t>
      </w:r>
      <w:r w:rsidR="00E15E1B">
        <w:t xml:space="preserve"> </w:t>
      </w:r>
      <w:r>
        <w:t>consumer</w:t>
      </w:r>
      <w:r w:rsidR="00E15E1B">
        <w:t xml:space="preserve"> </w:t>
      </w:r>
      <w:r>
        <w:t>harm.</w:t>
      </w:r>
    </w:p>
    <w:p w:rsidR="00156239" w:rsidRDefault="00156239" w:rsidP="00156239">
      <w:pPr>
        <w:pStyle w:val="BodyText"/>
      </w:pPr>
      <w:r>
        <w:t>Regulatory</w:t>
      </w:r>
      <w:r w:rsidR="00E15E1B">
        <w:t xml:space="preserve"> </w:t>
      </w:r>
      <w:r>
        <w:t>risks</w:t>
      </w:r>
      <w:r w:rsidR="00E15E1B">
        <w:t xml:space="preserve"> </w:t>
      </w:r>
      <w:r>
        <w:t>are</w:t>
      </w:r>
      <w:r w:rsidR="00E15E1B">
        <w:t xml:space="preserve"> </w:t>
      </w:r>
      <w:r>
        <w:t>market</w:t>
      </w:r>
      <w:r w:rsidR="00E15E1B">
        <w:t xml:space="preserve"> </w:t>
      </w:r>
      <w:r>
        <w:t>behaviours</w:t>
      </w:r>
      <w:r w:rsidR="00E15E1B">
        <w:t xml:space="preserve"> </w:t>
      </w:r>
      <w:r>
        <w:t>that:</w:t>
      </w:r>
    </w:p>
    <w:p w:rsidR="00156239" w:rsidRDefault="00156239" w:rsidP="00156239">
      <w:pPr>
        <w:pStyle w:val="ListBullet"/>
      </w:pPr>
      <w:r>
        <w:t>represent</w:t>
      </w:r>
      <w:r w:rsidR="00E15E1B">
        <w:t xml:space="preserve"> </w:t>
      </w:r>
      <w:r>
        <w:t>non-compliance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laws</w:t>
      </w:r>
      <w:r w:rsidR="00E15E1B">
        <w:t xml:space="preserve"> </w:t>
      </w:r>
      <w:r>
        <w:t>we</w:t>
      </w:r>
      <w:r w:rsidR="00E15E1B">
        <w:t xml:space="preserve"> </w:t>
      </w:r>
      <w:r>
        <w:t>administer</w:t>
      </w:r>
    </w:p>
    <w:p w:rsidR="00156239" w:rsidRDefault="00156239" w:rsidP="00156239">
      <w:pPr>
        <w:pStyle w:val="ListBullet"/>
      </w:pPr>
      <w:r>
        <w:t>present</w:t>
      </w:r>
      <w:r w:rsidR="00E15E1B">
        <w:t xml:space="preserve"> </w:t>
      </w:r>
      <w:r>
        <w:t>potential</w:t>
      </w:r>
      <w:r w:rsidR="00E15E1B">
        <w:t xml:space="preserve"> </w:t>
      </w:r>
      <w:r>
        <w:t>or</w:t>
      </w:r>
      <w:r w:rsidR="00E15E1B">
        <w:t xml:space="preserve"> </w:t>
      </w:r>
      <w:r>
        <w:t>realised</w:t>
      </w:r>
      <w:r w:rsidR="00E15E1B">
        <w:t xml:space="preserve"> </w:t>
      </w:r>
      <w:r>
        <w:t>consumer</w:t>
      </w:r>
      <w:r w:rsidR="00E15E1B">
        <w:t xml:space="preserve"> </w:t>
      </w:r>
      <w:r>
        <w:t>harm</w:t>
      </w:r>
    </w:p>
    <w:p w:rsidR="00156239" w:rsidRDefault="00156239" w:rsidP="00156239">
      <w:pPr>
        <w:pStyle w:val="ListBullet"/>
      </w:pPr>
      <w:r>
        <w:t>have</w:t>
      </w:r>
      <w:r w:rsidR="00E15E1B">
        <w:t xml:space="preserve"> </w:t>
      </w:r>
      <w:r>
        <w:t>an</w:t>
      </w:r>
      <w:r w:rsidR="00E15E1B">
        <w:t xml:space="preserve"> </w:t>
      </w:r>
      <w:r>
        <w:t>impact</w:t>
      </w:r>
      <w:r w:rsidR="00E15E1B">
        <w:t xml:space="preserve"> </w:t>
      </w:r>
      <w:r>
        <w:t>on</w:t>
      </w:r>
      <w:r w:rsidR="00E15E1B">
        <w:t xml:space="preserve"> </w:t>
      </w:r>
      <w:r>
        <w:t>our</w:t>
      </w:r>
      <w:r w:rsidR="00E15E1B">
        <w:t xml:space="preserve"> </w:t>
      </w:r>
      <w:r>
        <w:t>ability</w:t>
      </w:r>
      <w:r w:rsidR="00E15E1B">
        <w:t xml:space="preserve"> </w:t>
      </w:r>
      <w:r>
        <w:t>to</w:t>
      </w:r>
      <w:r w:rsidR="00E15E1B">
        <w:t xml:space="preserve"> </w:t>
      </w:r>
      <w:r>
        <w:t>be</w:t>
      </w:r>
      <w:r w:rsidR="00E15E1B">
        <w:t xml:space="preserve"> </w:t>
      </w:r>
      <w:r>
        <w:t>an</w:t>
      </w:r>
      <w:r w:rsidR="00E15E1B">
        <w:t xml:space="preserve"> </w:t>
      </w:r>
      <w:r>
        <w:t>effective</w:t>
      </w:r>
      <w:r w:rsidR="00E15E1B">
        <w:t xml:space="preserve"> </w:t>
      </w:r>
      <w:r>
        <w:t>regulator</w:t>
      </w:r>
    </w:p>
    <w:p w:rsidR="00156239" w:rsidRDefault="00156239" w:rsidP="00156239">
      <w:pPr>
        <w:pStyle w:val="ListBullet"/>
      </w:pPr>
      <w:r>
        <w:t>require</w:t>
      </w:r>
      <w:r w:rsidR="00E15E1B">
        <w:t xml:space="preserve"> </w:t>
      </w:r>
      <w:r>
        <w:t>a</w:t>
      </w:r>
      <w:r w:rsidR="00E15E1B">
        <w:t xml:space="preserve"> </w:t>
      </w:r>
      <w:r>
        <w:t>regulatory</w:t>
      </w:r>
      <w:r w:rsidR="00E15E1B">
        <w:t xml:space="preserve"> </w:t>
      </w:r>
      <w:r>
        <w:t>response</w:t>
      </w:r>
      <w:r w:rsidR="00E15E1B">
        <w:t xml:space="preserve"> </w:t>
      </w:r>
      <w:r>
        <w:t>due</w:t>
      </w:r>
      <w:r w:rsidR="00E15E1B">
        <w:t xml:space="preserve"> </w:t>
      </w:r>
      <w:r>
        <w:t>to</w:t>
      </w:r>
      <w:r w:rsidR="00E15E1B">
        <w:t xml:space="preserve"> </w:t>
      </w:r>
      <w:r>
        <w:t>public</w:t>
      </w:r>
      <w:r w:rsidR="00E15E1B">
        <w:t xml:space="preserve"> </w:t>
      </w:r>
      <w:r>
        <w:t>concern.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put</w:t>
      </w:r>
      <w:r w:rsidR="00E15E1B">
        <w:t xml:space="preserve"> </w:t>
      </w:r>
      <w:r>
        <w:t>our</w:t>
      </w:r>
      <w:r w:rsidR="00E15E1B">
        <w:t xml:space="preserve"> </w:t>
      </w:r>
      <w:r>
        <w:t>effort</w:t>
      </w:r>
      <w:r w:rsidR="00E15E1B">
        <w:t xml:space="preserve"> </w:t>
      </w:r>
      <w:r>
        <w:t>where</w:t>
      </w:r>
      <w:r w:rsidR="00E15E1B">
        <w:t xml:space="preserve"> </w:t>
      </w:r>
      <w:r>
        <w:t>it</w:t>
      </w:r>
      <w:r w:rsidR="00E15E1B">
        <w:t xml:space="preserve"> </w:t>
      </w:r>
      <w:r>
        <w:t>counts</w:t>
      </w:r>
      <w:r w:rsidR="00E15E1B">
        <w:t xml:space="preserve"> </w:t>
      </w:r>
      <w:r>
        <w:t>and</w:t>
      </w:r>
      <w:r w:rsidR="00E15E1B">
        <w:t xml:space="preserve"> </w:t>
      </w:r>
      <w:r>
        <w:t>target</w:t>
      </w:r>
      <w:r w:rsidR="00E15E1B">
        <w:t xml:space="preserve"> </w:t>
      </w:r>
      <w:r>
        <w:t>the</w:t>
      </w:r>
      <w:r w:rsidR="00E15E1B">
        <w:t xml:space="preserve"> </w:t>
      </w:r>
      <w:r>
        <w:t>areas</w:t>
      </w:r>
      <w:r w:rsidR="00E15E1B">
        <w:t xml:space="preserve"> </w:t>
      </w:r>
      <w:r>
        <w:t>of</w:t>
      </w:r>
      <w:r w:rsidR="00E15E1B">
        <w:t xml:space="preserve"> </w:t>
      </w:r>
      <w:r>
        <w:t>greatest</w:t>
      </w:r>
      <w:r w:rsidR="00E15E1B">
        <w:t xml:space="preserve"> </w:t>
      </w:r>
      <w:r>
        <w:t>risk</w:t>
      </w:r>
      <w:r w:rsidR="00E15E1B">
        <w:t xml:space="preserve"> </w:t>
      </w:r>
      <w:r>
        <w:t>and</w:t>
      </w:r>
      <w:r w:rsidR="00E15E1B">
        <w:t xml:space="preserve"> </w:t>
      </w:r>
      <w:r>
        <w:t>harm.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monitor</w:t>
      </w:r>
      <w:r w:rsidR="00E15E1B">
        <w:t xml:space="preserve"> </w:t>
      </w:r>
      <w:r>
        <w:t>markets</w:t>
      </w:r>
      <w:r w:rsidR="00E15E1B">
        <w:t xml:space="preserve"> </w:t>
      </w:r>
      <w:r>
        <w:t>and</w:t>
      </w:r>
      <w:r w:rsidR="00E15E1B">
        <w:t xml:space="preserve"> </w:t>
      </w:r>
      <w:r>
        <w:t>use</w:t>
      </w:r>
      <w:r w:rsidR="00E15E1B">
        <w:t xml:space="preserve"> </w:t>
      </w:r>
      <w:r>
        <w:t>evidence</w:t>
      </w:r>
      <w:r w:rsidR="00E15E1B">
        <w:t xml:space="preserve"> </w:t>
      </w:r>
      <w:r>
        <w:t>to</w:t>
      </w:r>
      <w:r w:rsidR="00E15E1B">
        <w:t xml:space="preserve"> </w:t>
      </w:r>
      <w:r>
        <w:t>shape</w:t>
      </w:r>
      <w:r w:rsidR="00E15E1B">
        <w:t xml:space="preserve"> </w:t>
      </w:r>
      <w:r>
        <w:t>a</w:t>
      </w:r>
      <w:r w:rsidR="00E15E1B">
        <w:t xml:space="preserve"> </w:t>
      </w:r>
      <w:r>
        <w:t>targeted</w:t>
      </w:r>
      <w:r w:rsidR="00E15E1B">
        <w:t xml:space="preserve"> </w:t>
      </w:r>
      <w:r>
        <w:t>compliance</w:t>
      </w:r>
      <w:r w:rsidR="00E15E1B">
        <w:t xml:space="preserve"> </w:t>
      </w:r>
      <w:r>
        <w:t>program,</w:t>
      </w:r>
      <w:r w:rsidR="00E15E1B">
        <w:t xml:space="preserve"> </w:t>
      </w:r>
      <w:r>
        <w:t>focusing</w:t>
      </w:r>
      <w:r w:rsidR="00E15E1B">
        <w:t xml:space="preserve"> </w:t>
      </w:r>
      <w:r>
        <w:t>on</w:t>
      </w:r>
      <w:r w:rsidR="00E15E1B">
        <w:t xml:space="preserve"> </w:t>
      </w:r>
      <w:r>
        <w:t>those</w:t>
      </w:r>
      <w:r w:rsidR="00E15E1B">
        <w:t xml:space="preserve"> </w:t>
      </w:r>
      <w:r>
        <w:t>issues</w:t>
      </w:r>
      <w:r w:rsidR="00E15E1B">
        <w:t xml:space="preserve"> </w:t>
      </w:r>
      <w:r>
        <w:t>that</w:t>
      </w:r>
      <w:r w:rsidR="00E15E1B">
        <w:t xml:space="preserve"> </w:t>
      </w:r>
      <w:r>
        <w:t>pose</w:t>
      </w:r>
      <w:r w:rsidR="00E15E1B">
        <w:t xml:space="preserve"> </w:t>
      </w:r>
      <w:r>
        <w:t>the</w:t>
      </w:r>
      <w:r w:rsidR="00E15E1B">
        <w:t xml:space="preserve"> </w:t>
      </w:r>
      <w:r>
        <w:t>highest</w:t>
      </w:r>
      <w:r w:rsidR="00E15E1B">
        <w:t xml:space="preserve"> </w:t>
      </w:r>
      <w:r>
        <w:t>risk</w:t>
      </w:r>
      <w:r w:rsidR="00E15E1B">
        <w:t xml:space="preserve"> </w:t>
      </w:r>
      <w:r>
        <w:t>to</w:t>
      </w:r>
      <w:r w:rsidR="00E15E1B">
        <w:t xml:space="preserve"> </w:t>
      </w:r>
      <w:r>
        <w:t>Victorians.</w:t>
      </w:r>
      <w:r w:rsidR="00E15E1B">
        <w:t xml:space="preserve"> </w:t>
      </w:r>
      <w:r>
        <w:t>Risks</w:t>
      </w:r>
      <w:r w:rsidR="00E15E1B">
        <w:t xml:space="preserve"> </w:t>
      </w:r>
      <w:r>
        <w:t>can</w:t>
      </w:r>
      <w:r w:rsidR="00E15E1B">
        <w:t xml:space="preserve"> </w:t>
      </w:r>
      <w:r>
        <w:t>take</w:t>
      </w:r>
      <w:r w:rsidR="00E15E1B">
        <w:t xml:space="preserve"> </w:t>
      </w:r>
      <w:r>
        <w:t>many</w:t>
      </w:r>
      <w:r w:rsidR="00E15E1B">
        <w:t xml:space="preserve"> </w:t>
      </w:r>
      <w:r>
        <w:t>forms,</w:t>
      </w:r>
      <w:r w:rsidR="00E15E1B">
        <w:t xml:space="preserve"> </w:t>
      </w:r>
      <w:r>
        <w:t>including</w:t>
      </w:r>
      <w:r w:rsidR="00E15E1B">
        <w:t xml:space="preserve"> </w:t>
      </w:r>
      <w:r>
        <w:t>risks</w:t>
      </w:r>
      <w:r w:rsidR="00E15E1B">
        <w:t xml:space="preserve"> </w:t>
      </w:r>
      <w:r>
        <w:t>posed</w:t>
      </w:r>
      <w:r w:rsidR="00E15E1B">
        <w:t xml:space="preserve"> </w:t>
      </w:r>
      <w:r>
        <w:t>by:</w:t>
      </w:r>
    </w:p>
    <w:p w:rsidR="00156239" w:rsidRDefault="00156239" w:rsidP="00156239">
      <w:pPr>
        <w:pStyle w:val="ListBullet"/>
      </w:pPr>
      <w:r>
        <w:t>a</w:t>
      </w:r>
      <w:r w:rsidR="00E15E1B">
        <w:t xml:space="preserve"> </w:t>
      </w:r>
      <w:r>
        <w:t>particular</w:t>
      </w:r>
      <w:r w:rsidR="00E15E1B">
        <w:t xml:space="preserve"> </w:t>
      </w:r>
      <w:r>
        <w:t>product</w:t>
      </w:r>
    </w:p>
    <w:p w:rsidR="00156239" w:rsidRDefault="00156239" w:rsidP="00156239">
      <w:pPr>
        <w:pStyle w:val="ListBullet"/>
      </w:pPr>
      <w:r>
        <w:t>the</w:t>
      </w:r>
      <w:r w:rsidR="00E15E1B">
        <w:t xml:space="preserve"> </w:t>
      </w:r>
      <w:r>
        <w:t>conduct</w:t>
      </w:r>
      <w:r w:rsidR="00E15E1B">
        <w:t xml:space="preserve"> </w:t>
      </w:r>
      <w:r>
        <w:t>of</w:t>
      </w:r>
      <w:r w:rsidR="00E15E1B">
        <w:t xml:space="preserve"> </w:t>
      </w:r>
      <w:r>
        <w:t>an</w:t>
      </w:r>
      <w:r w:rsidR="00E15E1B">
        <w:t xml:space="preserve"> </w:t>
      </w:r>
      <w:r>
        <w:t>individual</w:t>
      </w:r>
      <w:r w:rsidR="00E15E1B">
        <w:t xml:space="preserve"> </w:t>
      </w:r>
      <w:r>
        <w:t>business</w:t>
      </w:r>
    </w:p>
    <w:p w:rsidR="00156239" w:rsidRDefault="00156239" w:rsidP="00156239">
      <w:pPr>
        <w:pStyle w:val="ListBullet"/>
      </w:pPr>
      <w:r>
        <w:t>a</w:t>
      </w:r>
      <w:r w:rsidR="00E15E1B">
        <w:t xml:space="preserve"> </w:t>
      </w:r>
      <w:r>
        <w:t>new</w:t>
      </w:r>
      <w:r w:rsidR="00E15E1B">
        <w:t xml:space="preserve"> </w:t>
      </w:r>
      <w:r>
        <w:t>or</w:t>
      </w:r>
      <w:r w:rsidR="00E15E1B">
        <w:t xml:space="preserve"> </w:t>
      </w:r>
      <w:r>
        <w:t>emerging</w:t>
      </w:r>
      <w:r w:rsidR="00E15E1B">
        <w:t xml:space="preserve"> </w:t>
      </w:r>
      <w:r>
        <w:t>business</w:t>
      </w:r>
      <w:r w:rsidR="00E15E1B">
        <w:t xml:space="preserve"> </w:t>
      </w:r>
      <w:r>
        <w:t>practice</w:t>
      </w:r>
    </w:p>
    <w:p w:rsidR="00156239" w:rsidRDefault="00156239" w:rsidP="00156239">
      <w:pPr>
        <w:pStyle w:val="ListBullet"/>
      </w:pPr>
      <w:r>
        <w:t>the</w:t>
      </w:r>
      <w:r w:rsidR="00E15E1B">
        <w:t xml:space="preserve"> </w:t>
      </w:r>
      <w:r>
        <w:t>conduct</w:t>
      </w:r>
      <w:r w:rsidR="00E15E1B">
        <w:t xml:space="preserve"> </w:t>
      </w:r>
      <w:r>
        <w:t>or</w:t>
      </w:r>
      <w:r w:rsidR="00E15E1B">
        <w:t xml:space="preserve"> </w:t>
      </w:r>
      <w:r>
        <w:t>business</w:t>
      </w:r>
      <w:r w:rsidR="00E15E1B">
        <w:t xml:space="preserve"> </w:t>
      </w:r>
      <w:r>
        <w:t>model</w:t>
      </w:r>
      <w:r w:rsidR="00E15E1B">
        <w:t xml:space="preserve"> </w:t>
      </w:r>
      <w:r>
        <w:t>of</w:t>
      </w:r>
      <w:r w:rsidR="00E15E1B">
        <w:t xml:space="preserve"> </w:t>
      </w:r>
      <w:r>
        <w:t>an</w:t>
      </w:r>
      <w:r w:rsidR="00E15E1B">
        <w:t xml:space="preserve"> </w:t>
      </w:r>
      <w:r>
        <w:t>entire</w:t>
      </w:r>
      <w:r w:rsidR="00E15E1B">
        <w:t xml:space="preserve"> </w:t>
      </w:r>
      <w:r>
        <w:t>industry.</w:t>
      </w:r>
    </w:p>
    <w:p w:rsidR="00156239" w:rsidRDefault="00156239" w:rsidP="00156239">
      <w:pPr>
        <w:pStyle w:val="Heading4"/>
      </w:pPr>
      <w:r>
        <w:t>Outcome-focused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use</w:t>
      </w:r>
      <w:r w:rsidR="00E15E1B">
        <w:t xml:space="preserve"> </w:t>
      </w:r>
      <w:r>
        <w:t>a</w:t>
      </w:r>
      <w:r w:rsidR="00E15E1B">
        <w:t xml:space="preserve"> </w:t>
      </w:r>
      <w:r>
        <w:t>range</w:t>
      </w:r>
      <w:r w:rsidR="00E15E1B">
        <w:t xml:space="preserve"> </w:t>
      </w:r>
      <w:r>
        <w:t>of</w:t>
      </w:r>
      <w:r w:rsidR="00E15E1B">
        <w:t xml:space="preserve"> </w:t>
      </w:r>
      <w:r>
        <w:t>compliance</w:t>
      </w:r>
      <w:r w:rsidR="00E15E1B">
        <w:t xml:space="preserve"> </w:t>
      </w:r>
      <w:r>
        <w:t>tools,</w:t>
      </w:r>
      <w:r w:rsidR="00E15E1B">
        <w:t xml:space="preserve"> </w:t>
      </w:r>
      <w:r>
        <w:t>underpinned</w:t>
      </w:r>
      <w:r w:rsidR="00E15E1B">
        <w:t xml:space="preserve"> </w:t>
      </w:r>
      <w:r>
        <w:t>by</w:t>
      </w:r>
      <w:r w:rsidR="00E15E1B">
        <w:t xml:space="preserve"> </w:t>
      </w:r>
      <w:r>
        <w:t>a</w:t>
      </w:r>
      <w:r w:rsidR="00E15E1B">
        <w:t xml:space="preserve"> </w:t>
      </w:r>
      <w:r>
        <w:t>compliance</w:t>
      </w:r>
      <w:r w:rsidR="00E15E1B">
        <w:t xml:space="preserve"> </w:t>
      </w:r>
      <w:r>
        <w:t>strategy</w:t>
      </w:r>
      <w:r w:rsidR="00E15E1B">
        <w:t xml:space="preserve"> </w:t>
      </w:r>
      <w:r>
        <w:t>that</w:t>
      </w:r>
      <w:r w:rsidR="00E15E1B">
        <w:t xml:space="preserve"> </w:t>
      </w:r>
      <w:r>
        <w:t>ultimately</w:t>
      </w:r>
      <w:r w:rsidR="00E15E1B">
        <w:t xml:space="preserve"> </w:t>
      </w:r>
      <w:r>
        <w:t>seeks</w:t>
      </w:r>
      <w:r w:rsidR="00E15E1B">
        <w:t xml:space="preserve"> </w:t>
      </w:r>
      <w:r>
        <w:t>to</w:t>
      </w:r>
      <w:r w:rsidR="00E15E1B">
        <w:t xml:space="preserve"> </w:t>
      </w:r>
      <w:r>
        <w:t>affect</w:t>
      </w:r>
      <w:r w:rsidR="00E15E1B">
        <w:t xml:space="preserve"> </w:t>
      </w:r>
      <w:r>
        <w:t>market</w:t>
      </w:r>
      <w:r w:rsidR="00E15E1B">
        <w:t xml:space="preserve"> </w:t>
      </w:r>
      <w:r>
        <w:t>outcomes.</w:t>
      </w:r>
      <w:r w:rsidR="00E15E1B">
        <w:t xml:space="preserve"> </w:t>
      </w:r>
      <w:r>
        <w:t>We</w:t>
      </w:r>
      <w:r w:rsidR="00E15E1B">
        <w:t xml:space="preserve"> </w:t>
      </w:r>
      <w:r>
        <w:t>make</w:t>
      </w:r>
      <w:r w:rsidR="00E15E1B">
        <w:t xml:space="preserve"> </w:t>
      </w:r>
      <w:r>
        <w:t>decisions</w:t>
      </w:r>
      <w:r w:rsidR="00E15E1B">
        <w:t xml:space="preserve"> </w:t>
      </w:r>
      <w:r>
        <w:t>on</w:t>
      </w:r>
      <w:r w:rsidR="00E15E1B">
        <w:t xml:space="preserve"> </w:t>
      </w:r>
      <w:r>
        <w:t>compliance</w:t>
      </w:r>
      <w:r w:rsidR="00E15E1B">
        <w:t xml:space="preserve"> </w:t>
      </w:r>
      <w:r>
        <w:t>actions</w:t>
      </w:r>
      <w:r w:rsidR="00E15E1B">
        <w:t xml:space="preserve"> </w:t>
      </w:r>
      <w:r>
        <w:t>to</w:t>
      </w:r>
      <w:r w:rsidR="00E15E1B">
        <w:t xml:space="preserve"> </w:t>
      </w:r>
      <w:r>
        <w:t>achieve</w:t>
      </w:r>
      <w:r w:rsidR="00E15E1B">
        <w:t xml:space="preserve"> </w:t>
      </w:r>
      <w:r>
        <w:t>outcomes</w:t>
      </w:r>
      <w:r w:rsidR="00E15E1B">
        <w:t xml:space="preserve"> </w:t>
      </w:r>
      <w:r>
        <w:t>that</w:t>
      </w:r>
      <w:r w:rsidR="00E15E1B">
        <w:t xml:space="preserve"> </w:t>
      </w:r>
      <w:r>
        <w:t>deter</w:t>
      </w:r>
      <w:r w:rsidR="00E15E1B">
        <w:t xml:space="preserve"> </w:t>
      </w:r>
      <w:r>
        <w:t>unlawful</w:t>
      </w:r>
      <w:r w:rsidR="00E15E1B">
        <w:t xml:space="preserve"> </w:t>
      </w:r>
      <w:r>
        <w:t>conduct</w:t>
      </w:r>
      <w:r w:rsidR="00E15E1B">
        <w:t xml:space="preserve"> </w:t>
      </w:r>
      <w:r>
        <w:t>and</w:t>
      </w:r>
      <w:r w:rsidR="00E15E1B">
        <w:t xml:space="preserve"> </w:t>
      </w:r>
      <w:r>
        <w:t>promote</w:t>
      </w:r>
      <w:r w:rsidR="00E15E1B">
        <w:t xml:space="preserve"> </w:t>
      </w:r>
      <w:r>
        <w:t>future</w:t>
      </w:r>
      <w:r w:rsidR="00E15E1B">
        <w:t xml:space="preserve"> </w:t>
      </w:r>
      <w:r>
        <w:t>compliance.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take</w:t>
      </w:r>
      <w:r w:rsidR="00E15E1B">
        <w:t xml:space="preserve"> </w:t>
      </w:r>
      <w:r>
        <w:t>enforcement</w:t>
      </w:r>
      <w:r w:rsidR="00E15E1B">
        <w:t xml:space="preserve"> </w:t>
      </w:r>
      <w:r>
        <w:t>action</w:t>
      </w:r>
      <w:r w:rsidR="00E15E1B">
        <w:t xml:space="preserve"> </w:t>
      </w:r>
      <w:r>
        <w:t>to</w:t>
      </w:r>
      <w:r w:rsidR="00E15E1B">
        <w:t xml:space="preserve"> </w:t>
      </w:r>
      <w:r>
        <w:t>serve</w:t>
      </w:r>
      <w:r w:rsidR="00E15E1B">
        <w:t xml:space="preserve"> </w:t>
      </w:r>
      <w:r>
        <w:t>the</w:t>
      </w:r>
      <w:r w:rsidR="00E15E1B">
        <w:t xml:space="preserve"> </w:t>
      </w:r>
      <w:r>
        <w:t>public</w:t>
      </w:r>
      <w:r w:rsidR="00E15E1B">
        <w:t xml:space="preserve"> </w:t>
      </w:r>
      <w:r>
        <w:t>interest.</w:t>
      </w:r>
      <w:r w:rsidR="00E15E1B">
        <w:t xml:space="preserve"> </w:t>
      </w:r>
      <w:r>
        <w:t>We</w:t>
      </w:r>
      <w:r w:rsidR="00E15E1B">
        <w:t xml:space="preserve"> </w:t>
      </w:r>
      <w:r>
        <w:t>exercise</w:t>
      </w:r>
      <w:r w:rsidR="00E15E1B">
        <w:t xml:space="preserve"> </w:t>
      </w:r>
      <w:r>
        <w:t>discretion,</w:t>
      </w:r>
      <w:r w:rsidR="00E15E1B">
        <w:t xml:space="preserve"> </w:t>
      </w:r>
      <w:r>
        <w:t>focusing</w:t>
      </w:r>
      <w:r w:rsidR="00E15E1B">
        <w:t xml:space="preserve"> </w:t>
      </w:r>
      <w:r>
        <w:t>on</w:t>
      </w:r>
      <w:r w:rsidR="00E15E1B">
        <w:t xml:space="preserve"> </w:t>
      </w:r>
      <w:r>
        <w:t>actions</w:t>
      </w:r>
      <w:r w:rsidR="00E15E1B">
        <w:t xml:space="preserve"> </w:t>
      </w:r>
      <w:r>
        <w:t>that</w:t>
      </w:r>
      <w:r w:rsidR="00E15E1B">
        <w:t xml:space="preserve"> </w:t>
      </w:r>
      <w:r>
        <w:t>can</w:t>
      </w:r>
      <w:r w:rsidR="00E15E1B">
        <w:t xml:space="preserve"> </w:t>
      </w:r>
      <w:r>
        <w:t>bring</w:t>
      </w:r>
      <w:r w:rsidR="00E15E1B">
        <w:t xml:space="preserve"> </w:t>
      </w:r>
      <w:r>
        <w:t>beneficial</w:t>
      </w:r>
      <w:r w:rsidR="00E15E1B">
        <w:t xml:space="preserve"> </w:t>
      </w:r>
      <w:r>
        <w:t>outcomes</w:t>
      </w:r>
      <w:r w:rsidR="00E15E1B">
        <w:t xml:space="preserve"> </w:t>
      </w:r>
      <w:r>
        <w:t>to</w:t>
      </w:r>
      <w:r w:rsidR="00E15E1B">
        <w:t xml:space="preserve"> </w:t>
      </w:r>
      <w:r>
        <w:t>all</w:t>
      </w:r>
      <w:r w:rsidR="00E15E1B">
        <w:t xml:space="preserve"> </w:t>
      </w:r>
      <w:r>
        <w:t>consumers.</w:t>
      </w:r>
      <w:r w:rsidR="00E15E1B">
        <w:t xml:space="preserve"> </w:t>
      </w:r>
      <w:r>
        <w:t>We</w:t>
      </w:r>
      <w:r w:rsidR="00E15E1B">
        <w:t xml:space="preserve"> </w:t>
      </w:r>
      <w:r>
        <w:t>do</w:t>
      </w:r>
      <w:r w:rsidR="00E15E1B">
        <w:t xml:space="preserve"> </w:t>
      </w:r>
      <w:r>
        <w:t>not</w:t>
      </w:r>
      <w:r w:rsidR="00E15E1B">
        <w:t xml:space="preserve"> </w:t>
      </w:r>
      <w:r>
        <w:t>take</w:t>
      </w:r>
      <w:r w:rsidR="00E15E1B">
        <w:t xml:space="preserve"> </w:t>
      </w:r>
      <w:r>
        <w:t>action</w:t>
      </w:r>
      <w:r w:rsidR="00E15E1B">
        <w:t xml:space="preserve"> </w:t>
      </w:r>
      <w:r>
        <w:t>on</w:t>
      </w:r>
      <w:r w:rsidR="00E15E1B">
        <w:t xml:space="preserve"> </w:t>
      </w:r>
      <w:r>
        <w:t>behalf</w:t>
      </w:r>
      <w:r w:rsidR="00E15E1B">
        <w:t xml:space="preserve"> </w:t>
      </w:r>
      <w:r>
        <w:t>of</w:t>
      </w:r>
      <w:r w:rsidR="00E15E1B">
        <w:t xml:space="preserve"> </w:t>
      </w:r>
      <w:r>
        <w:t>individuals</w:t>
      </w:r>
      <w:r w:rsidR="00E15E1B">
        <w:t xml:space="preserve"> </w:t>
      </w:r>
      <w:r>
        <w:t>to</w:t>
      </w:r>
      <w:r w:rsidR="00E15E1B">
        <w:t xml:space="preserve"> </w:t>
      </w:r>
      <w:r>
        <w:t>obtain</w:t>
      </w:r>
      <w:r w:rsidR="00E15E1B">
        <w:t xml:space="preserve"> </w:t>
      </w:r>
      <w:r>
        <w:t>redress.</w:t>
      </w:r>
    </w:p>
    <w:p w:rsidR="00156239" w:rsidRDefault="00156239" w:rsidP="00156239">
      <w:pPr>
        <w:pStyle w:val="BodyText"/>
      </w:pPr>
      <w:r>
        <w:lastRenderedPageBreak/>
        <w:t>The</w:t>
      </w:r>
      <w:r w:rsidR="00E15E1B">
        <w:t xml:space="preserve"> </w:t>
      </w:r>
      <w:r>
        <w:t>nature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problem</w:t>
      </w:r>
      <w:r w:rsidR="00E15E1B">
        <w:t xml:space="preserve"> </w:t>
      </w:r>
      <w:r>
        <w:t>and</w:t>
      </w:r>
      <w:r w:rsidR="00E15E1B">
        <w:t xml:space="preserve"> </w:t>
      </w:r>
      <w:r>
        <w:t>the</w:t>
      </w:r>
      <w:r w:rsidR="00E15E1B">
        <w:t xml:space="preserve"> </w:t>
      </w:r>
      <w:r>
        <w:t>desired</w:t>
      </w:r>
      <w:r w:rsidR="00E15E1B">
        <w:t xml:space="preserve"> </w:t>
      </w:r>
      <w:r>
        <w:t>outcome</w:t>
      </w:r>
      <w:r w:rsidR="00E15E1B">
        <w:t xml:space="preserve"> </w:t>
      </w:r>
      <w:r>
        <w:t>determine</w:t>
      </w:r>
      <w:r w:rsidR="00E15E1B">
        <w:t xml:space="preserve"> </w:t>
      </w:r>
      <w:r>
        <w:t>which</w:t>
      </w:r>
      <w:r w:rsidR="00E15E1B">
        <w:t xml:space="preserve"> </w:t>
      </w:r>
      <w:r>
        <w:t>compliance</w:t>
      </w:r>
      <w:r w:rsidR="00E15E1B">
        <w:t xml:space="preserve"> </w:t>
      </w:r>
      <w:r>
        <w:t>and</w:t>
      </w:r>
      <w:r w:rsidR="00E15E1B">
        <w:t xml:space="preserve"> </w:t>
      </w:r>
      <w:r>
        <w:t>enforcement</w:t>
      </w:r>
      <w:r w:rsidR="00E15E1B">
        <w:t xml:space="preserve"> </w:t>
      </w:r>
      <w:r>
        <w:t>approach</w:t>
      </w:r>
      <w:r w:rsidR="00E15E1B">
        <w:t xml:space="preserve"> </w:t>
      </w:r>
      <w:r>
        <w:t>we</w:t>
      </w:r>
      <w:r w:rsidR="00E15E1B">
        <w:t xml:space="preserve"> </w:t>
      </w:r>
      <w:r>
        <w:t>use.</w:t>
      </w:r>
      <w:r w:rsidR="00E15E1B">
        <w:t xml:space="preserve"> </w:t>
      </w:r>
      <w:r>
        <w:t>Where</w:t>
      </w:r>
      <w:r w:rsidR="00E15E1B">
        <w:t xml:space="preserve"> </w:t>
      </w:r>
      <w:r>
        <w:t>appropriate,</w:t>
      </w:r>
      <w:r w:rsidR="00E15E1B">
        <w:t xml:space="preserve"> </w:t>
      </w:r>
      <w:r>
        <w:t>we</w:t>
      </w:r>
      <w:r w:rsidR="00E15E1B">
        <w:t xml:space="preserve"> </w:t>
      </w:r>
      <w:r>
        <w:t>seek</w:t>
      </w:r>
      <w:r w:rsidR="00E15E1B">
        <w:t xml:space="preserve"> </w:t>
      </w:r>
      <w:r>
        <w:t>voluntary</w:t>
      </w:r>
      <w:r w:rsidR="00E15E1B">
        <w:t xml:space="preserve"> </w:t>
      </w:r>
      <w:r>
        <w:t>compliance.</w:t>
      </w:r>
    </w:p>
    <w:p w:rsidR="00156239" w:rsidRDefault="00156239" w:rsidP="00156239">
      <w:pPr>
        <w:pStyle w:val="BodyText"/>
      </w:pPr>
      <w:r>
        <w:t>Importantly,</w:t>
      </w:r>
      <w:r w:rsidR="00E15E1B">
        <w:t xml:space="preserve"> </w:t>
      </w:r>
      <w:r>
        <w:t>we</w:t>
      </w:r>
      <w:r w:rsidR="00E15E1B">
        <w:t xml:space="preserve"> </w:t>
      </w:r>
      <w:r>
        <w:t>have</w:t>
      </w:r>
      <w:r w:rsidR="00E15E1B">
        <w:t xml:space="preserve"> </w:t>
      </w:r>
      <w:r>
        <w:t>a</w:t>
      </w:r>
      <w:r w:rsidR="00E15E1B">
        <w:t xml:space="preserve"> </w:t>
      </w:r>
      <w:r>
        <w:t>full</w:t>
      </w:r>
      <w:r w:rsidR="00E15E1B">
        <w:t xml:space="preserve"> </w:t>
      </w:r>
      <w:r>
        <w:t>range</w:t>
      </w:r>
      <w:r w:rsidR="00E15E1B">
        <w:t xml:space="preserve"> </w:t>
      </w:r>
      <w:r>
        <w:t>of</w:t>
      </w:r>
      <w:r w:rsidR="00E15E1B">
        <w:t xml:space="preserve"> </w:t>
      </w:r>
      <w:r>
        <w:t>tools,</w:t>
      </w:r>
      <w:r w:rsidR="00E15E1B">
        <w:t xml:space="preserve"> </w:t>
      </w:r>
      <w:r>
        <w:t>including</w:t>
      </w:r>
      <w:r w:rsidR="00E15E1B">
        <w:t xml:space="preserve"> </w:t>
      </w:r>
      <w:r>
        <w:t>civil</w:t>
      </w:r>
      <w:r w:rsidR="00E15E1B">
        <w:t xml:space="preserve"> </w:t>
      </w:r>
      <w:r>
        <w:t>and</w:t>
      </w:r>
      <w:r w:rsidR="00E15E1B">
        <w:t xml:space="preserve"> </w:t>
      </w:r>
      <w:r>
        <w:t>criminal</w:t>
      </w:r>
      <w:r w:rsidR="00E15E1B">
        <w:t xml:space="preserve"> </w:t>
      </w:r>
      <w:r>
        <w:t>actions,</w:t>
      </w:r>
      <w:r w:rsidR="00E15E1B">
        <w:t xml:space="preserve"> </w:t>
      </w:r>
      <w:r>
        <w:t>infringements</w:t>
      </w:r>
      <w:r w:rsidR="00E15E1B">
        <w:t xml:space="preserve"> </w:t>
      </w:r>
      <w:r>
        <w:t>and</w:t>
      </w:r>
      <w:r w:rsidR="00E15E1B">
        <w:t xml:space="preserve"> </w:t>
      </w:r>
      <w:r>
        <w:t>public</w:t>
      </w:r>
      <w:r w:rsidR="00E15E1B">
        <w:t xml:space="preserve"> </w:t>
      </w:r>
      <w:r>
        <w:t>warnings</w:t>
      </w:r>
      <w:r w:rsidR="00E15E1B">
        <w:t xml:space="preserve"> </w:t>
      </w:r>
      <w:r>
        <w:t>to</w:t>
      </w:r>
      <w:r w:rsidR="00E15E1B">
        <w:t xml:space="preserve"> </w:t>
      </w:r>
      <w:r>
        <w:t>hold</w:t>
      </w:r>
      <w:r w:rsidR="00E15E1B">
        <w:t xml:space="preserve"> </w:t>
      </w:r>
      <w:r>
        <w:t>businesses</w:t>
      </w:r>
      <w:r w:rsidR="00E15E1B">
        <w:t xml:space="preserve"> </w:t>
      </w:r>
      <w:r>
        <w:t>to</w:t>
      </w:r>
      <w:r w:rsidR="00E15E1B">
        <w:t xml:space="preserve"> </w:t>
      </w:r>
      <w:r>
        <w:t>account</w:t>
      </w:r>
      <w:r w:rsidR="00E15E1B">
        <w:t xml:space="preserve"> </w:t>
      </w:r>
      <w:r>
        <w:t>for</w:t>
      </w:r>
      <w:r w:rsidR="00E15E1B">
        <w:t xml:space="preserve"> </w:t>
      </w:r>
      <w:r>
        <w:t>deliberately</w:t>
      </w:r>
      <w:r w:rsidR="00E15E1B">
        <w:t xml:space="preserve"> </w:t>
      </w:r>
      <w:r>
        <w:t>unlawful</w:t>
      </w:r>
      <w:r w:rsidR="00E15E1B">
        <w:t xml:space="preserve"> </w:t>
      </w:r>
      <w:r>
        <w:t>conduct,</w:t>
      </w:r>
      <w:r w:rsidR="00E15E1B">
        <w:t xml:space="preserve"> </w:t>
      </w:r>
      <w:r>
        <w:t>and</w:t>
      </w:r>
      <w:r w:rsidR="00E15E1B">
        <w:t xml:space="preserve"> </w:t>
      </w:r>
      <w:r>
        <w:t>to</w:t>
      </w:r>
      <w:r w:rsidR="00E15E1B">
        <w:t xml:space="preserve"> </w:t>
      </w:r>
      <w:r>
        <w:t>protect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community.</w:t>
      </w:r>
    </w:p>
    <w:p w:rsidR="00156239" w:rsidRDefault="00156239" w:rsidP="00156239">
      <w:pPr>
        <w:pStyle w:val="Heading2"/>
      </w:pPr>
      <w:bookmarkStart w:id="10" w:name="_Toc525132660"/>
      <w:r>
        <w:lastRenderedPageBreak/>
        <w:t>Our</w:t>
      </w:r>
      <w:r w:rsidR="00E15E1B">
        <w:t xml:space="preserve"> </w:t>
      </w:r>
      <w:r>
        <w:t>performance</w:t>
      </w:r>
      <w:bookmarkEnd w:id="10"/>
    </w:p>
    <w:p w:rsidR="00156239" w:rsidRDefault="00156239" w:rsidP="00156239">
      <w:pPr>
        <w:pStyle w:val="BodyText"/>
      </w:pPr>
      <w:r>
        <w:t>This</w:t>
      </w:r>
      <w:r w:rsidR="00E15E1B">
        <w:t xml:space="preserve"> </w:t>
      </w:r>
      <w:r>
        <w:t>section</w:t>
      </w:r>
      <w:r w:rsidR="00E15E1B">
        <w:t xml:space="preserve"> </w:t>
      </w:r>
      <w:r>
        <w:t>provides</w:t>
      </w:r>
      <w:r w:rsidR="00E15E1B">
        <w:t xml:space="preserve"> </w:t>
      </w:r>
      <w:r>
        <w:t>a</w:t>
      </w:r>
      <w:r w:rsidR="00E15E1B">
        <w:t xml:space="preserve"> </w:t>
      </w:r>
      <w:r>
        <w:t>report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performance</w:t>
      </w:r>
      <w:r w:rsidR="00E15E1B">
        <w:t xml:space="preserve"> </w:t>
      </w:r>
      <w:r>
        <w:t>against</w:t>
      </w:r>
      <w:r w:rsidR="00E15E1B">
        <w:t xml:space="preserve"> </w:t>
      </w:r>
      <w:r>
        <w:t>targets</w:t>
      </w:r>
      <w:r w:rsidR="00E15E1B">
        <w:t xml:space="preserve"> </w:t>
      </w:r>
      <w:r>
        <w:t>specified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Budget</w:t>
      </w:r>
      <w:r w:rsidR="00E15E1B">
        <w:t xml:space="preserve"> </w:t>
      </w:r>
      <w:r>
        <w:t>Paper</w:t>
      </w:r>
      <w:r w:rsidR="00E15E1B">
        <w:t xml:space="preserve"> </w:t>
      </w:r>
      <w:r>
        <w:t>Number</w:t>
      </w:r>
      <w:r w:rsidR="00E15E1B">
        <w:t xml:space="preserve"> </w:t>
      </w:r>
      <w:r>
        <w:t>3</w:t>
      </w:r>
      <w:r w:rsidR="00E15E1B">
        <w:t xml:space="preserve"> </w:t>
      </w:r>
      <w:r>
        <w:t>2017–18.</w:t>
      </w:r>
    </w:p>
    <w:p w:rsidR="00156239" w:rsidRDefault="00156239" w:rsidP="00156239">
      <w:pPr>
        <w:pStyle w:val="BodyText"/>
      </w:pPr>
      <w:r>
        <w:t>For</w:t>
      </w:r>
      <w:r w:rsidR="00E15E1B">
        <w:t xml:space="preserve"> </w:t>
      </w:r>
      <w:r>
        <w:t>budget</w:t>
      </w:r>
      <w:r w:rsidR="00E15E1B">
        <w:t xml:space="preserve"> </w:t>
      </w:r>
      <w:r>
        <w:t>purposes,</w:t>
      </w:r>
      <w:r w:rsidR="00E15E1B">
        <w:t xml:space="preserve"> </w:t>
      </w:r>
      <w:r>
        <w:t>outputs</w:t>
      </w:r>
      <w:r w:rsidR="00E15E1B">
        <w:t xml:space="preserve"> </w:t>
      </w:r>
      <w:r>
        <w:t>are</w:t>
      </w:r>
      <w:r w:rsidR="00E15E1B">
        <w:t xml:space="preserve"> </w:t>
      </w:r>
      <w:r>
        <w:t>defined</w:t>
      </w:r>
      <w:r w:rsidR="00E15E1B">
        <w:t xml:space="preserve"> </w:t>
      </w:r>
      <w:r>
        <w:t>as</w:t>
      </w:r>
      <w:r w:rsidR="00E15E1B">
        <w:t xml:space="preserve"> </w:t>
      </w:r>
      <w:r>
        <w:t>those</w:t>
      </w:r>
      <w:r w:rsidR="00E15E1B">
        <w:t xml:space="preserve"> </w:t>
      </w:r>
      <w:r>
        <w:t>goods</w:t>
      </w:r>
      <w:r w:rsidR="00E15E1B">
        <w:t xml:space="preserve"> </w:t>
      </w:r>
      <w:r>
        <w:t>and</w:t>
      </w:r>
      <w:r w:rsidR="00E15E1B">
        <w:t xml:space="preserve"> </w:t>
      </w:r>
      <w:r>
        <w:t>services</w:t>
      </w:r>
      <w:r w:rsidR="00E15E1B">
        <w:t xml:space="preserve"> </w:t>
      </w:r>
      <w:r>
        <w:t>provided</w:t>
      </w:r>
      <w:r w:rsidR="00E15E1B">
        <w:t xml:space="preserve"> </w:t>
      </w:r>
      <w:r>
        <w:t>to</w:t>
      </w:r>
      <w:r w:rsidR="00E15E1B">
        <w:t xml:space="preserve"> </w:t>
      </w:r>
      <w:r>
        <w:t>government</w:t>
      </w:r>
      <w:r w:rsidR="00E15E1B">
        <w:t xml:space="preserve"> </w:t>
      </w:r>
      <w:r>
        <w:t>by</w:t>
      </w:r>
      <w:r w:rsidR="00E15E1B">
        <w:t xml:space="preserve"> </w:t>
      </w:r>
      <w:r>
        <w:t>departments,</w:t>
      </w:r>
      <w:r w:rsidR="00E15E1B">
        <w:t xml:space="preserve"> </w:t>
      </w:r>
      <w:r>
        <w:t>agencies,</w:t>
      </w:r>
      <w:r w:rsidR="00E15E1B">
        <w:t xml:space="preserve"> </w:t>
      </w:r>
      <w:r>
        <w:t>statutory</w:t>
      </w:r>
      <w:r w:rsidR="00E15E1B">
        <w:t xml:space="preserve"> </w:t>
      </w:r>
      <w:r>
        <w:t>bodies</w:t>
      </w:r>
      <w:r w:rsidR="00E15E1B">
        <w:t xml:space="preserve"> </w:t>
      </w:r>
      <w:r>
        <w:t>and</w:t>
      </w:r>
      <w:r w:rsidR="00E15E1B">
        <w:t xml:space="preserve"> </w:t>
      </w:r>
      <w:r>
        <w:t>through</w:t>
      </w:r>
      <w:r w:rsidR="00E15E1B">
        <w:t xml:space="preserve"> </w:t>
      </w:r>
      <w:r>
        <w:t>funding</w:t>
      </w:r>
      <w:r w:rsidR="00E15E1B">
        <w:t xml:space="preserve"> </w:t>
      </w:r>
      <w:r>
        <w:t>provided</w:t>
      </w:r>
      <w:r w:rsidR="00E15E1B">
        <w:t xml:space="preserve"> </w:t>
      </w:r>
      <w:r>
        <w:t>to</w:t>
      </w:r>
      <w:r w:rsidR="00E15E1B">
        <w:t xml:space="preserve"> </w:t>
      </w:r>
      <w:r>
        <w:t>others,</w:t>
      </w:r>
      <w:r w:rsidR="00E15E1B">
        <w:t xml:space="preserve"> </w:t>
      </w:r>
      <w:r>
        <w:t>such</w:t>
      </w:r>
      <w:r w:rsidR="00E15E1B">
        <w:t xml:space="preserve"> </w:t>
      </w:r>
      <w:r>
        <w:t>as</w:t>
      </w:r>
      <w:r w:rsidR="00E15E1B">
        <w:t xml:space="preserve"> </w:t>
      </w:r>
      <w:r>
        <w:t>community</w:t>
      </w:r>
      <w:r w:rsidR="00E15E1B">
        <w:t xml:space="preserve"> </w:t>
      </w:r>
      <w:r>
        <w:t>agencies.</w:t>
      </w:r>
    </w:p>
    <w:p w:rsidR="00156239" w:rsidRDefault="00156239" w:rsidP="00156239">
      <w:pPr>
        <w:pStyle w:val="Caption"/>
      </w:pPr>
      <w:r>
        <w:t>Table</w:t>
      </w:r>
      <w:r w:rsidR="00E15E1B">
        <w:t xml:space="preserve"> </w:t>
      </w:r>
      <w:r>
        <w:t>1:</w:t>
      </w:r>
      <w:r w:rsidR="00E15E1B">
        <w:t xml:space="preserve"> </w:t>
      </w:r>
      <w:r>
        <w:t>Performance</w:t>
      </w:r>
      <w:r w:rsidR="00E15E1B">
        <w:t xml:space="preserve"> </w:t>
      </w:r>
      <w:r>
        <w:t>against</w:t>
      </w:r>
      <w:r w:rsidR="00E15E1B">
        <w:t xml:space="preserve"> </w:t>
      </w:r>
      <w:r>
        <w:t>targets</w:t>
      </w:r>
      <w:r w:rsidR="00E15E1B">
        <w:t xml:space="preserve"> </w:t>
      </w:r>
      <w:r>
        <w:t>for</w:t>
      </w:r>
      <w:r w:rsidR="00E15E1B">
        <w:t xml:space="preserve"> </w:t>
      </w:r>
      <w:r>
        <w:t>output</w:t>
      </w:r>
      <w:r w:rsidR="00E15E1B">
        <w:t xml:space="preserve"> </w:t>
      </w:r>
      <w:r>
        <w:t>measures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187"/>
        <w:gridCol w:w="1019"/>
        <w:gridCol w:w="966"/>
        <w:gridCol w:w="967"/>
        <w:gridCol w:w="966"/>
        <w:gridCol w:w="967"/>
      </w:tblGrid>
      <w:tr w:rsidR="00156239" w:rsidRPr="00625180" w:rsidTr="00104254">
        <w:trPr>
          <w:trHeight w:val="68"/>
          <w:tblHeader/>
        </w:trPr>
        <w:tc>
          <w:tcPr>
            <w:tcW w:w="4479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Pr="00625180" w:rsidRDefault="00156239" w:rsidP="00D97603">
            <w:pPr>
              <w:pStyle w:val="TableColHead"/>
            </w:pP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156239" w:rsidRDefault="00156239" w:rsidP="00D97603">
            <w:pPr>
              <w:pStyle w:val="TableColHeadRight"/>
            </w:pPr>
            <w:r>
              <w:t>Unit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measure</w:t>
            </w:r>
          </w:p>
        </w:tc>
        <w:tc>
          <w:tcPr>
            <w:tcW w:w="10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156239" w:rsidRDefault="00156239" w:rsidP="00D97603">
            <w:pPr>
              <w:pStyle w:val="TableColHeadRight"/>
            </w:pPr>
            <w:r>
              <w:t>2015–16</w:t>
            </w:r>
            <w:r w:rsidR="00E15E1B">
              <w:t xml:space="preserve"> </w:t>
            </w:r>
            <w:r>
              <w:t>Actual</w:t>
            </w:r>
          </w:p>
        </w:tc>
        <w:tc>
          <w:tcPr>
            <w:tcW w:w="10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156239" w:rsidRDefault="00156239" w:rsidP="00D97603">
            <w:pPr>
              <w:pStyle w:val="TableColHeadRight"/>
            </w:pPr>
            <w:r>
              <w:t>2016–17</w:t>
            </w:r>
            <w:r w:rsidR="00E15E1B">
              <w:t xml:space="preserve"> </w:t>
            </w:r>
            <w:r>
              <w:t>Actual</w:t>
            </w:r>
          </w:p>
        </w:tc>
        <w:tc>
          <w:tcPr>
            <w:tcW w:w="10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156239" w:rsidRDefault="00156239" w:rsidP="00D97603">
            <w:pPr>
              <w:pStyle w:val="TableColHeadRight"/>
            </w:pPr>
            <w:r>
              <w:t>2017–18</w:t>
            </w:r>
            <w:r w:rsidR="00E15E1B">
              <w:t xml:space="preserve"> </w:t>
            </w:r>
            <w:r>
              <w:t>Target</w:t>
            </w:r>
          </w:p>
        </w:tc>
        <w:tc>
          <w:tcPr>
            <w:tcW w:w="1021" w:type="dxa"/>
            <w:tcBorders>
              <w:lef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156239" w:rsidRDefault="00156239" w:rsidP="00D97603">
            <w:pPr>
              <w:pStyle w:val="TableColHeadRight"/>
            </w:pPr>
            <w:r>
              <w:t>2017–18</w:t>
            </w:r>
            <w:r w:rsidR="00E15E1B">
              <w:t xml:space="preserve"> </w:t>
            </w:r>
            <w:r>
              <w:t>Actual</w:t>
            </w:r>
          </w:p>
        </w:tc>
      </w:tr>
      <w:tr w:rsidR="00156239" w:rsidRPr="00F41A61" w:rsidTr="00104254">
        <w:trPr>
          <w:trHeight w:val="68"/>
        </w:trPr>
        <w:tc>
          <w:tcPr>
            <w:tcW w:w="9638" w:type="dxa"/>
            <w:gridSpan w:val="6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Quantity</w:t>
            </w:r>
          </w:p>
        </w:tc>
      </w:tr>
      <w:tr w:rsidR="00156239" w:rsidRPr="00F41A61" w:rsidTr="00104254">
        <w:trPr>
          <w:trHeight w:val="68"/>
        </w:trPr>
        <w:tc>
          <w:tcPr>
            <w:tcW w:w="4479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Information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advice</w:t>
            </w:r>
            <w:r w:rsidR="00E15E1B">
              <w:t xml:space="preserve"> </w:t>
            </w:r>
            <w:r>
              <w:t>provided</w:t>
            </w:r>
            <w:r w:rsidR="00E15E1B">
              <w:t xml:space="preserve"> </w:t>
            </w:r>
            <w:r>
              <w:t>to</w:t>
            </w:r>
            <w:r w:rsidR="00E15E1B">
              <w:t xml:space="preserve"> </w:t>
            </w:r>
            <w:r>
              <w:t>consumers,</w:t>
            </w:r>
            <w:r w:rsidR="00E15E1B">
              <w:t xml:space="preserve"> </w:t>
            </w:r>
            <w:r>
              <w:t>tenants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businesses:</w:t>
            </w:r>
            <w:r w:rsidR="00E15E1B">
              <w:t xml:space="preserve"> </w:t>
            </w:r>
            <w:r>
              <w:t>through</w:t>
            </w:r>
            <w:r w:rsidR="00E15E1B">
              <w:t xml:space="preserve"> </w:t>
            </w:r>
            <w:r>
              <w:t>telephone</w:t>
            </w:r>
            <w:r w:rsidR="00E15E1B">
              <w:t xml:space="preserve"> </w:t>
            </w:r>
            <w:r>
              <w:t>service</w:t>
            </w:r>
            <w:r>
              <w:rPr>
                <w:rStyle w:val="Superscript"/>
              </w:rPr>
              <w:t>1</w:t>
            </w:r>
          </w:p>
        </w:tc>
        <w:tc>
          <w:tcPr>
            <w:tcW w:w="107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number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349,985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325,773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325,800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304,048</w:t>
            </w:r>
          </w:p>
        </w:tc>
      </w:tr>
      <w:tr w:rsidR="00156239" w:rsidRPr="00F41A61" w:rsidTr="00104254">
        <w:trPr>
          <w:trHeight w:val="68"/>
        </w:trPr>
        <w:tc>
          <w:tcPr>
            <w:tcW w:w="4479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Information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advice</w:t>
            </w:r>
            <w:r w:rsidR="00E15E1B">
              <w:t xml:space="preserve"> </w:t>
            </w:r>
            <w:r>
              <w:t>provided</w:t>
            </w:r>
            <w:r w:rsidR="00E15E1B">
              <w:t xml:space="preserve"> </w:t>
            </w:r>
            <w:r>
              <w:t>to</w:t>
            </w:r>
            <w:r w:rsidR="00E15E1B">
              <w:t xml:space="preserve"> </w:t>
            </w:r>
            <w:r>
              <w:t>consumers,</w:t>
            </w:r>
            <w:r w:rsidR="00E15E1B">
              <w:t xml:space="preserve"> </w:t>
            </w:r>
            <w:r>
              <w:t>tenants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businesses:</w:t>
            </w:r>
            <w:r w:rsidR="00E15E1B">
              <w:t xml:space="preserve"> </w:t>
            </w:r>
            <w:r>
              <w:t>through</w:t>
            </w:r>
            <w:r w:rsidR="00E15E1B">
              <w:t xml:space="preserve"> </w:t>
            </w:r>
            <w:r>
              <w:t>other</w:t>
            </w:r>
            <w:r w:rsidR="00E15E1B">
              <w:t xml:space="preserve"> </w:t>
            </w:r>
            <w:r>
              <w:t>services</w:t>
            </w:r>
            <w:r w:rsidR="00E15E1B">
              <w:t xml:space="preserve"> </w:t>
            </w:r>
            <w:r>
              <w:t>including</w:t>
            </w:r>
            <w:r w:rsidR="00E15E1B">
              <w:t xml:space="preserve"> </w:t>
            </w:r>
            <w:r>
              <w:t>written</w:t>
            </w:r>
            <w:r w:rsidR="00E15E1B">
              <w:t xml:space="preserve"> </w:t>
            </w:r>
            <w:r>
              <w:t>correspondence,</w:t>
            </w:r>
            <w:r w:rsidR="00E15E1B">
              <w:t xml:space="preserve"> </w:t>
            </w:r>
            <w:r>
              <w:t>face-to-face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dispute</w:t>
            </w:r>
            <w:r w:rsidR="00E15E1B">
              <w:t xml:space="preserve"> </w:t>
            </w:r>
            <w:r>
              <w:t>assistance</w:t>
            </w:r>
          </w:p>
        </w:tc>
        <w:tc>
          <w:tcPr>
            <w:tcW w:w="107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number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123,309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114,176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114,300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118,309</w:t>
            </w:r>
          </w:p>
        </w:tc>
      </w:tr>
      <w:tr w:rsidR="00156239" w:rsidRPr="00F41A61" w:rsidTr="00104254">
        <w:trPr>
          <w:trHeight w:val="68"/>
        </w:trPr>
        <w:tc>
          <w:tcPr>
            <w:tcW w:w="4479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Compliance</w:t>
            </w:r>
            <w:r w:rsidR="00E15E1B">
              <w:t xml:space="preserve"> </w:t>
            </w:r>
            <w:r>
              <w:t>activities,</w:t>
            </w:r>
            <w:r w:rsidR="00E15E1B">
              <w:t xml:space="preserve"> </w:t>
            </w:r>
            <w:r>
              <w:t>from</w:t>
            </w:r>
            <w:r w:rsidR="00E15E1B">
              <w:t xml:space="preserve"> </w:t>
            </w:r>
            <w:r>
              <w:t>compliance</w:t>
            </w:r>
            <w:r w:rsidR="00E15E1B">
              <w:t xml:space="preserve"> </w:t>
            </w:r>
            <w:r>
              <w:t>assistance</w:t>
            </w:r>
            <w:r w:rsidR="00E15E1B">
              <w:t xml:space="preserve"> </w:t>
            </w:r>
            <w:r>
              <w:t>through</w:t>
            </w:r>
            <w:r w:rsidR="00E15E1B">
              <w:t xml:space="preserve"> </w:t>
            </w:r>
            <w:r>
              <w:t>to</w:t>
            </w:r>
            <w:r w:rsidR="00E15E1B">
              <w:t xml:space="preserve"> </w:t>
            </w:r>
            <w:r>
              <w:t>court</w:t>
            </w:r>
            <w:r w:rsidR="00E15E1B">
              <w:t xml:space="preserve"> </w:t>
            </w:r>
            <w:r>
              <w:t>actions</w:t>
            </w:r>
          </w:p>
        </w:tc>
        <w:tc>
          <w:tcPr>
            <w:tcW w:w="107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number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9,774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9,075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9,600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9,584</w:t>
            </w:r>
          </w:p>
        </w:tc>
      </w:tr>
      <w:tr w:rsidR="00156239" w:rsidRPr="00F41A61" w:rsidTr="00104254">
        <w:trPr>
          <w:trHeight w:val="68"/>
        </w:trPr>
        <w:tc>
          <w:tcPr>
            <w:tcW w:w="4479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Transactions</w:t>
            </w:r>
            <w:r w:rsidR="00E15E1B">
              <w:t xml:space="preserve"> </w:t>
            </w:r>
            <w:r>
              <w:t>undertaken:</w:t>
            </w:r>
            <w:r w:rsidR="00E15E1B">
              <w:t xml:space="preserve"> </w:t>
            </w:r>
            <w:r>
              <w:t>registration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licensing</w:t>
            </w:r>
            <w:r w:rsidR="00E15E1B">
              <w:t xml:space="preserve"> </w:t>
            </w:r>
            <w:r>
              <w:t>transactions</w:t>
            </w:r>
            <w:r>
              <w:rPr>
                <w:rStyle w:val="Superscript"/>
              </w:rPr>
              <w:t>2</w:t>
            </w:r>
          </w:p>
        </w:tc>
        <w:tc>
          <w:tcPr>
            <w:tcW w:w="107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number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88,221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84,154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86,700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93,186</w:t>
            </w:r>
          </w:p>
        </w:tc>
      </w:tr>
      <w:tr w:rsidR="00156239" w:rsidRPr="00F41A61" w:rsidTr="00104254">
        <w:trPr>
          <w:trHeight w:val="68"/>
        </w:trPr>
        <w:tc>
          <w:tcPr>
            <w:tcW w:w="4479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Transactions</w:t>
            </w:r>
            <w:r w:rsidR="00E15E1B">
              <w:t xml:space="preserve"> </w:t>
            </w:r>
            <w:r>
              <w:t>undertaken:</w:t>
            </w:r>
            <w:r w:rsidR="00E15E1B">
              <w:t xml:space="preserve"> </w:t>
            </w:r>
            <w:r>
              <w:t>Residential</w:t>
            </w:r>
            <w:r w:rsidR="00E15E1B">
              <w:t xml:space="preserve"> </w:t>
            </w:r>
            <w:r>
              <w:t>Tenancies</w:t>
            </w:r>
            <w:r w:rsidR="00E15E1B">
              <w:t xml:space="preserve"> </w:t>
            </w:r>
            <w:r>
              <w:t>Bond</w:t>
            </w:r>
            <w:r w:rsidR="00E15E1B">
              <w:t xml:space="preserve"> </w:t>
            </w:r>
            <w:r>
              <w:t>Authority</w:t>
            </w:r>
            <w:r w:rsidR="00E15E1B">
              <w:t xml:space="preserve"> </w:t>
            </w:r>
            <w:r>
              <w:t>(RTBA)</w:t>
            </w:r>
            <w:r w:rsidR="00E15E1B">
              <w:t xml:space="preserve"> </w:t>
            </w:r>
            <w:r>
              <w:t>transactions</w:t>
            </w:r>
          </w:p>
        </w:tc>
        <w:tc>
          <w:tcPr>
            <w:tcW w:w="107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number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447,934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454,238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469,000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461,137</w:t>
            </w:r>
          </w:p>
        </w:tc>
      </w:tr>
      <w:tr w:rsidR="00156239" w:rsidRPr="00F41A61" w:rsidTr="00104254">
        <w:trPr>
          <w:trHeight w:val="68"/>
        </w:trPr>
        <w:tc>
          <w:tcPr>
            <w:tcW w:w="4479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Victims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family</w:t>
            </w:r>
            <w:r w:rsidR="00E15E1B">
              <w:t xml:space="preserve"> </w:t>
            </w:r>
            <w:r>
              <w:t>violence</w:t>
            </w:r>
            <w:r w:rsidR="00E15E1B">
              <w:t xml:space="preserve"> </w:t>
            </w:r>
            <w:r>
              <w:t>assisted</w:t>
            </w:r>
            <w:r w:rsidR="00E15E1B">
              <w:t xml:space="preserve"> </w:t>
            </w:r>
            <w:r>
              <w:t>with</w:t>
            </w:r>
            <w:r w:rsidR="00E15E1B">
              <w:t xml:space="preserve"> </w:t>
            </w:r>
            <w:r>
              <w:t>financial</w:t>
            </w:r>
            <w:r w:rsidR="00E15E1B">
              <w:t xml:space="preserve"> </w:t>
            </w:r>
            <w:r>
              <w:t>counselling</w:t>
            </w:r>
            <w:r>
              <w:rPr>
                <w:rStyle w:val="Superscript"/>
              </w:rPr>
              <w:t>3</w:t>
            </w:r>
          </w:p>
        </w:tc>
        <w:tc>
          <w:tcPr>
            <w:tcW w:w="107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number</w:t>
            </w:r>
          </w:p>
        </w:tc>
        <w:tc>
          <w:tcPr>
            <w:tcW w:w="1020" w:type="dxa"/>
            <w:shd w:val="clear" w:color="auto" w:fill="EBF4FB"/>
          </w:tcPr>
          <w:p w:rsidR="00156239" w:rsidRPr="00F41A61" w:rsidRDefault="00156239" w:rsidP="00FC025D">
            <w:pPr>
              <w:pStyle w:val="TableText"/>
              <w:rPr>
                <w:rFonts w:ascii="VIC-SemiBold" w:hAnsi="VIC-SemiBold"/>
              </w:rPr>
            </w:pPr>
          </w:p>
        </w:tc>
        <w:tc>
          <w:tcPr>
            <w:tcW w:w="1021" w:type="dxa"/>
            <w:shd w:val="clear" w:color="auto" w:fill="EBF4FB"/>
          </w:tcPr>
          <w:p w:rsidR="00156239" w:rsidRPr="00F41A61" w:rsidRDefault="00156239" w:rsidP="00FC025D">
            <w:pPr>
              <w:pStyle w:val="TableText"/>
              <w:rPr>
                <w:rFonts w:ascii="VIC-SemiBold" w:hAnsi="VIC-SemiBold"/>
              </w:rPr>
            </w:pPr>
          </w:p>
        </w:tc>
        <w:tc>
          <w:tcPr>
            <w:tcW w:w="1020" w:type="dxa"/>
            <w:shd w:val="clear" w:color="auto" w:fill="EBF4FB"/>
          </w:tcPr>
          <w:p w:rsidR="00156239" w:rsidRDefault="00156239" w:rsidP="007F21DE">
            <w:pPr>
              <w:pStyle w:val="TableTextRight"/>
            </w:pPr>
            <w:r>
              <w:t>2,250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7F21DE">
            <w:pPr>
              <w:pStyle w:val="TableTextRight"/>
            </w:pPr>
            <w:r>
              <w:t>2,421</w:t>
            </w:r>
          </w:p>
        </w:tc>
      </w:tr>
      <w:tr w:rsidR="00156239" w:rsidRPr="00F41A61" w:rsidTr="00104254">
        <w:trPr>
          <w:trHeight w:val="68"/>
        </w:trPr>
        <w:tc>
          <w:tcPr>
            <w:tcW w:w="4479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Dispute</w:t>
            </w:r>
            <w:r w:rsidR="00E15E1B">
              <w:t xml:space="preserve"> </w:t>
            </w:r>
            <w:r>
              <w:t>resolution</w:t>
            </w:r>
            <w:r w:rsidR="00E15E1B">
              <w:t xml:space="preserve"> </w:t>
            </w:r>
            <w:r>
              <w:t>services</w:t>
            </w:r>
            <w:r w:rsidR="00E15E1B">
              <w:t xml:space="preserve"> </w:t>
            </w:r>
            <w:r>
              <w:t>provided</w:t>
            </w:r>
            <w:r w:rsidR="00E15E1B">
              <w:t xml:space="preserve"> </w:t>
            </w:r>
            <w:r>
              <w:t>by</w:t>
            </w:r>
            <w:r w:rsidR="00E15E1B">
              <w:t xml:space="preserve"> </w:t>
            </w:r>
            <w:r>
              <w:t>Domestic</w:t>
            </w:r>
            <w:r w:rsidR="00E15E1B">
              <w:t xml:space="preserve"> </w:t>
            </w:r>
            <w:r>
              <w:t>Building</w:t>
            </w:r>
            <w:r w:rsidR="00E15E1B">
              <w:t xml:space="preserve"> </w:t>
            </w:r>
            <w:r>
              <w:t>Dispute</w:t>
            </w:r>
            <w:r w:rsidR="00E15E1B">
              <w:t xml:space="preserve"> </w:t>
            </w:r>
            <w:r>
              <w:t>Resolution</w:t>
            </w:r>
            <w:r w:rsidR="00E15E1B">
              <w:t xml:space="preserve"> </w:t>
            </w:r>
            <w:r>
              <w:t>Victoria</w:t>
            </w:r>
            <w:r>
              <w:rPr>
                <w:rStyle w:val="Superscript"/>
              </w:rPr>
              <w:t>4</w:t>
            </w:r>
          </w:p>
        </w:tc>
        <w:tc>
          <w:tcPr>
            <w:tcW w:w="107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number</w:t>
            </w:r>
          </w:p>
        </w:tc>
        <w:tc>
          <w:tcPr>
            <w:tcW w:w="1020" w:type="dxa"/>
            <w:shd w:val="clear" w:color="auto" w:fill="EBF4FB"/>
          </w:tcPr>
          <w:p w:rsidR="00156239" w:rsidRPr="00F41A61" w:rsidRDefault="00156239" w:rsidP="00FC025D">
            <w:pPr>
              <w:pStyle w:val="TableText"/>
              <w:rPr>
                <w:rFonts w:ascii="VIC-SemiBold" w:hAnsi="VIC-SemiBold"/>
              </w:rPr>
            </w:pPr>
          </w:p>
        </w:tc>
        <w:tc>
          <w:tcPr>
            <w:tcW w:w="1021" w:type="dxa"/>
            <w:shd w:val="clear" w:color="auto" w:fill="EBF4FB"/>
          </w:tcPr>
          <w:p w:rsidR="00156239" w:rsidRPr="00F41A61" w:rsidRDefault="00156239" w:rsidP="00FC025D">
            <w:pPr>
              <w:pStyle w:val="TableText"/>
              <w:rPr>
                <w:rFonts w:ascii="VIC-SemiBold" w:hAnsi="VIC-SemiBold"/>
              </w:rPr>
            </w:pPr>
          </w:p>
        </w:tc>
        <w:tc>
          <w:tcPr>
            <w:tcW w:w="1020" w:type="dxa"/>
            <w:shd w:val="clear" w:color="auto" w:fill="EBF4FB"/>
          </w:tcPr>
          <w:p w:rsidR="00156239" w:rsidRDefault="00156239" w:rsidP="007F21DE">
            <w:pPr>
              <w:pStyle w:val="TableTextRight"/>
            </w:pPr>
            <w:r>
              <w:t>3,000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7F21DE">
            <w:pPr>
              <w:pStyle w:val="TableTextRight"/>
            </w:pPr>
            <w:r>
              <w:t>5,981</w:t>
            </w:r>
          </w:p>
        </w:tc>
      </w:tr>
      <w:tr w:rsidR="00156239" w:rsidRPr="00F41A61" w:rsidTr="00104254">
        <w:trPr>
          <w:trHeight w:val="68"/>
        </w:trPr>
        <w:tc>
          <w:tcPr>
            <w:tcW w:w="9638" w:type="dxa"/>
            <w:gridSpan w:val="6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Quality</w:t>
            </w:r>
          </w:p>
        </w:tc>
      </w:tr>
      <w:tr w:rsidR="00156239" w:rsidRPr="00F41A61" w:rsidTr="00104254">
        <w:trPr>
          <w:trHeight w:val="68"/>
        </w:trPr>
        <w:tc>
          <w:tcPr>
            <w:tcW w:w="4479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Rate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compliance</w:t>
            </w:r>
            <w:r w:rsidR="00E15E1B">
              <w:t xml:space="preserve"> </w:t>
            </w:r>
            <w:r>
              <w:t>with</w:t>
            </w:r>
            <w:r w:rsidR="00E15E1B">
              <w:t xml:space="preserve"> </w:t>
            </w:r>
            <w:r>
              <w:t>key</w:t>
            </w:r>
            <w:r w:rsidR="00E15E1B">
              <w:t xml:space="preserve"> </w:t>
            </w:r>
            <w:r>
              <w:t>consumer</w:t>
            </w:r>
            <w:r w:rsidR="00E15E1B">
              <w:t xml:space="preserve"> </w:t>
            </w:r>
            <w:r>
              <w:t>laws</w:t>
            </w:r>
          </w:p>
        </w:tc>
        <w:tc>
          <w:tcPr>
            <w:tcW w:w="107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per</w:t>
            </w:r>
            <w:r w:rsidR="00E15E1B">
              <w:t xml:space="preserve"> </w:t>
            </w:r>
            <w:r>
              <w:t>cent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97.6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98.2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95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99.3</w:t>
            </w:r>
          </w:p>
        </w:tc>
      </w:tr>
      <w:tr w:rsidR="00156239" w:rsidRPr="00F41A61" w:rsidTr="00104254">
        <w:trPr>
          <w:trHeight w:val="68"/>
        </w:trPr>
        <w:tc>
          <w:tcPr>
            <w:tcW w:w="9638" w:type="dxa"/>
            <w:gridSpan w:val="6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Timeliness</w:t>
            </w:r>
          </w:p>
        </w:tc>
      </w:tr>
      <w:tr w:rsidR="00156239" w:rsidRPr="00F41A61" w:rsidTr="00104254">
        <w:trPr>
          <w:trHeight w:val="68"/>
        </w:trPr>
        <w:tc>
          <w:tcPr>
            <w:tcW w:w="4479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Regulatory</w:t>
            </w:r>
            <w:r w:rsidR="00E15E1B">
              <w:t xml:space="preserve"> </w:t>
            </w:r>
            <w:r>
              <w:t>functions</w:t>
            </w:r>
            <w:r w:rsidR="00E15E1B">
              <w:t xml:space="preserve"> </w:t>
            </w:r>
            <w:r>
              <w:t>delivered</w:t>
            </w:r>
            <w:r w:rsidR="00E15E1B">
              <w:t xml:space="preserve"> </w:t>
            </w:r>
            <w:r>
              <w:t>within</w:t>
            </w:r>
            <w:r w:rsidR="00E15E1B">
              <w:t xml:space="preserve"> </w:t>
            </w:r>
            <w:r>
              <w:t>agreed</w:t>
            </w:r>
            <w:r w:rsidR="00E15E1B">
              <w:t xml:space="preserve"> </w:t>
            </w:r>
            <w:r>
              <w:t>time</w:t>
            </w:r>
            <w:r w:rsidR="00E15E1B">
              <w:t xml:space="preserve"> </w:t>
            </w:r>
            <w:r>
              <w:t>frames</w:t>
            </w:r>
          </w:p>
        </w:tc>
        <w:tc>
          <w:tcPr>
            <w:tcW w:w="107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per</w:t>
            </w:r>
            <w:r w:rsidR="00E15E1B">
              <w:t xml:space="preserve"> </w:t>
            </w:r>
            <w:r>
              <w:t>cent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95.7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93.8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93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97.7</w:t>
            </w:r>
          </w:p>
        </w:tc>
      </w:tr>
      <w:tr w:rsidR="00156239" w:rsidRPr="00F41A61" w:rsidTr="00104254">
        <w:trPr>
          <w:trHeight w:val="68"/>
        </w:trPr>
        <w:tc>
          <w:tcPr>
            <w:tcW w:w="9638" w:type="dxa"/>
            <w:gridSpan w:val="6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Cost</w:t>
            </w:r>
          </w:p>
        </w:tc>
      </w:tr>
      <w:tr w:rsidR="00156239" w:rsidRPr="00F41A61" w:rsidTr="00104254">
        <w:trPr>
          <w:trHeight w:val="68"/>
        </w:trPr>
        <w:tc>
          <w:tcPr>
            <w:tcW w:w="4479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Total</w:t>
            </w:r>
            <w:r w:rsidR="00E15E1B">
              <w:t xml:space="preserve"> </w:t>
            </w:r>
            <w:r>
              <w:t>output</w:t>
            </w:r>
            <w:r w:rsidR="00E15E1B">
              <w:t xml:space="preserve"> </w:t>
            </w:r>
            <w:r>
              <w:t>cost</w:t>
            </w:r>
          </w:p>
        </w:tc>
        <w:tc>
          <w:tcPr>
            <w:tcW w:w="107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$</w:t>
            </w:r>
            <w:r w:rsidR="00E15E1B">
              <w:t xml:space="preserve"> </w:t>
            </w:r>
            <w:r>
              <w:t>million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115.3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134.4</w:t>
            </w:r>
          </w:p>
        </w:tc>
        <w:tc>
          <w:tcPr>
            <w:tcW w:w="102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139.7</w:t>
            </w:r>
          </w:p>
        </w:tc>
        <w:tc>
          <w:tcPr>
            <w:tcW w:w="102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140.6</w:t>
            </w:r>
          </w:p>
        </w:tc>
      </w:tr>
    </w:tbl>
    <w:p w:rsidR="00156239" w:rsidRDefault="00156239" w:rsidP="00156239">
      <w:pPr>
        <w:pStyle w:val="TableFootnote"/>
      </w:pPr>
      <w:r>
        <w:t>1</w:t>
      </w:r>
      <w:r>
        <w:tab/>
        <w:t>The</w:t>
      </w:r>
      <w:r w:rsidR="00E15E1B">
        <w:t xml:space="preserve"> </w:t>
      </w:r>
      <w:r>
        <w:t>actual</w:t>
      </w:r>
      <w:r w:rsidR="00E15E1B">
        <w:t xml:space="preserve"> </w:t>
      </w:r>
      <w:r>
        <w:t>is</w:t>
      </w:r>
      <w:r w:rsidR="00E15E1B">
        <w:t xml:space="preserve"> </w:t>
      </w:r>
      <w:r>
        <w:t>lower</w:t>
      </w:r>
      <w:r w:rsidR="00E15E1B">
        <w:t xml:space="preserve"> </w:t>
      </w:r>
      <w:r>
        <w:t>than</w:t>
      </w:r>
      <w:r w:rsidR="00E15E1B">
        <w:t xml:space="preserve"> </w:t>
      </w:r>
      <w:r>
        <w:t>target</w:t>
      </w:r>
      <w:r w:rsidR="00E15E1B">
        <w:t xml:space="preserve"> </w:t>
      </w:r>
      <w:r>
        <w:t>due</w:t>
      </w:r>
      <w:r w:rsidR="00E15E1B">
        <w:t xml:space="preserve"> </w:t>
      </w:r>
      <w:r>
        <w:t>to</w:t>
      </w:r>
      <w:r w:rsidR="00E15E1B">
        <w:t xml:space="preserve"> </w:t>
      </w:r>
      <w:r>
        <w:t>a</w:t>
      </w:r>
      <w:r w:rsidR="00E15E1B">
        <w:t xml:space="preserve"> </w:t>
      </w:r>
      <w:r>
        <w:t>reduction</w:t>
      </w:r>
      <w:r w:rsidR="00E15E1B">
        <w:t xml:space="preserve"> </w:t>
      </w:r>
      <w:r>
        <w:t>in</w:t>
      </w:r>
      <w:r w:rsidR="00E15E1B">
        <w:t xml:space="preserve"> </w:t>
      </w:r>
      <w:r>
        <w:t>call</w:t>
      </w:r>
      <w:r w:rsidR="00E15E1B">
        <w:t xml:space="preserve"> </w:t>
      </w:r>
      <w:r>
        <w:t>volumes.</w:t>
      </w:r>
      <w:r w:rsidR="00E15E1B">
        <w:t xml:space="preserve"> </w:t>
      </w:r>
      <w:r>
        <w:t>This</w:t>
      </w:r>
      <w:r w:rsidR="00E15E1B">
        <w:t xml:space="preserve"> </w:t>
      </w:r>
      <w:r>
        <w:t>is</w:t>
      </w:r>
      <w:r w:rsidR="00E15E1B">
        <w:t xml:space="preserve"> </w:t>
      </w:r>
      <w:r>
        <w:t>in</w:t>
      </w:r>
      <w:r w:rsidR="00E15E1B">
        <w:t xml:space="preserve"> </w:t>
      </w:r>
      <w:r>
        <w:t>line</w:t>
      </w:r>
      <w:r w:rsidR="00E15E1B">
        <w:t xml:space="preserve"> </w:t>
      </w:r>
      <w:r>
        <w:t>with</w:t>
      </w:r>
      <w:r w:rsidR="00E15E1B">
        <w:t xml:space="preserve"> </w:t>
      </w:r>
      <w:r>
        <w:t>CAV’s</w:t>
      </w:r>
      <w:r w:rsidR="00E15E1B">
        <w:t xml:space="preserve"> </w:t>
      </w:r>
      <w:r>
        <w:t>strategic</w:t>
      </w:r>
      <w:r w:rsidR="00E15E1B">
        <w:t xml:space="preserve"> </w:t>
      </w:r>
      <w:r>
        <w:t>intent</w:t>
      </w:r>
      <w:r w:rsidR="00E15E1B">
        <w:t xml:space="preserve"> </w:t>
      </w:r>
      <w:r>
        <w:t>to</w:t>
      </w:r>
      <w:r w:rsidR="00E15E1B">
        <w:t xml:space="preserve"> </w:t>
      </w:r>
      <w:r>
        <w:t>increase</w:t>
      </w:r>
      <w:r w:rsidR="00E15E1B">
        <w:t xml:space="preserve"> </w:t>
      </w:r>
      <w:r>
        <w:t>uptake</w:t>
      </w:r>
      <w:r w:rsidR="00E15E1B">
        <w:t xml:space="preserve"> </w:t>
      </w:r>
      <w:r>
        <w:t>of</w:t>
      </w:r>
      <w:r w:rsidR="00E15E1B">
        <w:t xml:space="preserve"> </w:t>
      </w:r>
      <w:r>
        <w:t>its</w:t>
      </w:r>
      <w:r w:rsidR="00E15E1B">
        <w:t xml:space="preserve"> </w:t>
      </w:r>
      <w:r>
        <w:t>digital</w:t>
      </w:r>
      <w:r w:rsidR="00E15E1B">
        <w:t xml:space="preserve"> </w:t>
      </w:r>
      <w:r>
        <w:t>services,</w:t>
      </w:r>
      <w:r w:rsidR="00E15E1B">
        <w:t xml:space="preserve"> </w:t>
      </w:r>
      <w:r>
        <w:t>thereby</w:t>
      </w:r>
      <w:r w:rsidR="00E15E1B">
        <w:t xml:space="preserve"> </w:t>
      </w:r>
      <w:r>
        <w:t>reducing</w:t>
      </w:r>
      <w:r w:rsidR="00E15E1B">
        <w:t xml:space="preserve"> </w:t>
      </w:r>
      <w:r>
        <w:t>the</w:t>
      </w:r>
      <w:r w:rsidR="00E15E1B">
        <w:t xml:space="preserve"> </w:t>
      </w:r>
      <w:r>
        <w:t>need</w:t>
      </w:r>
      <w:r w:rsidR="00E15E1B">
        <w:t xml:space="preserve"> </w:t>
      </w:r>
      <w:r>
        <w:t>for</w:t>
      </w:r>
      <w:r w:rsidR="00E15E1B">
        <w:t xml:space="preserve"> </w:t>
      </w:r>
      <w:r>
        <w:t>further</w:t>
      </w:r>
      <w:r w:rsidR="00E15E1B">
        <w:t xml:space="preserve"> </w:t>
      </w:r>
      <w:r>
        <w:t>telephone</w:t>
      </w:r>
      <w:r w:rsidR="00E15E1B">
        <w:t xml:space="preserve"> </w:t>
      </w:r>
      <w:r>
        <w:t>assistance.</w:t>
      </w:r>
    </w:p>
    <w:p w:rsidR="00156239" w:rsidRDefault="00156239" w:rsidP="00156239">
      <w:pPr>
        <w:pStyle w:val="TableFootnote"/>
      </w:pPr>
      <w:r>
        <w:t>2</w:t>
      </w:r>
      <w:r>
        <w:tab/>
        <w:t>The</w:t>
      </w:r>
      <w:r w:rsidR="00E15E1B">
        <w:t xml:space="preserve"> </w:t>
      </w:r>
      <w:r>
        <w:t>actual</w:t>
      </w:r>
      <w:r w:rsidR="00E15E1B">
        <w:t xml:space="preserve"> </w:t>
      </w:r>
      <w:r>
        <w:t>is</w:t>
      </w:r>
      <w:r w:rsidR="00E15E1B">
        <w:t xml:space="preserve"> </w:t>
      </w:r>
      <w:r>
        <w:t>above</w:t>
      </w:r>
      <w:r w:rsidR="00E15E1B">
        <w:t xml:space="preserve"> </w:t>
      </w:r>
      <w:r>
        <w:t>target</w:t>
      </w:r>
      <w:r w:rsidR="00E15E1B">
        <w:t xml:space="preserve"> </w:t>
      </w:r>
      <w:r>
        <w:t>due</w:t>
      </w:r>
      <w:r w:rsidR="00E15E1B">
        <w:t xml:space="preserve"> </w:t>
      </w:r>
      <w:r>
        <w:t>to</w:t>
      </w:r>
      <w:r w:rsidR="00E15E1B">
        <w:t xml:space="preserve"> </w:t>
      </w:r>
      <w:r>
        <w:t>an</w:t>
      </w:r>
      <w:r w:rsidR="00E15E1B">
        <w:t xml:space="preserve"> </w:t>
      </w:r>
      <w:r>
        <w:t>increase</w:t>
      </w:r>
      <w:r w:rsidR="00E15E1B">
        <w:t xml:space="preserve"> </w:t>
      </w:r>
      <w:r>
        <w:t>in</w:t>
      </w:r>
      <w:r w:rsidR="00E15E1B">
        <w:t xml:space="preserve"> </w:t>
      </w:r>
      <w:r>
        <w:t>registration</w:t>
      </w:r>
      <w:r w:rsidR="00E15E1B">
        <w:t xml:space="preserve"> </w:t>
      </w:r>
      <w:r>
        <w:t>activity</w:t>
      </w:r>
      <w:r w:rsidR="00E15E1B">
        <w:t xml:space="preserve"> </w:t>
      </w:r>
      <w:r>
        <w:t>and</w:t>
      </w:r>
      <w:r w:rsidR="00E15E1B">
        <w:t xml:space="preserve"> </w:t>
      </w:r>
      <w:r>
        <w:t>estate</w:t>
      </w:r>
      <w:r w:rsidR="00E15E1B">
        <w:t xml:space="preserve"> </w:t>
      </w:r>
      <w:r>
        <w:t>agent</w:t>
      </w:r>
      <w:r w:rsidR="00E15E1B">
        <w:t xml:space="preserve"> </w:t>
      </w:r>
      <w:r>
        <w:t>transactions,</w:t>
      </w:r>
      <w:r w:rsidR="00E15E1B">
        <w:t xml:space="preserve"> </w:t>
      </w:r>
      <w:r>
        <w:t>in</w:t>
      </w:r>
      <w:r w:rsidR="00E15E1B">
        <w:t xml:space="preserve"> </w:t>
      </w:r>
      <w:r>
        <w:t>part</w:t>
      </w:r>
      <w:r w:rsidR="00E15E1B">
        <w:t xml:space="preserve"> </w:t>
      </w:r>
      <w:r>
        <w:t>as</w:t>
      </w:r>
      <w:r w:rsidR="00E15E1B">
        <w:t xml:space="preserve"> </w:t>
      </w:r>
      <w:r>
        <w:t>a</w:t>
      </w:r>
      <w:r w:rsidR="00E15E1B">
        <w:t xml:space="preserve"> </w:t>
      </w:r>
      <w:r>
        <w:t>result</w:t>
      </w:r>
      <w:r w:rsidR="00E15E1B">
        <w:t xml:space="preserve"> </w:t>
      </w:r>
      <w:r>
        <w:t>of</w:t>
      </w:r>
      <w:r w:rsidR="00E15E1B">
        <w:t xml:space="preserve"> </w:t>
      </w:r>
      <w:r>
        <w:t>making</w:t>
      </w:r>
      <w:r w:rsidR="00E15E1B">
        <w:t xml:space="preserve"> </w:t>
      </w:r>
      <w:r>
        <w:t>electronic</w:t>
      </w:r>
      <w:r w:rsidR="00E15E1B">
        <w:t xml:space="preserve"> </w:t>
      </w:r>
      <w:r>
        <w:t>transactions</w:t>
      </w:r>
      <w:r w:rsidR="00E15E1B">
        <w:t xml:space="preserve"> </w:t>
      </w:r>
      <w:r>
        <w:t>simpler</w:t>
      </w:r>
      <w:r w:rsidR="00E15E1B">
        <w:t xml:space="preserve"> </w:t>
      </w:r>
      <w:r>
        <w:t>through</w:t>
      </w:r>
      <w:r w:rsidR="00E15E1B">
        <w:t xml:space="preserve"> </w:t>
      </w:r>
      <w:r>
        <w:t>myCAV.</w:t>
      </w:r>
    </w:p>
    <w:p w:rsidR="00156239" w:rsidRDefault="00156239" w:rsidP="00156239">
      <w:pPr>
        <w:pStyle w:val="TableFootnote"/>
      </w:pPr>
      <w:r>
        <w:t>3</w:t>
      </w:r>
      <w:r>
        <w:tab/>
        <w:t>The</w:t>
      </w:r>
      <w:r w:rsidR="00E15E1B">
        <w:t xml:space="preserve"> </w:t>
      </w:r>
      <w:r>
        <w:t>actual</w:t>
      </w:r>
      <w:r w:rsidR="00E15E1B">
        <w:t xml:space="preserve"> </w:t>
      </w:r>
      <w:r>
        <w:t>is</w:t>
      </w:r>
      <w:r w:rsidR="00E15E1B">
        <w:t xml:space="preserve"> </w:t>
      </w:r>
      <w:r>
        <w:t>above</w:t>
      </w:r>
      <w:r w:rsidR="00E15E1B">
        <w:t xml:space="preserve"> </w:t>
      </w:r>
      <w:r>
        <w:t>target</w:t>
      </w:r>
      <w:r w:rsidR="00E15E1B">
        <w:t xml:space="preserve"> </w:t>
      </w:r>
      <w:r>
        <w:t>due</w:t>
      </w:r>
      <w:r w:rsidR="00E15E1B">
        <w:t xml:space="preserve"> </w:t>
      </w:r>
      <w:r>
        <w:t>to</w:t>
      </w:r>
      <w:r w:rsidR="00E15E1B">
        <w:t xml:space="preserve"> </w:t>
      </w:r>
      <w:r>
        <w:t>demand</w:t>
      </w:r>
      <w:r w:rsidR="00E15E1B">
        <w:t xml:space="preserve"> </w:t>
      </w:r>
      <w:r>
        <w:t>exceeding</w:t>
      </w:r>
      <w:r w:rsidR="00E15E1B">
        <w:t xml:space="preserve"> </w:t>
      </w:r>
      <w:r>
        <w:t>initial</w:t>
      </w:r>
      <w:r w:rsidR="00E15E1B">
        <w:t xml:space="preserve"> </w:t>
      </w:r>
      <w:r>
        <w:t>forecasts</w:t>
      </w:r>
      <w:r w:rsidR="00E15E1B">
        <w:t xml:space="preserve"> </w:t>
      </w:r>
      <w:r>
        <w:t>for</w:t>
      </w:r>
      <w:r w:rsidR="00E15E1B">
        <w:t xml:space="preserve"> </w:t>
      </w:r>
      <w:r>
        <w:t>this</w:t>
      </w:r>
      <w:r w:rsidR="00E15E1B">
        <w:t xml:space="preserve"> </w:t>
      </w:r>
      <w:r>
        <w:t>new</w:t>
      </w:r>
      <w:r w:rsidR="00E15E1B">
        <w:t xml:space="preserve"> </w:t>
      </w:r>
      <w:r>
        <w:t>service.</w:t>
      </w:r>
    </w:p>
    <w:p w:rsidR="00156239" w:rsidRDefault="00156239" w:rsidP="00156239">
      <w:pPr>
        <w:pStyle w:val="TableFootnote"/>
      </w:pPr>
      <w:r>
        <w:t>4</w:t>
      </w:r>
      <w:r>
        <w:tab/>
        <w:t>The</w:t>
      </w:r>
      <w:r w:rsidR="00E15E1B">
        <w:t xml:space="preserve"> </w:t>
      </w:r>
      <w:r>
        <w:t>actual</w:t>
      </w:r>
      <w:r w:rsidR="00E15E1B">
        <w:t xml:space="preserve"> </w:t>
      </w:r>
      <w:r>
        <w:t>is</w:t>
      </w:r>
      <w:r w:rsidR="00E15E1B">
        <w:t xml:space="preserve"> </w:t>
      </w:r>
      <w:r>
        <w:t>above</w:t>
      </w:r>
      <w:r w:rsidR="00E15E1B">
        <w:t xml:space="preserve"> </w:t>
      </w:r>
      <w:r>
        <w:t>target</w:t>
      </w:r>
      <w:r w:rsidR="00E15E1B">
        <w:t xml:space="preserve"> </w:t>
      </w:r>
      <w:r>
        <w:t>due</w:t>
      </w:r>
      <w:r w:rsidR="00E15E1B">
        <w:t xml:space="preserve"> </w:t>
      </w:r>
      <w:r>
        <w:t>to</w:t>
      </w:r>
      <w:r w:rsidR="00E15E1B">
        <w:t xml:space="preserve"> </w:t>
      </w:r>
      <w:r>
        <w:t>demand</w:t>
      </w:r>
      <w:r w:rsidR="00E15E1B">
        <w:t xml:space="preserve"> </w:t>
      </w:r>
      <w:r>
        <w:t>far</w:t>
      </w:r>
      <w:r w:rsidR="00E15E1B">
        <w:t xml:space="preserve"> </w:t>
      </w:r>
      <w:r>
        <w:t>exceeding</w:t>
      </w:r>
      <w:r w:rsidR="00E15E1B">
        <w:t xml:space="preserve"> </w:t>
      </w:r>
      <w:r>
        <w:t>initial</w:t>
      </w:r>
      <w:r w:rsidR="00E15E1B">
        <w:t xml:space="preserve"> </w:t>
      </w:r>
      <w:r>
        <w:t>estimates</w:t>
      </w:r>
      <w:r w:rsidR="00E15E1B">
        <w:t xml:space="preserve"> </w:t>
      </w:r>
      <w:r>
        <w:t>for</w:t>
      </w:r>
      <w:r w:rsidR="00E15E1B">
        <w:t xml:space="preserve"> </w:t>
      </w:r>
      <w:r>
        <w:t>this</w:t>
      </w:r>
      <w:r w:rsidR="00E15E1B">
        <w:t xml:space="preserve"> </w:t>
      </w:r>
      <w:r>
        <w:t>new</w:t>
      </w:r>
      <w:r w:rsidR="00E15E1B">
        <w:t xml:space="preserve"> </w:t>
      </w:r>
      <w:r>
        <w:t>service.</w:t>
      </w:r>
    </w:p>
    <w:p w:rsidR="00156239" w:rsidRDefault="00156239" w:rsidP="00156239">
      <w:pPr>
        <w:pStyle w:val="Heading2"/>
      </w:pPr>
      <w:bookmarkStart w:id="11" w:name="_Toc525132661"/>
      <w:r>
        <w:lastRenderedPageBreak/>
        <w:t>Our</w:t>
      </w:r>
      <w:r w:rsidR="00E15E1B">
        <w:t xml:space="preserve"> </w:t>
      </w:r>
      <w:r>
        <w:t>achievements</w:t>
      </w:r>
      <w:bookmarkEnd w:id="11"/>
    </w:p>
    <w:p w:rsidR="00156239" w:rsidRDefault="00156239" w:rsidP="00156239">
      <w:pPr>
        <w:pStyle w:val="BodyText"/>
      </w:pPr>
      <w:r>
        <w:t>Our</w:t>
      </w:r>
      <w:r w:rsidR="00E15E1B">
        <w:t xml:space="preserve"> </w:t>
      </w:r>
      <w:r>
        <w:t>achievements</w:t>
      </w:r>
      <w:r w:rsidR="00E15E1B">
        <w:t xml:space="preserve"> </w:t>
      </w:r>
      <w:r>
        <w:t>are</w:t>
      </w:r>
      <w:r w:rsidR="00E15E1B">
        <w:t xml:space="preserve"> </w:t>
      </w:r>
      <w:r>
        <w:t>presented</w:t>
      </w:r>
      <w:r w:rsidR="00E15E1B">
        <w:t xml:space="preserve"> </w:t>
      </w:r>
      <w:r>
        <w:t>under</w:t>
      </w:r>
      <w:r w:rsidR="00E15E1B">
        <w:t xml:space="preserve"> </w:t>
      </w:r>
      <w:r>
        <w:t>each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corporate</w:t>
      </w:r>
      <w:r w:rsidR="00E15E1B">
        <w:t xml:space="preserve"> </w:t>
      </w:r>
      <w:r>
        <w:t>goals,</w:t>
      </w:r>
      <w:r w:rsidR="00E15E1B">
        <w:t xml:space="preserve"> </w:t>
      </w:r>
      <w:r>
        <w:t>including</w:t>
      </w:r>
      <w:r w:rsidR="00E15E1B">
        <w:t xml:space="preserve"> </w:t>
      </w:r>
      <w:r>
        <w:t>data</w:t>
      </w:r>
      <w:r w:rsidR="00E15E1B">
        <w:t xml:space="preserve"> </w:t>
      </w:r>
      <w:r>
        <w:t>on</w:t>
      </w:r>
      <w:r w:rsidR="00E15E1B">
        <w:t xml:space="preserve"> </w:t>
      </w:r>
      <w:r>
        <w:t>our</w:t>
      </w:r>
      <w:r w:rsidR="00E15E1B">
        <w:t xml:space="preserve"> </w:t>
      </w:r>
      <w:r>
        <w:t>outputs</w:t>
      </w:r>
      <w:r w:rsidR="00E15E1B">
        <w:t xml:space="preserve"> </w:t>
      </w:r>
      <w:r>
        <w:t>and</w:t>
      </w:r>
      <w:r w:rsidR="00E15E1B">
        <w:t xml:space="preserve"> </w:t>
      </w:r>
      <w:r>
        <w:t>case</w:t>
      </w:r>
      <w:r w:rsidR="00E15E1B">
        <w:t xml:space="preserve"> </w:t>
      </w:r>
      <w:r>
        <w:t>studies</w:t>
      </w:r>
      <w:r w:rsidR="00E15E1B">
        <w:t xml:space="preserve"> </w:t>
      </w:r>
      <w:r>
        <w:t>highlighting</w:t>
      </w:r>
      <w:r w:rsidR="00E15E1B">
        <w:t xml:space="preserve"> </w:t>
      </w:r>
      <w:r>
        <w:t>our</w:t>
      </w:r>
      <w:r w:rsidR="00E15E1B">
        <w:t xml:space="preserve"> </w:t>
      </w:r>
      <w:r>
        <w:t>work.</w:t>
      </w:r>
    </w:p>
    <w:p w:rsidR="00156239" w:rsidRDefault="00156239" w:rsidP="00156239">
      <w:pPr>
        <w:pStyle w:val="Heading3"/>
      </w:pPr>
      <w:bookmarkStart w:id="12" w:name="_Toc525132662"/>
      <w:r>
        <w:t>Goal</w:t>
      </w:r>
      <w:r w:rsidR="00E15E1B">
        <w:t xml:space="preserve"> </w:t>
      </w:r>
      <w:r>
        <w:t>1:</w:t>
      </w:r>
      <w:r w:rsidR="00E15E1B">
        <w:t xml:space="preserve"> </w:t>
      </w:r>
      <w:r>
        <w:t>Businesses</w:t>
      </w:r>
      <w:r w:rsidR="00E15E1B">
        <w:t xml:space="preserve"> </w:t>
      </w:r>
      <w:r>
        <w:t>comply</w:t>
      </w:r>
      <w:r w:rsidR="00E15E1B">
        <w:t xml:space="preserve"> </w:t>
      </w:r>
      <w:r>
        <w:t>with</w:t>
      </w:r>
      <w:r w:rsidR="00E15E1B">
        <w:t xml:space="preserve"> </w:t>
      </w:r>
      <w:r>
        <w:t>consumer</w:t>
      </w:r>
      <w:r w:rsidR="00E15E1B">
        <w:t xml:space="preserve"> </w:t>
      </w:r>
      <w:r>
        <w:t>laws</w:t>
      </w:r>
      <w:bookmarkEnd w:id="12"/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key</w:t>
      </w:r>
      <w:r w:rsidR="00E15E1B">
        <w:t xml:space="preserve"> </w:t>
      </w:r>
      <w:r>
        <w:t>to</w:t>
      </w:r>
      <w:r w:rsidR="00E15E1B">
        <w:t xml:space="preserve"> </w:t>
      </w:r>
      <w:r>
        <w:t>achieving</w:t>
      </w:r>
      <w:r w:rsidR="00E15E1B">
        <w:t xml:space="preserve"> </w:t>
      </w:r>
      <w:r>
        <w:t>a</w:t>
      </w:r>
      <w:r w:rsidR="00E15E1B">
        <w:t xml:space="preserve"> </w:t>
      </w:r>
      <w:r>
        <w:t>fair</w:t>
      </w:r>
      <w:r w:rsidR="00E15E1B">
        <w:t xml:space="preserve"> </w:t>
      </w:r>
      <w:r>
        <w:t>and</w:t>
      </w:r>
      <w:r w:rsidR="00E15E1B">
        <w:t xml:space="preserve"> </w:t>
      </w:r>
      <w:r>
        <w:t>competitive</w:t>
      </w:r>
      <w:r w:rsidR="00E15E1B">
        <w:t xml:space="preserve"> </w:t>
      </w:r>
      <w:r>
        <w:t>marketplace</w:t>
      </w:r>
      <w:r w:rsidR="00E15E1B">
        <w:t xml:space="preserve"> </w:t>
      </w:r>
      <w:r>
        <w:t>is</w:t>
      </w:r>
      <w:r w:rsidR="00E15E1B">
        <w:t xml:space="preserve"> </w:t>
      </w:r>
      <w:r>
        <w:t>ensuring</w:t>
      </w:r>
      <w:r w:rsidR="00E15E1B">
        <w:t xml:space="preserve"> </w:t>
      </w:r>
      <w:r>
        <w:t>that</w:t>
      </w:r>
      <w:r w:rsidR="00E15E1B">
        <w:t xml:space="preserve"> </w:t>
      </w:r>
      <w:r>
        <w:t>businesses</w:t>
      </w:r>
      <w:r w:rsidR="00E15E1B">
        <w:t xml:space="preserve"> </w:t>
      </w:r>
      <w:r>
        <w:t>comply</w:t>
      </w:r>
      <w:r w:rsidR="00E15E1B">
        <w:t xml:space="preserve"> </w:t>
      </w:r>
      <w:r>
        <w:t>with</w:t>
      </w:r>
      <w:r w:rsidR="00E15E1B">
        <w:t xml:space="preserve"> </w:t>
      </w:r>
      <w:r>
        <w:t>consumer</w:t>
      </w:r>
      <w:r w:rsidR="00E15E1B">
        <w:t xml:space="preserve"> </w:t>
      </w:r>
      <w:r>
        <w:t>laws.</w:t>
      </w:r>
      <w:r w:rsidR="00E15E1B">
        <w:t xml:space="preserve"> </w:t>
      </w:r>
      <w:r>
        <w:t>We</w:t>
      </w:r>
      <w:r w:rsidR="00E15E1B">
        <w:t xml:space="preserve"> </w:t>
      </w:r>
      <w:r>
        <w:t>focus</w:t>
      </w:r>
      <w:r w:rsidR="00E15E1B">
        <w:t xml:space="preserve"> </w:t>
      </w:r>
      <w:r>
        <w:t>on</w:t>
      </w:r>
      <w:r w:rsidR="00E15E1B">
        <w:t xml:space="preserve"> </w:t>
      </w:r>
      <w:r>
        <w:t>achieving</w:t>
      </w:r>
      <w:r w:rsidR="00E15E1B">
        <w:t xml:space="preserve"> </w:t>
      </w:r>
      <w:r>
        <w:t>high</w:t>
      </w:r>
      <w:r w:rsidR="00E15E1B">
        <w:t xml:space="preserve"> </w:t>
      </w:r>
      <w:r>
        <w:t>levels</w:t>
      </w:r>
      <w:r w:rsidR="00E15E1B">
        <w:t xml:space="preserve"> </w:t>
      </w:r>
      <w:r>
        <w:t>of</w:t>
      </w:r>
      <w:r w:rsidR="00E15E1B">
        <w:t xml:space="preserve"> </w:t>
      </w:r>
      <w:r>
        <w:t>business</w:t>
      </w:r>
      <w:r w:rsidR="00E15E1B">
        <w:t xml:space="preserve"> </w:t>
      </w:r>
      <w:r>
        <w:t>compliance</w:t>
      </w:r>
      <w:r w:rsidR="00E15E1B">
        <w:t xml:space="preserve"> </w:t>
      </w:r>
      <w:r>
        <w:t>by</w:t>
      </w:r>
      <w:r w:rsidR="00E15E1B">
        <w:t xml:space="preserve"> </w:t>
      </w:r>
      <w:r>
        <w:t>working</w:t>
      </w:r>
      <w:r w:rsidR="00E15E1B">
        <w:t xml:space="preserve"> </w:t>
      </w:r>
      <w:r>
        <w:t>with</w:t>
      </w:r>
      <w:r w:rsidR="00E15E1B">
        <w:t xml:space="preserve"> </w:t>
      </w:r>
      <w:r>
        <w:t>relevant</w:t>
      </w:r>
      <w:r w:rsidR="00E15E1B">
        <w:t xml:space="preserve"> </w:t>
      </w:r>
      <w:r>
        <w:t>industry</w:t>
      </w:r>
      <w:r w:rsidR="00E15E1B">
        <w:t xml:space="preserve"> </w:t>
      </w:r>
      <w:r>
        <w:t>bodies</w:t>
      </w:r>
      <w:r w:rsidR="00E15E1B">
        <w:t xml:space="preserve"> </w:t>
      </w:r>
      <w:r>
        <w:t>and</w:t>
      </w:r>
      <w:r w:rsidR="00E15E1B">
        <w:t xml:space="preserve"> </w:t>
      </w:r>
      <w:r>
        <w:t>other</w:t>
      </w:r>
      <w:r w:rsidR="00E15E1B">
        <w:t xml:space="preserve"> </w:t>
      </w:r>
      <w:r>
        <w:t>partners.</w:t>
      </w:r>
      <w:r w:rsidR="00E15E1B">
        <w:t xml:space="preserve"> </w:t>
      </w:r>
      <w:r>
        <w:t>We</w:t>
      </w:r>
      <w:r w:rsidR="00E15E1B">
        <w:t xml:space="preserve"> </w:t>
      </w:r>
      <w:r>
        <w:t>continue</w:t>
      </w:r>
      <w:r w:rsidR="00E15E1B">
        <w:t xml:space="preserve"> </w:t>
      </w:r>
      <w:r>
        <w:t>to</w:t>
      </w:r>
      <w:r w:rsidR="00E15E1B">
        <w:t xml:space="preserve"> </w:t>
      </w:r>
      <w:r>
        <w:t>support</w:t>
      </w:r>
      <w:r w:rsidR="00E15E1B">
        <w:t xml:space="preserve"> </w:t>
      </w:r>
      <w:r>
        <w:t>businesses</w:t>
      </w:r>
      <w:r w:rsidR="00E15E1B">
        <w:t xml:space="preserve"> </w:t>
      </w:r>
      <w:r>
        <w:t>to</w:t>
      </w:r>
      <w:r w:rsidR="00E15E1B">
        <w:t xml:space="preserve"> </w:t>
      </w:r>
      <w:r>
        <w:t>be</w:t>
      </w:r>
      <w:r w:rsidR="00E15E1B">
        <w:t xml:space="preserve"> </w:t>
      </w:r>
      <w:r>
        <w:t>compliant</w:t>
      </w:r>
      <w:r w:rsidR="00E15E1B">
        <w:t xml:space="preserve"> </w:t>
      </w:r>
      <w:r>
        <w:t>and</w:t>
      </w:r>
      <w:r w:rsidR="00E15E1B">
        <w:t xml:space="preserve"> </w:t>
      </w:r>
      <w:r>
        <w:t>provide</w:t>
      </w:r>
      <w:r w:rsidR="00E15E1B">
        <w:t xml:space="preserve"> </w:t>
      </w:r>
      <w:r>
        <w:t>them</w:t>
      </w:r>
      <w:r w:rsidR="00E15E1B">
        <w:t xml:space="preserve"> </w:t>
      </w:r>
      <w:r>
        <w:t>with</w:t>
      </w:r>
      <w:r w:rsidR="00E15E1B">
        <w:t xml:space="preserve"> </w:t>
      </w:r>
      <w:r>
        <w:t>information</w:t>
      </w:r>
      <w:r w:rsidR="00E15E1B">
        <w:t xml:space="preserve"> </w:t>
      </w:r>
      <w:r>
        <w:t>and</w:t>
      </w:r>
      <w:r w:rsidR="00E15E1B">
        <w:t xml:space="preserve"> </w:t>
      </w:r>
      <w:r>
        <w:t>publications</w:t>
      </w:r>
      <w:r w:rsidR="00E15E1B">
        <w:t xml:space="preserve"> </w:t>
      </w:r>
      <w:r>
        <w:t>to</w:t>
      </w:r>
      <w:r w:rsidR="00E15E1B">
        <w:t xml:space="preserve"> </w:t>
      </w:r>
      <w:r>
        <w:t>help</w:t>
      </w:r>
      <w:r w:rsidR="00E15E1B">
        <w:t xml:space="preserve"> </w:t>
      </w:r>
      <w:r>
        <w:t>them</w:t>
      </w:r>
      <w:r w:rsidR="00E15E1B">
        <w:t xml:space="preserve"> </w:t>
      </w:r>
      <w:r>
        <w:t>meet</w:t>
      </w:r>
      <w:r w:rsidR="00E15E1B">
        <w:t xml:space="preserve"> </w:t>
      </w:r>
      <w:r>
        <w:t>their</w:t>
      </w:r>
      <w:r w:rsidR="00E15E1B">
        <w:t xml:space="preserve"> </w:t>
      </w:r>
      <w:r>
        <w:t>obligations.</w:t>
      </w:r>
      <w:r w:rsidR="00E15E1B">
        <w:t xml:space="preserve"> </w:t>
      </w:r>
      <w:r>
        <w:t>Under</w:t>
      </w:r>
      <w:r w:rsidR="00E15E1B">
        <w:t xml:space="preserve"> </w:t>
      </w:r>
      <w:r>
        <w:t>our</w:t>
      </w:r>
      <w:r w:rsidR="00E15E1B">
        <w:t xml:space="preserve"> </w:t>
      </w:r>
      <w:r>
        <w:t>integrated,</w:t>
      </w:r>
      <w:r w:rsidR="00E15E1B">
        <w:t xml:space="preserve"> </w:t>
      </w:r>
      <w:r>
        <w:t>risk-based</w:t>
      </w:r>
      <w:r w:rsidR="00E15E1B">
        <w:t xml:space="preserve"> </w:t>
      </w:r>
      <w:r>
        <w:t>approach</w:t>
      </w:r>
      <w:r w:rsidR="00E15E1B">
        <w:t xml:space="preserve"> </w:t>
      </w:r>
      <w:r>
        <w:t>to</w:t>
      </w:r>
      <w:r w:rsidR="00E15E1B">
        <w:t xml:space="preserve"> </w:t>
      </w:r>
      <w:r>
        <w:t>compliance,</w:t>
      </w:r>
      <w:r w:rsidR="00E15E1B">
        <w:t xml:space="preserve"> </w:t>
      </w:r>
      <w:r>
        <w:t>we</w:t>
      </w:r>
      <w:r w:rsidR="00E15E1B">
        <w:t xml:space="preserve"> </w:t>
      </w:r>
      <w:r>
        <w:t>aim</w:t>
      </w:r>
      <w:r w:rsidR="00E15E1B">
        <w:t xml:space="preserve"> </w:t>
      </w:r>
      <w:r>
        <w:t>to</w:t>
      </w:r>
      <w:r w:rsidR="00E15E1B">
        <w:t xml:space="preserve"> </w:t>
      </w:r>
      <w:r>
        <w:t>act</w:t>
      </w:r>
      <w:r w:rsidR="00E15E1B">
        <w:t xml:space="preserve"> </w:t>
      </w:r>
      <w:r>
        <w:t>quickly</w:t>
      </w:r>
      <w:r w:rsidR="00E15E1B">
        <w:t xml:space="preserve"> </w:t>
      </w:r>
      <w:r>
        <w:t>against</w:t>
      </w:r>
      <w:r w:rsidR="00E15E1B">
        <w:t xml:space="preserve"> </w:t>
      </w:r>
      <w:r>
        <w:t>businesses</w:t>
      </w:r>
      <w:r w:rsidR="00E15E1B">
        <w:t xml:space="preserve"> </w:t>
      </w:r>
      <w:r>
        <w:t>and</w:t>
      </w:r>
      <w:r w:rsidR="00E15E1B">
        <w:t xml:space="preserve"> </w:t>
      </w:r>
      <w:r>
        <w:t>organisations</w:t>
      </w:r>
      <w:r w:rsidR="00E15E1B">
        <w:t xml:space="preserve"> </w:t>
      </w:r>
      <w:r>
        <w:t>causing</w:t>
      </w:r>
      <w:r w:rsidR="00E15E1B">
        <w:t xml:space="preserve"> </w:t>
      </w:r>
      <w:r>
        <w:t>most</w:t>
      </w:r>
      <w:r w:rsidR="00E15E1B">
        <w:t xml:space="preserve"> </w:t>
      </w:r>
      <w:r>
        <w:t>harm,</w:t>
      </w:r>
      <w:r w:rsidR="00E15E1B">
        <w:t xml:space="preserve"> </w:t>
      </w:r>
      <w:r>
        <w:t>so</w:t>
      </w:r>
      <w:r w:rsidR="00E15E1B">
        <w:t xml:space="preserve"> </w:t>
      </w:r>
      <w:r>
        <w:t>as</w:t>
      </w:r>
      <w:r w:rsidR="00E15E1B">
        <w:t xml:space="preserve"> </w:t>
      </w:r>
      <w:r>
        <w:t>to</w:t>
      </w:r>
      <w:r w:rsidR="00E15E1B">
        <w:t xml:space="preserve"> </w:t>
      </w:r>
      <w:r>
        <w:t>protect</w:t>
      </w:r>
      <w:r w:rsidR="00E15E1B">
        <w:t xml:space="preserve"> </w:t>
      </w:r>
      <w:r>
        <w:t>Victorian</w:t>
      </w:r>
      <w:r w:rsidR="00E15E1B">
        <w:t xml:space="preserve"> </w:t>
      </w:r>
      <w:r>
        <w:t>consumers</w:t>
      </w:r>
      <w:r w:rsidR="00E15E1B">
        <w:t xml:space="preserve"> </w:t>
      </w:r>
      <w:r>
        <w:t>before</w:t>
      </w:r>
      <w:r w:rsidR="00E15E1B">
        <w:t xml:space="preserve"> </w:t>
      </w:r>
      <w:r>
        <w:t>there</w:t>
      </w:r>
      <w:r w:rsidR="00E15E1B">
        <w:t xml:space="preserve"> </w:t>
      </w:r>
      <w:r>
        <w:t>is</w:t>
      </w:r>
      <w:r w:rsidR="00E15E1B">
        <w:t xml:space="preserve"> </w:t>
      </w:r>
      <w:r>
        <w:t>significant</w:t>
      </w:r>
      <w:r w:rsidR="00E15E1B">
        <w:t xml:space="preserve"> </w:t>
      </w:r>
      <w:r>
        <w:t>detriment.</w:t>
      </w:r>
    </w:p>
    <w:p w:rsidR="00156239" w:rsidRDefault="00156239" w:rsidP="00156239">
      <w:pPr>
        <w:pStyle w:val="Heading4"/>
      </w:pPr>
      <w:r>
        <w:t>Highlights</w:t>
      </w:r>
    </w:p>
    <w:p w:rsidR="00156239" w:rsidRDefault="00156239" w:rsidP="00156239">
      <w:pPr>
        <w:pStyle w:val="BodyText"/>
      </w:pPr>
      <w:r>
        <w:t>In</w:t>
      </w:r>
      <w:r w:rsidR="00E15E1B">
        <w:t xml:space="preserve"> </w:t>
      </w:r>
      <w:r>
        <w:t>2017–18,</w:t>
      </w:r>
      <w:r w:rsidR="00E15E1B">
        <w:t xml:space="preserve"> </w:t>
      </w:r>
      <w:r>
        <w:t>we</w:t>
      </w:r>
      <w:r w:rsidR="00E15E1B">
        <w:t xml:space="preserve"> </w:t>
      </w:r>
      <w:r>
        <w:t>used</w:t>
      </w:r>
      <w:r w:rsidR="00E15E1B">
        <w:t xml:space="preserve"> </w:t>
      </w:r>
      <w:r>
        <w:t>a</w:t>
      </w:r>
      <w:r w:rsidR="00E15E1B">
        <w:t xml:space="preserve"> </w:t>
      </w:r>
      <w:r>
        <w:t>range</w:t>
      </w:r>
      <w:r w:rsidR="00E15E1B">
        <w:t xml:space="preserve"> </w:t>
      </w:r>
      <w:r>
        <w:t>of</w:t>
      </w:r>
      <w:r w:rsidR="00E15E1B">
        <w:t xml:space="preserve"> </w:t>
      </w:r>
      <w:r>
        <w:t>regulatory</w:t>
      </w:r>
      <w:r w:rsidR="00E15E1B">
        <w:t xml:space="preserve"> </w:t>
      </w:r>
      <w:r>
        <w:t>tools</w:t>
      </w:r>
      <w:r w:rsidR="00E15E1B">
        <w:t xml:space="preserve"> </w:t>
      </w:r>
      <w:r>
        <w:t>to</w:t>
      </w:r>
      <w:r w:rsidR="00E15E1B">
        <w:t xml:space="preserve"> </w:t>
      </w:r>
      <w:r>
        <w:t>address</w:t>
      </w:r>
      <w:r w:rsidR="00E15E1B">
        <w:t xml:space="preserve"> </w:t>
      </w:r>
      <w:r>
        <w:t>poor</w:t>
      </w:r>
      <w:r w:rsidR="00E15E1B">
        <w:t xml:space="preserve"> </w:t>
      </w:r>
      <w:r>
        <w:t>conduct</w:t>
      </w:r>
      <w:r w:rsidR="00E15E1B">
        <w:t xml:space="preserve"> </w:t>
      </w:r>
      <w:r>
        <w:t>by</w:t>
      </w:r>
      <w:r w:rsidR="00E15E1B">
        <w:t xml:space="preserve"> </w:t>
      </w:r>
      <w:r>
        <w:t>businesses</w:t>
      </w:r>
      <w:r w:rsidR="00E15E1B">
        <w:t xml:space="preserve"> </w:t>
      </w:r>
      <w:r>
        <w:t>and</w:t>
      </w:r>
      <w:r w:rsidR="00E15E1B">
        <w:t xml:space="preserve"> </w:t>
      </w:r>
      <w:r>
        <w:t>significant</w:t>
      </w:r>
      <w:r w:rsidR="00E15E1B">
        <w:t xml:space="preserve"> </w:t>
      </w:r>
      <w:r>
        <w:t>breaches</w:t>
      </w:r>
      <w:r w:rsidR="00E15E1B">
        <w:t xml:space="preserve"> </w:t>
      </w:r>
      <w:r>
        <w:t>of</w:t>
      </w:r>
      <w:r w:rsidR="00E15E1B">
        <w:t xml:space="preserve"> </w:t>
      </w:r>
      <w:r>
        <w:t>consumer</w:t>
      </w:r>
      <w:r w:rsidR="00E15E1B">
        <w:t xml:space="preserve"> </w:t>
      </w:r>
      <w:r>
        <w:t>protection</w:t>
      </w:r>
      <w:r w:rsidR="00E15E1B">
        <w:t xml:space="preserve"> </w:t>
      </w:r>
      <w:r>
        <w:t>laws.</w:t>
      </w:r>
      <w:r w:rsidR="00E15E1B">
        <w:t xml:space="preserve"> </w:t>
      </w:r>
      <w:r>
        <w:t>Table</w:t>
      </w:r>
      <w:r w:rsidR="00E15E1B">
        <w:t xml:space="preserve"> </w:t>
      </w:r>
      <w:r>
        <w:t>2</w:t>
      </w:r>
      <w:r w:rsidR="00E15E1B">
        <w:t xml:space="preserve"> </w:t>
      </w:r>
      <w:r>
        <w:t>provides</w:t>
      </w:r>
      <w:r w:rsidR="00E15E1B">
        <w:t xml:space="preserve"> </w:t>
      </w:r>
      <w:r>
        <w:t>an</w:t>
      </w:r>
      <w:r w:rsidR="00E15E1B">
        <w:t xml:space="preserve"> </w:t>
      </w:r>
      <w:r>
        <w:t>overview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actions</w:t>
      </w:r>
      <w:r w:rsidR="00E15E1B">
        <w:t xml:space="preserve"> </w:t>
      </w:r>
      <w:r>
        <w:t>in</w:t>
      </w:r>
      <w:r w:rsidR="00E15E1B">
        <w:t xml:space="preserve"> </w:t>
      </w:r>
      <w:r>
        <w:t>meeting</w:t>
      </w:r>
      <w:r w:rsidR="00D8797C">
        <w:t xml:space="preserve"> </w:t>
      </w:r>
      <w:r>
        <w:t>this</w:t>
      </w:r>
      <w:r w:rsidR="00E15E1B">
        <w:t xml:space="preserve"> </w:t>
      </w:r>
      <w:r>
        <w:t>goal.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integrated</w:t>
      </w:r>
      <w:r w:rsidR="00E15E1B">
        <w:t xml:space="preserve"> </w:t>
      </w:r>
      <w:r>
        <w:t>new</w:t>
      </w:r>
      <w:r w:rsidR="00E15E1B">
        <w:t xml:space="preserve"> </w:t>
      </w:r>
      <w:r>
        <w:t>underquoting</w:t>
      </w:r>
      <w:r w:rsidR="00E15E1B">
        <w:t xml:space="preserve"> </w:t>
      </w:r>
      <w:r>
        <w:t>laws</w:t>
      </w:r>
      <w:r w:rsidR="00E15E1B">
        <w:t xml:space="preserve"> </w:t>
      </w:r>
      <w:r>
        <w:t>brought</w:t>
      </w:r>
      <w:r w:rsidR="00E15E1B">
        <w:t xml:space="preserve"> </w:t>
      </w:r>
      <w:r>
        <w:t>about</w:t>
      </w:r>
      <w:r w:rsidR="00E15E1B">
        <w:t xml:space="preserve"> </w:t>
      </w:r>
      <w:r>
        <w:t>by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Estate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Agents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Amendment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(Underquoting)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2016</w:t>
      </w:r>
      <w:r w:rsidR="00E15E1B">
        <w:t xml:space="preserve"> </w:t>
      </w:r>
      <w:r>
        <w:t>into</w:t>
      </w:r>
      <w:r w:rsidR="00E15E1B">
        <w:t xml:space="preserve"> </w:t>
      </w:r>
      <w:r>
        <w:t>our</w:t>
      </w:r>
      <w:r w:rsidR="00E15E1B">
        <w:t xml:space="preserve"> </w:t>
      </w:r>
      <w:r>
        <w:t>ongoing</w:t>
      </w:r>
      <w:r w:rsidR="00E15E1B">
        <w:t xml:space="preserve"> </w:t>
      </w:r>
      <w:r>
        <w:t>compliance</w:t>
      </w:r>
      <w:r w:rsidR="00E15E1B">
        <w:t xml:space="preserve"> </w:t>
      </w:r>
      <w:r>
        <w:t>program.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Federal</w:t>
      </w:r>
      <w:r w:rsidR="00E15E1B">
        <w:t xml:space="preserve"> </w:t>
      </w:r>
      <w:r>
        <w:t>Court</w:t>
      </w:r>
      <w:r w:rsidR="00E15E1B">
        <w:t xml:space="preserve"> </w:t>
      </w:r>
      <w:r>
        <w:t>decision</w:t>
      </w:r>
      <w:r w:rsidR="00E15E1B">
        <w:t xml:space="preserve"> </w:t>
      </w:r>
      <w:r>
        <w:t>in</w:t>
      </w:r>
      <w:r w:rsidR="00E15E1B">
        <w:t xml:space="preserve"> </w:t>
      </w:r>
      <w:r>
        <w:t>our</w:t>
      </w:r>
      <w:r w:rsidR="00E15E1B">
        <w:t xml:space="preserve"> </w:t>
      </w:r>
      <w:r>
        <w:t>case</w:t>
      </w:r>
      <w:r w:rsidR="00E15E1B">
        <w:t xml:space="preserve"> </w:t>
      </w:r>
      <w:r>
        <w:t>against</w:t>
      </w:r>
      <w:r w:rsidR="00E15E1B">
        <w:t xml:space="preserve"> </w:t>
      </w:r>
      <w:r>
        <w:t>Fletcher</w:t>
      </w:r>
      <w:r w:rsidR="00E15E1B">
        <w:t xml:space="preserve"> </w:t>
      </w:r>
      <w:r>
        <w:t>and</w:t>
      </w:r>
      <w:r w:rsidR="00E15E1B">
        <w:t xml:space="preserve"> </w:t>
      </w:r>
      <w:r>
        <w:t>Parker</w:t>
      </w:r>
      <w:r w:rsidR="00E15E1B">
        <w:t xml:space="preserve"> </w:t>
      </w:r>
      <w:r>
        <w:t>(Balwyn)</w:t>
      </w:r>
      <w:r w:rsidR="00E15E1B">
        <w:t xml:space="preserve"> </w:t>
      </w:r>
      <w:r>
        <w:t>Pty</w:t>
      </w:r>
      <w:r w:rsidR="00E15E1B">
        <w:t xml:space="preserve"> </w:t>
      </w:r>
      <w:r>
        <w:t>Ltd</w:t>
      </w:r>
      <w:r w:rsidR="00E15E1B">
        <w:t xml:space="preserve"> </w:t>
      </w:r>
      <w:r>
        <w:t>was</w:t>
      </w:r>
      <w:r w:rsidR="00E15E1B">
        <w:t xml:space="preserve"> </w:t>
      </w:r>
      <w:r>
        <w:t>a</w:t>
      </w:r>
      <w:r w:rsidR="00E15E1B">
        <w:t xml:space="preserve"> </w:t>
      </w:r>
      <w:r>
        <w:t>strong</w:t>
      </w:r>
      <w:r w:rsidR="00E15E1B">
        <w:t xml:space="preserve"> </w:t>
      </w:r>
      <w:r>
        <w:t>endorsement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approach</w:t>
      </w:r>
      <w:r w:rsidR="00E15E1B">
        <w:t xml:space="preserve"> </w:t>
      </w:r>
      <w:r>
        <w:t>and</w:t>
      </w:r>
      <w:r w:rsidR="00E15E1B">
        <w:t xml:space="preserve"> </w:t>
      </w:r>
      <w:r>
        <w:t>the</w:t>
      </w:r>
      <w:r w:rsidR="00E15E1B">
        <w:t xml:space="preserve"> </w:t>
      </w:r>
      <w:r>
        <w:t>$880,000</w:t>
      </w:r>
      <w:r w:rsidR="00E15E1B">
        <w:t xml:space="preserve"> </w:t>
      </w:r>
      <w:r>
        <w:t>penalty</w:t>
      </w:r>
      <w:r w:rsidR="00E15E1B">
        <w:t xml:space="preserve"> </w:t>
      </w:r>
      <w:r>
        <w:t>was</w:t>
      </w:r>
      <w:r w:rsidR="00E15E1B">
        <w:t xml:space="preserve"> </w:t>
      </w:r>
      <w:r>
        <w:t>a</w:t>
      </w:r>
      <w:r w:rsidR="00E15E1B">
        <w:t xml:space="preserve"> </w:t>
      </w:r>
      <w:r>
        <w:t>state</w:t>
      </w:r>
      <w:r w:rsidR="00E15E1B">
        <w:t xml:space="preserve"> </w:t>
      </w:r>
      <w:r>
        <w:t>record</w:t>
      </w:r>
      <w:r w:rsidR="00E15E1B">
        <w:t xml:space="preserve"> </w:t>
      </w:r>
      <w:r>
        <w:t>for</w:t>
      </w:r>
      <w:r w:rsidR="00E15E1B">
        <w:t xml:space="preserve"> </w:t>
      </w:r>
      <w:r>
        <w:t>underquoting.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made</w:t>
      </w:r>
      <w:r w:rsidR="00E15E1B">
        <w:t xml:space="preserve"> </w:t>
      </w:r>
      <w:r>
        <w:t>it</w:t>
      </w:r>
      <w:r w:rsidR="00E15E1B">
        <w:t xml:space="preserve"> </w:t>
      </w:r>
      <w:r>
        <w:t>easier</w:t>
      </w:r>
      <w:r w:rsidR="00E15E1B">
        <w:t xml:space="preserve"> </w:t>
      </w:r>
      <w:r>
        <w:t>for</w:t>
      </w:r>
      <w:r w:rsidR="00E15E1B">
        <w:t xml:space="preserve"> </w:t>
      </w:r>
      <w:r>
        <w:t>businesses</w:t>
      </w:r>
      <w:r w:rsidR="00E15E1B">
        <w:t xml:space="preserve"> </w:t>
      </w:r>
      <w:r>
        <w:t>to</w:t>
      </w:r>
      <w:r w:rsidR="00E15E1B">
        <w:t xml:space="preserve"> </w:t>
      </w:r>
      <w:r>
        <w:t>comply</w:t>
      </w:r>
      <w:r w:rsidR="00E15E1B">
        <w:t xml:space="preserve"> </w:t>
      </w:r>
      <w:r>
        <w:t>with</w:t>
      </w:r>
      <w:r w:rsidR="00E15E1B">
        <w:t xml:space="preserve"> </w:t>
      </w:r>
      <w:r>
        <w:t>their</w:t>
      </w:r>
      <w:r w:rsidR="00E15E1B">
        <w:t xml:space="preserve"> </w:t>
      </w:r>
      <w:r>
        <w:t>obligations,</w:t>
      </w:r>
      <w:r w:rsidR="00E15E1B">
        <w:t xml:space="preserve"> </w:t>
      </w:r>
      <w:r>
        <w:t>with</w:t>
      </w:r>
      <w:r w:rsidR="00E15E1B">
        <w:t xml:space="preserve"> </w:t>
      </w:r>
      <w:r>
        <w:t>our</w:t>
      </w:r>
      <w:r w:rsidR="00E15E1B">
        <w:t xml:space="preserve"> </w:t>
      </w:r>
      <w:r>
        <w:t>online</w:t>
      </w:r>
      <w:r w:rsidR="00E15E1B">
        <w:t xml:space="preserve"> </w:t>
      </w:r>
      <w:r>
        <w:t>licensing</w:t>
      </w:r>
      <w:r w:rsidR="00E15E1B">
        <w:t xml:space="preserve"> </w:t>
      </w:r>
      <w:r>
        <w:t>and</w:t>
      </w:r>
      <w:r w:rsidR="00E15E1B">
        <w:t xml:space="preserve"> </w:t>
      </w:r>
      <w:r>
        <w:t>registration</w:t>
      </w:r>
      <w:r w:rsidR="00E15E1B">
        <w:t xml:space="preserve"> </w:t>
      </w:r>
      <w:r>
        <w:t>system,</w:t>
      </w:r>
      <w:r w:rsidR="00E15E1B">
        <w:t xml:space="preserve"> </w:t>
      </w:r>
      <w:r>
        <w:t>myCAV,</w:t>
      </w:r>
      <w:r w:rsidR="00E15E1B">
        <w:t xml:space="preserve"> </w:t>
      </w:r>
      <w:r>
        <w:t>expanded</w:t>
      </w:r>
      <w:r w:rsidR="00E15E1B">
        <w:t xml:space="preserve"> </w:t>
      </w:r>
      <w:r>
        <w:t>to</w:t>
      </w:r>
      <w:r w:rsidR="00E15E1B">
        <w:t xml:space="preserve"> </w:t>
      </w:r>
      <w:r>
        <w:t>include</w:t>
      </w:r>
      <w:r w:rsidR="00E15E1B">
        <w:t xml:space="preserve"> </w:t>
      </w:r>
      <w:r>
        <w:t>estate</w:t>
      </w:r>
      <w:r w:rsidR="00E15E1B">
        <w:t xml:space="preserve"> </w:t>
      </w:r>
      <w:r>
        <w:t>agents.</w:t>
      </w:r>
      <w:r w:rsidR="00E15E1B">
        <w:t xml:space="preserve"> </w:t>
      </w:r>
      <w:r>
        <w:t>We</w:t>
      </w:r>
      <w:r w:rsidR="00E15E1B">
        <w:t xml:space="preserve"> </w:t>
      </w:r>
      <w:r>
        <w:t>also</w:t>
      </w:r>
      <w:r w:rsidR="00E15E1B">
        <w:t xml:space="preserve"> </w:t>
      </w:r>
      <w:r>
        <w:t>introduced</w:t>
      </w:r>
      <w:r w:rsidR="00E15E1B">
        <w:t xml:space="preserve"> </w:t>
      </w:r>
      <w:r>
        <w:t>new</w:t>
      </w:r>
      <w:r w:rsidR="00E15E1B">
        <w:t xml:space="preserve"> </w:t>
      </w:r>
      <w:r>
        <w:t>legislation</w:t>
      </w:r>
      <w:r w:rsidR="00E15E1B">
        <w:t xml:space="preserve"> </w:t>
      </w:r>
      <w:r>
        <w:t>enabling</w:t>
      </w:r>
      <w:r w:rsidR="00E15E1B">
        <w:t xml:space="preserve"> </w:t>
      </w:r>
      <w:r>
        <w:t>the</w:t>
      </w:r>
      <w:r w:rsidR="00E15E1B">
        <w:t xml:space="preserve"> </w:t>
      </w:r>
      <w:r>
        <w:t>Minister</w:t>
      </w:r>
      <w:r w:rsidR="00E15E1B">
        <w:t xml:space="preserve"> </w:t>
      </w:r>
      <w:r>
        <w:t>for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to</w:t>
      </w:r>
      <w:r w:rsidR="00E15E1B">
        <w:t xml:space="preserve"> </w:t>
      </w:r>
      <w:r>
        <w:t>exempt</w:t>
      </w:r>
      <w:r w:rsidR="00E15E1B">
        <w:t xml:space="preserve"> </w:t>
      </w:r>
      <w:r>
        <w:t>an</w:t>
      </w:r>
      <w:r w:rsidR="00E15E1B">
        <w:t xml:space="preserve"> </w:t>
      </w:r>
      <w:r>
        <w:t>incorporated</w:t>
      </w:r>
      <w:r w:rsidR="00E15E1B">
        <w:t xml:space="preserve"> </w:t>
      </w:r>
      <w:r>
        <w:t>association</w:t>
      </w:r>
      <w:r w:rsidR="00E15E1B">
        <w:t xml:space="preserve"> </w:t>
      </w:r>
      <w:r>
        <w:t>or</w:t>
      </w:r>
      <w:r w:rsidR="00E15E1B">
        <w:t xml:space="preserve"> </w:t>
      </w:r>
      <w:r>
        <w:t>class</w:t>
      </w:r>
      <w:r w:rsidR="00E15E1B">
        <w:t xml:space="preserve"> </w:t>
      </w:r>
      <w:r>
        <w:t>of</w:t>
      </w:r>
      <w:r w:rsidR="00E15E1B">
        <w:t xml:space="preserve"> </w:t>
      </w:r>
      <w:r>
        <w:t>associations</w:t>
      </w:r>
      <w:r w:rsidR="00E15E1B">
        <w:t xml:space="preserve"> </w:t>
      </w:r>
      <w:r>
        <w:t>from</w:t>
      </w:r>
      <w:r w:rsidR="00E15E1B">
        <w:t xml:space="preserve"> </w:t>
      </w:r>
      <w:r>
        <w:t>annual</w:t>
      </w:r>
      <w:r w:rsidR="00E15E1B">
        <w:t xml:space="preserve"> </w:t>
      </w:r>
      <w:r>
        <w:t>financial</w:t>
      </w:r>
      <w:r w:rsidR="00E15E1B">
        <w:t xml:space="preserve"> </w:t>
      </w:r>
      <w:r>
        <w:t>reporting</w:t>
      </w:r>
      <w:r w:rsidR="00E15E1B">
        <w:t xml:space="preserve"> </w:t>
      </w:r>
      <w:r>
        <w:t>requirements</w:t>
      </w:r>
      <w:r w:rsidR="00E15E1B">
        <w:t xml:space="preserve"> </w:t>
      </w:r>
      <w:r>
        <w:t>if</w:t>
      </w:r>
      <w:r w:rsidR="00E15E1B">
        <w:t xml:space="preserve"> </w:t>
      </w:r>
      <w:r>
        <w:t>they</w:t>
      </w:r>
      <w:r w:rsidR="00E15E1B">
        <w:t xml:space="preserve"> </w:t>
      </w:r>
      <w:r>
        <w:t>are</w:t>
      </w:r>
      <w:r w:rsidR="00E15E1B">
        <w:t xml:space="preserve"> </w:t>
      </w:r>
      <w:r>
        <w:t>also</w:t>
      </w:r>
      <w:r w:rsidR="00E15E1B">
        <w:t xml:space="preserve"> </w:t>
      </w:r>
      <w:r>
        <w:t>registered</w:t>
      </w:r>
      <w:r w:rsidR="00E15E1B">
        <w:t xml:space="preserve"> </w:t>
      </w:r>
      <w:r>
        <w:t>with,</w:t>
      </w:r>
      <w:r w:rsidR="00E15E1B">
        <w:t xml:space="preserve"> </w:t>
      </w:r>
      <w:r>
        <w:t>and</w:t>
      </w:r>
      <w:r w:rsidR="00E15E1B">
        <w:t xml:space="preserve"> </w:t>
      </w:r>
      <w:r>
        <w:t>reporting</w:t>
      </w:r>
      <w:r w:rsidR="00E15E1B">
        <w:t xml:space="preserve"> </w:t>
      </w:r>
      <w:r>
        <w:t>to,</w:t>
      </w:r>
      <w:r w:rsidR="00E15E1B">
        <w:t xml:space="preserve"> </w:t>
      </w:r>
      <w:r>
        <w:t>another</w:t>
      </w:r>
      <w:r w:rsidR="00E15E1B">
        <w:t xml:space="preserve"> </w:t>
      </w:r>
      <w:r>
        <w:t>regulator</w:t>
      </w:r>
      <w:r w:rsidR="00E15E1B">
        <w:t xml:space="preserve"> </w:t>
      </w:r>
      <w:r>
        <w:t>(such</w:t>
      </w:r>
      <w:r w:rsidR="00E15E1B">
        <w:t xml:space="preserve"> </w:t>
      </w:r>
      <w:r>
        <w:t>as</w:t>
      </w:r>
      <w:r w:rsidR="00E15E1B">
        <w:t xml:space="preserve"> </w:t>
      </w:r>
      <w:r>
        <w:t>the</w:t>
      </w:r>
      <w:r w:rsidR="00E15E1B">
        <w:t xml:space="preserve"> </w:t>
      </w:r>
      <w:r>
        <w:t>Australian</w:t>
      </w:r>
      <w:r w:rsidR="00E15E1B">
        <w:t xml:space="preserve"> </w:t>
      </w:r>
      <w:r>
        <w:t>Charities</w:t>
      </w:r>
      <w:r w:rsidR="00E15E1B">
        <w:t xml:space="preserve"> </w:t>
      </w:r>
      <w:r>
        <w:t>and</w:t>
      </w:r>
      <w:r w:rsidR="00E15E1B">
        <w:t xml:space="preserve"> </w:t>
      </w:r>
      <w:r>
        <w:t>Not-for-profits</w:t>
      </w:r>
      <w:r w:rsidR="00E15E1B">
        <w:t xml:space="preserve"> </w:t>
      </w:r>
      <w:r>
        <w:t>Commission).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continued</w:t>
      </w:r>
      <w:r w:rsidR="00E15E1B">
        <w:t xml:space="preserve"> </w:t>
      </w:r>
      <w:r>
        <w:t>our</w:t>
      </w:r>
      <w:r w:rsidR="00E15E1B">
        <w:t xml:space="preserve"> </w:t>
      </w:r>
      <w:r>
        <w:t>work</w:t>
      </w:r>
      <w:r w:rsidR="00E15E1B">
        <w:t xml:space="preserve"> </w:t>
      </w:r>
      <w:r>
        <w:t>on</w:t>
      </w:r>
      <w:r w:rsidR="00E15E1B">
        <w:t xml:space="preserve"> </w:t>
      </w:r>
      <w:r>
        <w:t>our</w:t>
      </w:r>
      <w:r w:rsidR="00E15E1B">
        <w:t xml:space="preserve"> </w:t>
      </w:r>
      <w:r>
        <w:t>digital-first</w:t>
      </w:r>
      <w:r w:rsidR="00E15E1B">
        <w:t xml:space="preserve"> </w:t>
      </w:r>
      <w:r>
        <w:t>approach,</w:t>
      </w:r>
      <w:r w:rsidR="00E15E1B">
        <w:t xml:space="preserve"> </w:t>
      </w:r>
      <w:r>
        <w:t>implementing</w:t>
      </w:r>
      <w:r w:rsidR="00E15E1B">
        <w:t xml:space="preserve"> </w:t>
      </w:r>
      <w:r>
        <w:t>a</w:t>
      </w:r>
      <w:r w:rsidR="00E15E1B">
        <w:t xml:space="preserve"> </w:t>
      </w:r>
      <w:r>
        <w:t>responsive</w:t>
      </w:r>
      <w:r w:rsidR="00E15E1B">
        <w:t xml:space="preserve"> </w:t>
      </w:r>
      <w:r>
        <w:t>website</w:t>
      </w:r>
      <w:r w:rsidR="00E15E1B">
        <w:t xml:space="preserve"> </w:t>
      </w:r>
      <w:r>
        <w:t>to</w:t>
      </w:r>
      <w:r w:rsidR="00E15E1B">
        <w:t xml:space="preserve"> </w:t>
      </w:r>
      <w:r>
        <w:t>engage</w:t>
      </w:r>
      <w:r w:rsidR="00E15E1B">
        <w:t xml:space="preserve"> </w:t>
      </w:r>
      <w:r>
        <w:t>and</w:t>
      </w:r>
      <w:r w:rsidR="00E15E1B">
        <w:t xml:space="preserve"> </w:t>
      </w:r>
      <w:r>
        <w:t>enable</w:t>
      </w:r>
      <w:r w:rsidR="00E15E1B">
        <w:t xml:space="preserve"> </w:t>
      </w:r>
      <w:r>
        <w:t>Victorian</w:t>
      </w:r>
      <w:r w:rsidR="00E15E1B">
        <w:t xml:space="preserve"> </w:t>
      </w:r>
      <w:r>
        <w:t>businesses</w:t>
      </w:r>
      <w:r w:rsidR="00E15E1B">
        <w:t xml:space="preserve"> </w:t>
      </w:r>
      <w:r>
        <w:t>and</w:t>
      </w:r>
      <w:r w:rsidR="00E15E1B">
        <w:t xml:space="preserve"> </w:t>
      </w:r>
      <w:r>
        <w:t>consumers</w:t>
      </w:r>
      <w:r w:rsidR="00E15E1B">
        <w:t xml:space="preserve"> </w:t>
      </w:r>
      <w:r>
        <w:t>to</w:t>
      </w:r>
      <w:r w:rsidR="00E15E1B">
        <w:t xml:space="preserve"> </w:t>
      </w:r>
      <w:r>
        <w:t>access</w:t>
      </w:r>
      <w:r w:rsidR="00E15E1B">
        <w:t xml:space="preserve"> </w:t>
      </w:r>
      <w:r>
        <w:t>easy</w:t>
      </w:r>
      <w:r>
        <w:rPr>
          <w:rFonts w:ascii="MS Mincho" w:eastAsia="MS Mincho" w:hAnsi="MS Mincho" w:cs="MS Mincho" w:hint="eastAsia"/>
        </w:rPr>
        <w:t>‑</w:t>
      </w:r>
      <w:r>
        <w:t>to-understand</w:t>
      </w:r>
      <w:r w:rsidR="00E15E1B">
        <w:t xml:space="preserve"> </w:t>
      </w:r>
      <w:r>
        <w:t>information</w:t>
      </w:r>
      <w:r w:rsidR="00E15E1B">
        <w:t xml:space="preserve"> </w:t>
      </w:r>
      <w:r>
        <w:t>on</w:t>
      </w:r>
      <w:r w:rsidR="00E15E1B">
        <w:t xml:space="preserve"> </w:t>
      </w:r>
      <w:r>
        <w:t>a</w:t>
      </w:r>
      <w:r w:rsidR="00E15E1B">
        <w:t xml:space="preserve"> </w:t>
      </w:r>
      <w:r>
        <w:t>range</w:t>
      </w:r>
      <w:r w:rsidR="00E15E1B">
        <w:t xml:space="preserve"> </w:t>
      </w:r>
      <w:r>
        <w:t>of</w:t>
      </w:r>
      <w:r w:rsidR="00E15E1B">
        <w:t xml:space="preserve"> </w:t>
      </w:r>
      <w:r>
        <w:t>devices</w:t>
      </w:r>
      <w:r w:rsidR="00E15E1B">
        <w:t xml:space="preserve"> </w:t>
      </w:r>
      <w:r>
        <w:t>and</w:t>
      </w:r>
      <w:r w:rsidR="00E15E1B">
        <w:t xml:space="preserve"> </w:t>
      </w:r>
      <w:r>
        <w:t>platforms.</w:t>
      </w:r>
    </w:p>
    <w:p w:rsidR="00156239" w:rsidRDefault="00156239" w:rsidP="00156239">
      <w:pPr>
        <w:pStyle w:val="BodyText"/>
      </w:pPr>
      <w:r>
        <w:t>When</w:t>
      </w:r>
      <w:r w:rsidR="00E15E1B">
        <w:t xml:space="preserve"> </w:t>
      </w:r>
      <w:r>
        <w:t>products</w:t>
      </w:r>
      <w:r w:rsidR="00E15E1B">
        <w:t xml:space="preserve"> </w:t>
      </w:r>
      <w:r>
        <w:t>posed</w:t>
      </w:r>
      <w:r w:rsidR="00E15E1B">
        <w:t xml:space="preserve"> </w:t>
      </w:r>
      <w:r>
        <w:t>a</w:t>
      </w:r>
      <w:r w:rsidR="00E15E1B">
        <w:t xml:space="preserve"> </w:t>
      </w:r>
      <w:r>
        <w:t>risk</w:t>
      </w:r>
      <w:r w:rsidR="00E15E1B">
        <w:t xml:space="preserve"> </w:t>
      </w:r>
      <w:r>
        <w:t>to</w:t>
      </w:r>
      <w:r w:rsidR="00E15E1B">
        <w:t xml:space="preserve"> </w:t>
      </w:r>
      <w:r>
        <w:t>consumers</w:t>
      </w:r>
      <w:r w:rsidR="00E15E1B">
        <w:t xml:space="preserve"> </w:t>
      </w:r>
      <w:r>
        <w:t>and</w:t>
      </w:r>
      <w:r w:rsidR="00E15E1B">
        <w:t xml:space="preserve"> </w:t>
      </w:r>
      <w:r>
        <w:t>children,</w:t>
      </w:r>
      <w:r w:rsidR="00E15E1B">
        <w:t xml:space="preserve"> </w:t>
      </w:r>
      <w:r>
        <w:t>we</w:t>
      </w:r>
      <w:r w:rsidR="00E15E1B">
        <w:t xml:space="preserve"> </w:t>
      </w:r>
      <w:r>
        <w:t>responded</w:t>
      </w:r>
      <w:r w:rsidR="00E15E1B">
        <w:t xml:space="preserve"> </w:t>
      </w:r>
      <w:r>
        <w:t>quickly</w:t>
      </w:r>
      <w:r w:rsidR="00E15E1B">
        <w:t xml:space="preserve"> </w:t>
      </w:r>
      <w:r>
        <w:t>by</w:t>
      </w:r>
      <w:r w:rsidR="00E15E1B">
        <w:t xml:space="preserve"> </w:t>
      </w:r>
      <w:r>
        <w:t>inspecting</w:t>
      </w:r>
      <w:r w:rsidR="00E15E1B">
        <w:t xml:space="preserve"> </w:t>
      </w:r>
      <w:r>
        <w:t>or</w:t>
      </w:r>
      <w:r w:rsidR="00E15E1B">
        <w:t xml:space="preserve"> </w:t>
      </w:r>
      <w:r>
        <w:t>removing</w:t>
      </w:r>
      <w:r w:rsidR="00E15E1B">
        <w:t xml:space="preserve"> </w:t>
      </w:r>
      <w:r>
        <w:t>them.</w:t>
      </w:r>
      <w:r w:rsidR="00E15E1B">
        <w:t xml:space="preserve"> </w:t>
      </w:r>
      <w:r>
        <w:t>We</w:t>
      </w:r>
      <w:r w:rsidR="00E15E1B">
        <w:t xml:space="preserve"> </w:t>
      </w:r>
      <w:r>
        <w:t>conducted</w:t>
      </w:r>
      <w:r w:rsidR="00E15E1B">
        <w:t xml:space="preserve"> </w:t>
      </w:r>
      <w:r>
        <w:t>1,117</w:t>
      </w:r>
      <w:r w:rsidR="00E15E1B">
        <w:t xml:space="preserve"> </w:t>
      </w:r>
      <w:r>
        <w:t>inspections,</w:t>
      </w:r>
      <w:r w:rsidR="00E15E1B">
        <w:t xml:space="preserve"> </w:t>
      </w:r>
      <w:r>
        <w:t>leading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removal</w:t>
      </w:r>
      <w:r w:rsidR="00E15E1B">
        <w:t xml:space="preserve"> </w:t>
      </w:r>
      <w:r>
        <w:t>of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60,000</w:t>
      </w:r>
      <w:r w:rsidR="00E15E1B">
        <w:t xml:space="preserve"> </w:t>
      </w:r>
      <w:r>
        <w:t>unsafe</w:t>
      </w:r>
      <w:r w:rsidR="00E15E1B">
        <w:t xml:space="preserve"> </w:t>
      </w:r>
      <w:r>
        <w:t>items</w:t>
      </w:r>
      <w:r w:rsidR="00E15E1B">
        <w:t xml:space="preserve"> </w:t>
      </w:r>
      <w:r>
        <w:t>from</w:t>
      </w:r>
      <w:r w:rsidR="00E15E1B">
        <w:t xml:space="preserve"> </w:t>
      </w:r>
      <w:r>
        <w:t>sale.</w:t>
      </w:r>
    </w:p>
    <w:p w:rsidR="00607734" w:rsidRPr="00607734" w:rsidRDefault="00607734" w:rsidP="00607734">
      <w:pPr>
        <w:pStyle w:val="BodyText"/>
      </w:pPr>
      <w:r w:rsidRPr="00607734">
        <w:br w:type="page"/>
      </w:r>
    </w:p>
    <w:p w:rsidR="00156239" w:rsidRDefault="00156239" w:rsidP="00156239">
      <w:pPr>
        <w:pStyle w:val="Caption"/>
      </w:pPr>
      <w:r>
        <w:lastRenderedPageBreak/>
        <w:t>Table</w:t>
      </w:r>
      <w:r w:rsidR="00E15E1B">
        <w:t xml:space="preserve"> </w:t>
      </w:r>
      <w:r>
        <w:t>2:</w:t>
      </w:r>
      <w:r w:rsidR="00E15E1B">
        <w:t xml:space="preserve"> </w:t>
      </w:r>
      <w:r>
        <w:t>Compliance,</w:t>
      </w:r>
      <w:r w:rsidR="00E15E1B">
        <w:t xml:space="preserve"> </w:t>
      </w:r>
      <w:r>
        <w:t>registration</w:t>
      </w:r>
      <w:r w:rsidR="00E15E1B">
        <w:t xml:space="preserve"> </w:t>
      </w:r>
      <w:r>
        <w:t>and</w:t>
      </w:r>
      <w:r w:rsidR="00E15E1B">
        <w:t xml:space="preserve"> </w:t>
      </w:r>
      <w:r>
        <w:t>licensing</w:t>
      </w:r>
      <w:r w:rsidR="00E15E1B">
        <w:t xml:space="preserve"> </w:t>
      </w:r>
      <w:r>
        <w:t>activities</w:t>
      </w:r>
      <w:r w:rsidR="00E15E1B">
        <w:t xml:space="preserve"> </w:t>
      </w:r>
      <w:r>
        <w:t>undertaken</w:t>
      </w:r>
      <w:r>
        <w:rPr>
          <w:rStyle w:val="Superscript"/>
        </w:rPr>
        <w:t>1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6321"/>
        <w:gridCol w:w="917"/>
        <w:gridCol w:w="917"/>
        <w:gridCol w:w="917"/>
      </w:tblGrid>
      <w:tr w:rsidR="00156239" w:rsidRPr="00625180" w:rsidTr="00104254">
        <w:trPr>
          <w:trHeight w:val="60"/>
          <w:tblHeader/>
        </w:trPr>
        <w:tc>
          <w:tcPr>
            <w:tcW w:w="6746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Pr="00625180" w:rsidRDefault="00156239" w:rsidP="00FC025D">
            <w:pPr>
              <w:pStyle w:val="TableText"/>
            </w:pPr>
          </w:p>
        </w:tc>
        <w:tc>
          <w:tcPr>
            <w:tcW w:w="9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156239" w:rsidRDefault="00156239" w:rsidP="00D97603">
            <w:pPr>
              <w:pStyle w:val="TableColHeadRight"/>
            </w:pPr>
            <w:r>
              <w:t>2015–16</w:t>
            </w:r>
          </w:p>
        </w:tc>
        <w:tc>
          <w:tcPr>
            <w:tcW w:w="9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156239" w:rsidRDefault="00156239" w:rsidP="00D97603">
            <w:pPr>
              <w:pStyle w:val="TableColHeadRight"/>
            </w:pPr>
            <w:r>
              <w:t>2016–17</w:t>
            </w:r>
          </w:p>
        </w:tc>
        <w:tc>
          <w:tcPr>
            <w:tcW w:w="964" w:type="dxa"/>
            <w:tcBorders>
              <w:lef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156239" w:rsidRDefault="00156239" w:rsidP="00D97603">
            <w:pPr>
              <w:pStyle w:val="TableColHeadRight"/>
            </w:pPr>
            <w:r>
              <w:t>2017–18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4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Compliance</w:t>
            </w:r>
          </w:p>
        </w:tc>
      </w:tr>
      <w:tr w:rsidR="00156239" w:rsidRPr="00F41A61" w:rsidTr="00104254">
        <w:trPr>
          <w:trHeight w:val="60"/>
        </w:trPr>
        <w:tc>
          <w:tcPr>
            <w:tcW w:w="674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Inspections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5,796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5,769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5,972</w:t>
            </w:r>
          </w:p>
        </w:tc>
      </w:tr>
      <w:tr w:rsidR="00156239" w:rsidRPr="00F41A61" w:rsidTr="00104254">
        <w:trPr>
          <w:trHeight w:val="60"/>
        </w:trPr>
        <w:tc>
          <w:tcPr>
            <w:tcW w:w="674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Investigations</w:t>
            </w:r>
            <w:r>
              <w:rPr>
                <w:rStyle w:val="Superscript"/>
              </w:rPr>
              <w:t>2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152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105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71</w:t>
            </w:r>
          </w:p>
        </w:tc>
      </w:tr>
      <w:tr w:rsidR="00156239" w:rsidRPr="00F41A61" w:rsidTr="00104254">
        <w:trPr>
          <w:trHeight w:val="60"/>
        </w:trPr>
        <w:tc>
          <w:tcPr>
            <w:tcW w:w="674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Market</w:t>
            </w:r>
            <w:r w:rsidR="00E15E1B">
              <w:t xml:space="preserve"> </w:t>
            </w:r>
            <w:r>
              <w:t>monitoring</w:t>
            </w:r>
            <w:r w:rsidR="00E15E1B">
              <w:t xml:space="preserve"> </w:t>
            </w:r>
            <w:r>
              <w:t>activity</w:t>
            </w:r>
            <w:r>
              <w:rPr>
                <w:rStyle w:val="Superscript"/>
              </w:rPr>
              <w:t>3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960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411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456</w:t>
            </w:r>
          </w:p>
        </w:tc>
      </w:tr>
      <w:tr w:rsidR="00156239" w:rsidRPr="00F41A61" w:rsidTr="00104254">
        <w:trPr>
          <w:trHeight w:val="60"/>
        </w:trPr>
        <w:tc>
          <w:tcPr>
            <w:tcW w:w="674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Businesses</w:t>
            </w:r>
            <w:r w:rsidR="00E15E1B">
              <w:t xml:space="preserve"> </w:t>
            </w:r>
            <w:r>
              <w:t>engaged</w:t>
            </w:r>
            <w:r w:rsidR="00E15E1B">
              <w:t xml:space="preserve"> </w:t>
            </w:r>
            <w:r>
              <w:t>through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>
              <w:t>Better</w:t>
            </w:r>
            <w:r w:rsidR="00E15E1B">
              <w:t xml:space="preserve"> </w:t>
            </w:r>
            <w:r>
              <w:t>Business</w:t>
            </w:r>
            <w:r w:rsidR="00E15E1B">
              <w:t xml:space="preserve"> </w:t>
            </w:r>
            <w:r>
              <w:t>Initiative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115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121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121</w:t>
            </w:r>
          </w:p>
        </w:tc>
      </w:tr>
      <w:tr w:rsidR="00156239" w:rsidRPr="00F41A61" w:rsidTr="00104254">
        <w:trPr>
          <w:trHeight w:val="60"/>
        </w:trPr>
        <w:tc>
          <w:tcPr>
            <w:tcW w:w="674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Parties</w:t>
            </w:r>
            <w:r w:rsidR="00E15E1B">
              <w:t xml:space="preserve"> </w:t>
            </w:r>
            <w:r>
              <w:t>to</w:t>
            </w:r>
            <w:r w:rsidR="00E15E1B">
              <w:t xml:space="preserve"> </w:t>
            </w:r>
            <w:r>
              <w:t>criminal</w:t>
            </w:r>
            <w:r w:rsidR="00E15E1B">
              <w:t xml:space="preserve"> </w:t>
            </w:r>
            <w:r>
              <w:t>proceedings,</w:t>
            </w:r>
            <w:r w:rsidR="00E15E1B">
              <w:t xml:space="preserve"> </w:t>
            </w:r>
            <w:r>
              <w:t>appeals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rehearings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18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18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</w:t>
            </w:r>
          </w:p>
        </w:tc>
      </w:tr>
      <w:tr w:rsidR="00156239" w:rsidRPr="00F41A61" w:rsidTr="00104254">
        <w:trPr>
          <w:trHeight w:val="60"/>
        </w:trPr>
        <w:tc>
          <w:tcPr>
            <w:tcW w:w="674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Parties</w:t>
            </w:r>
            <w:r w:rsidR="00E15E1B">
              <w:t xml:space="preserve"> </w:t>
            </w:r>
            <w:r>
              <w:t>to</w:t>
            </w:r>
            <w:r w:rsidR="00E15E1B">
              <w:t xml:space="preserve"> </w:t>
            </w:r>
            <w:r>
              <w:t>civil</w:t>
            </w:r>
            <w:r w:rsidR="00E15E1B">
              <w:t xml:space="preserve"> </w:t>
            </w:r>
            <w:r>
              <w:t>proceedings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57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41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35</w:t>
            </w:r>
          </w:p>
        </w:tc>
      </w:tr>
      <w:tr w:rsidR="00156239" w:rsidRPr="00F41A61" w:rsidTr="00104254">
        <w:trPr>
          <w:trHeight w:val="60"/>
        </w:trPr>
        <w:tc>
          <w:tcPr>
            <w:tcW w:w="674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Parties</w:t>
            </w:r>
            <w:r w:rsidR="00E15E1B">
              <w:t xml:space="preserve"> </w:t>
            </w:r>
            <w:r>
              <w:t>signed</w:t>
            </w:r>
            <w:r w:rsidR="00E15E1B">
              <w:t xml:space="preserve"> </w:t>
            </w:r>
            <w:r>
              <w:t>to</w:t>
            </w:r>
            <w:r w:rsidR="00E15E1B">
              <w:t xml:space="preserve"> </w:t>
            </w:r>
            <w:r>
              <w:t>enforceable</w:t>
            </w:r>
            <w:r w:rsidR="00E15E1B">
              <w:t xml:space="preserve"> </w:t>
            </w:r>
            <w:r>
              <w:t>undertakings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11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22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4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Registration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licensing</w:t>
            </w:r>
          </w:p>
        </w:tc>
      </w:tr>
      <w:tr w:rsidR="00156239" w:rsidRPr="00F41A61" w:rsidTr="00104254">
        <w:trPr>
          <w:trHeight w:val="60"/>
        </w:trPr>
        <w:tc>
          <w:tcPr>
            <w:tcW w:w="674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Annual</w:t>
            </w:r>
            <w:r w:rsidR="00E15E1B">
              <w:t xml:space="preserve"> </w:t>
            </w:r>
            <w:r>
              <w:t>returns,</w:t>
            </w:r>
            <w:r w:rsidR="00E15E1B">
              <w:t xml:space="preserve"> </w:t>
            </w:r>
            <w:r>
              <w:t>updates</w:t>
            </w:r>
            <w:r w:rsidR="00E15E1B">
              <w:t xml:space="preserve"> </w:t>
            </w:r>
            <w:r>
              <w:t>or</w:t>
            </w:r>
            <w:r w:rsidR="00E15E1B">
              <w:t xml:space="preserve"> </w:t>
            </w:r>
            <w:r>
              <w:t>cancellations</w:t>
            </w:r>
            <w:r w:rsidR="00E15E1B">
              <w:t xml:space="preserve"> </w:t>
            </w:r>
            <w:r>
              <w:t>processed</w:t>
            </w:r>
            <w:r w:rsidR="00E15E1B">
              <w:t xml:space="preserve"> </w:t>
            </w:r>
            <w:r>
              <w:t>for</w:t>
            </w:r>
            <w:r w:rsidR="00E15E1B">
              <w:t xml:space="preserve"> </w:t>
            </w:r>
            <w:r>
              <w:t>incorporated</w:t>
            </w:r>
            <w:r w:rsidR="00E15E1B">
              <w:t xml:space="preserve"> </w:t>
            </w:r>
            <w:r>
              <w:t>associations,</w:t>
            </w:r>
            <w:r w:rsidR="00E15E1B">
              <w:t xml:space="preserve"> </w:t>
            </w:r>
            <w:r>
              <w:t>fundraisers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co-operatives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55,826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51,157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55,217</w:t>
            </w:r>
          </w:p>
        </w:tc>
      </w:tr>
      <w:tr w:rsidR="00156239" w:rsidRPr="00F41A61" w:rsidTr="00104254">
        <w:trPr>
          <w:trHeight w:val="60"/>
        </w:trPr>
        <w:tc>
          <w:tcPr>
            <w:tcW w:w="674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Total</w:t>
            </w:r>
            <w:r w:rsidR="00E15E1B">
              <w:t xml:space="preserve"> </w:t>
            </w:r>
            <w:r>
              <w:t>registration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licensing</w:t>
            </w:r>
            <w:r w:rsidR="00E15E1B">
              <w:t xml:space="preserve"> </w:t>
            </w:r>
            <w:r>
              <w:t>transactions</w:t>
            </w:r>
            <w:r>
              <w:rPr>
                <w:rStyle w:val="Superscript"/>
              </w:rPr>
              <w:t>4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88,221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84,154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93,186</w:t>
            </w:r>
          </w:p>
        </w:tc>
      </w:tr>
    </w:tbl>
    <w:p w:rsidR="00156239" w:rsidRDefault="00156239" w:rsidP="00156239">
      <w:pPr>
        <w:pStyle w:val="TableFootnote"/>
      </w:pPr>
      <w:r>
        <w:t>1</w:t>
      </w:r>
      <w:r>
        <w:tab/>
        <w:t>Data</w:t>
      </w:r>
      <w:r w:rsidR="00E15E1B">
        <w:t xml:space="preserve"> </w:t>
      </w:r>
      <w:r>
        <w:t>in</w:t>
      </w:r>
      <w:r w:rsidR="00E15E1B">
        <w:t xml:space="preserve"> </w:t>
      </w:r>
      <w:r>
        <w:t>Table</w:t>
      </w:r>
      <w:r w:rsidR="00E15E1B">
        <w:t xml:space="preserve"> </w:t>
      </w:r>
      <w:r>
        <w:t>2</w:t>
      </w:r>
      <w:r w:rsidR="00E15E1B">
        <w:t xml:space="preserve"> </w:t>
      </w:r>
      <w:r>
        <w:t>varies</w:t>
      </w:r>
      <w:r w:rsidR="00E15E1B">
        <w:t xml:space="preserve"> </w:t>
      </w:r>
      <w:r>
        <w:t>between</w:t>
      </w:r>
      <w:r w:rsidR="00E15E1B">
        <w:t xml:space="preserve"> </w:t>
      </w:r>
      <w:r>
        <w:t>years</w:t>
      </w:r>
      <w:r w:rsidR="00E15E1B">
        <w:t xml:space="preserve"> </w:t>
      </w:r>
      <w:r>
        <w:t>based</w:t>
      </w:r>
      <w:r w:rsidR="00E15E1B">
        <w:t xml:space="preserve"> </w:t>
      </w:r>
      <w:r>
        <w:t>on</w:t>
      </w:r>
      <w:r w:rsidR="00E15E1B">
        <w:t xml:space="preserve"> </w:t>
      </w:r>
      <w:r>
        <w:t>our</w:t>
      </w:r>
      <w:r w:rsidR="00E15E1B">
        <w:t xml:space="preserve"> </w:t>
      </w:r>
      <w:r>
        <w:t>regulatory</w:t>
      </w:r>
      <w:r w:rsidR="00E15E1B">
        <w:t xml:space="preserve"> </w:t>
      </w:r>
      <w:r>
        <w:t>risk</w:t>
      </w:r>
      <w:r w:rsidR="00E15E1B">
        <w:t xml:space="preserve"> </w:t>
      </w:r>
      <w:r>
        <w:t>priorities,</w:t>
      </w:r>
      <w:r w:rsidR="00E15E1B">
        <w:t xml:space="preserve"> </w:t>
      </w:r>
      <w:r>
        <w:t>government</w:t>
      </w:r>
      <w:r w:rsidR="00E15E1B">
        <w:t xml:space="preserve"> </w:t>
      </w:r>
      <w:r>
        <w:t>policy,</w:t>
      </w:r>
      <w:r w:rsidR="00E15E1B">
        <w:t xml:space="preserve"> </w:t>
      </w:r>
      <w:r>
        <w:t>the</w:t>
      </w:r>
      <w:r w:rsidR="00E15E1B">
        <w:t xml:space="preserve"> </w:t>
      </w:r>
      <w:r>
        <w:t>nature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compliance</w:t>
      </w:r>
      <w:r w:rsidR="00E15E1B">
        <w:t xml:space="preserve"> </w:t>
      </w:r>
      <w:r>
        <w:t>program</w:t>
      </w:r>
      <w:r w:rsidR="00E15E1B">
        <w:t xml:space="preserve"> </w:t>
      </w:r>
      <w:r>
        <w:t>and</w:t>
      </w:r>
      <w:r w:rsidR="00E15E1B">
        <w:t xml:space="preserve"> </w:t>
      </w:r>
      <w:r>
        <w:t>the</w:t>
      </w:r>
      <w:r w:rsidR="00E15E1B">
        <w:t xml:space="preserve"> </w:t>
      </w:r>
      <w:r>
        <w:t>cyclical</w:t>
      </w:r>
      <w:r w:rsidR="00E15E1B">
        <w:t xml:space="preserve"> </w:t>
      </w:r>
      <w:r>
        <w:t>nature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integrated</w:t>
      </w:r>
      <w:r w:rsidR="00E15E1B">
        <w:t xml:space="preserve"> </w:t>
      </w:r>
      <w:r>
        <w:t>compliance</w:t>
      </w:r>
      <w:r w:rsidR="00E15E1B">
        <w:t xml:space="preserve"> </w:t>
      </w:r>
      <w:r>
        <w:t>approach.</w:t>
      </w:r>
    </w:p>
    <w:p w:rsidR="00156239" w:rsidRDefault="00156239" w:rsidP="00156239">
      <w:pPr>
        <w:pStyle w:val="TableFootnote"/>
      </w:pPr>
      <w:r>
        <w:t>2</w:t>
      </w:r>
      <w:r>
        <w:tab/>
        <w:t>The</w:t>
      </w:r>
      <w:r w:rsidR="00E15E1B">
        <w:t xml:space="preserve"> </w:t>
      </w:r>
      <w:r>
        <w:t>increased</w:t>
      </w:r>
      <w:r w:rsidR="00E15E1B">
        <w:t xml:space="preserve"> </w:t>
      </w:r>
      <w:r>
        <w:t>complexity</w:t>
      </w:r>
      <w:r w:rsidR="00E15E1B">
        <w:t xml:space="preserve"> </w:t>
      </w:r>
      <w:r w:rsidR="00777C8E">
        <w:t>of</w:t>
      </w:r>
      <w:r w:rsidR="00E15E1B">
        <w:t xml:space="preserve"> </w:t>
      </w:r>
      <w:r w:rsidR="00777C8E">
        <w:t>investigations</w:t>
      </w:r>
      <w:r w:rsidR="00E15E1B">
        <w:t xml:space="preserve"> </w:t>
      </w:r>
      <w:r w:rsidR="00777C8E">
        <w:t>after</w:t>
      </w:r>
      <w:r w:rsidR="00E15E1B">
        <w:t xml:space="preserve"> </w:t>
      </w:r>
      <w:r w:rsidR="00777C8E">
        <w:t>2015–16</w:t>
      </w:r>
      <w:r>
        <w:t>,</w:t>
      </w:r>
      <w:r w:rsidR="00E15E1B">
        <w:t xml:space="preserve"> </w:t>
      </w:r>
      <w:r>
        <w:t>largely</w:t>
      </w:r>
      <w:r w:rsidR="00E15E1B">
        <w:t xml:space="preserve"> </w:t>
      </w:r>
      <w:r>
        <w:t>influenced</w:t>
      </w:r>
      <w:r w:rsidR="00E15E1B">
        <w:t xml:space="preserve"> </w:t>
      </w:r>
      <w:r>
        <w:t>by</w:t>
      </w:r>
      <w:r w:rsidR="00E15E1B">
        <w:t xml:space="preserve"> </w:t>
      </w:r>
      <w:r>
        <w:t>underquoting</w:t>
      </w:r>
      <w:r w:rsidR="00E15E1B">
        <w:t xml:space="preserve"> </w:t>
      </w:r>
      <w:r>
        <w:t>matters,</w:t>
      </w:r>
      <w:r w:rsidR="00E15E1B">
        <w:t xml:space="preserve"> </w:t>
      </w:r>
      <w:r>
        <w:t>resulted</w:t>
      </w:r>
      <w:r w:rsidR="00E15E1B">
        <w:t xml:space="preserve"> </w:t>
      </w:r>
      <w:r>
        <w:t>in</w:t>
      </w:r>
      <w:r w:rsidR="00E15E1B">
        <w:t xml:space="preserve"> </w:t>
      </w:r>
      <w:r>
        <w:t>lower</w:t>
      </w:r>
      <w:r w:rsidR="00E15E1B">
        <w:t xml:space="preserve"> </w:t>
      </w:r>
      <w:r>
        <w:t>volumes.</w:t>
      </w:r>
    </w:p>
    <w:p w:rsidR="00156239" w:rsidRDefault="00156239" w:rsidP="00156239">
      <w:pPr>
        <w:pStyle w:val="TableFootnote"/>
      </w:pPr>
      <w:r>
        <w:t>3</w:t>
      </w:r>
      <w:r>
        <w:tab/>
        <w:t>Market</w:t>
      </w:r>
      <w:r w:rsidR="00E15E1B">
        <w:t xml:space="preserve"> </w:t>
      </w:r>
      <w:r>
        <w:t>monitoring</w:t>
      </w:r>
      <w:r w:rsidR="00E15E1B">
        <w:t xml:space="preserve"> </w:t>
      </w:r>
      <w:r>
        <w:t>activity</w:t>
      </w:r>
      <w:r w:rsidR="00E15E1B">
        <w:t xml:space="preserve"> </w:t>
      </w:r>
      <w:r>
        <w:t>reduced</w:t>
      </w:r>
      <w:r w:rsidR="00E15E1B">
        <w:t xml:space="preserve"> </w:t>
      </w:r>
      <w:r>
        <w:t>after</w:t>
      </w:r>
      <w:r w:rsidR="00E15E1B">
        <w:t xml:space="preserve"> </w:t>
      </w:r>
      <w:r>
        <w:t>2015–16</w:t>
      </w:r>
      <w:r w:rsidR="00E15E1B">
        <w:t xml:space="preserve"> </w:t>
      </w:r>
      <w:r>
        <w:t>as</w:t>
      </w:r>
      <w:r w:rsidR="00E15E1B">
        <w:t xml:space="preserve"> </w:t>
      </w:r>
      <w:r>
        <w:t>a</w:t>
      </w:r>
      <w:r w:rsidR="00E15E1B">
        <w:t xml:space="preserve"> </w:t>
      </w:r>
      <w:r>
        <w:t>result</w:t>
      </w:r>
      <w:r w:rsidR="00E15E1B">
        <w:t xml:space="preserve"> </w:t>
      </w:r>
      <w:r>
        <w:t>of</w:t>
      </w:r>
      <w:r w:rsidR="00E15E1B">
        <w:t xml:space="preserve"> </w:t>
      </w:r>
      <w:r>
        <w:t>sufficient</w:t>
      </w:r>
      <w:r w:rsidR="00E15E1B">
        <w:t xml:space="preserve"> </w:t>
      </w:r>
      <w:r>
        <w:t>information</w:t>
      </w:r>
      <w:r w:rsidR="00E15E1B">
        <w:t xml:space="preserve"> </w:t>
      </w:r>
      <w:r>
        <w:t>being</w:t>
      </w:r>
      <w:r w:rsidR="00E15E1B">
        <w:t xml:space="preserve"> </w:t>
      </w:r>
      <w:r>
        <w:t>obtained</w:t>
      </w:r>
      <w:r w:rsidR="00E15E1B">
        <w:t xml:space="preserve"> </w:t>
      </w:r>
      <w:r>
        <w:t>to</w:t>
      </w:r>
      <w:r w:rsidR="00E15E1B">
        <w:t xml:space="preserve"> </w:t>
      </w:r>
      <w:r>
        <w:t>assure</w:t>
      </w:r>
      <w:r w:rsidR="00E15E1B">
        <w:t xml:space="preserve"> </w:t>
      </w:r>
      <w:r>
        <w:t>major</w:t>
      </w:r>
      <w:r w:rsidR="00E15E1B">
        <w:t xml:space="preserve"> </w:t>
      </w:r>
      <w:r>
        <w:t>investigations.</w:t>
      </w:r>
    </w:p>
    <w:p w:rsidR="00156239" w:rsidRDefault="00156239" w:rsidP="00156239">
      <w:pPr>
        <w:pStyle w:val="TableFootnote"/>
      </w:pPr>
      <w:r>
        <w:t>4</w:t>
      </w:r>
      <w:r>
        <w:tab/>
        <w:t>Registration</w:t>
      </w:r>
      <w:r w:rsidR="00E15E1B">
        <w:t xml:space="preserve"> </w:t>
      </w:r>
      <w:r>
        <w:t>activity</w:t>
      </w:r>
      <w:r w:rsidR="00E15E1B">
        <w:t xml:space="preserve"> </w:t>
      </w:r>
      <w:r>
        <w:t>and</w:t>
      </w:r>
      <w:r w:rsidR="00E15E1B">
        <w:t xml:space="preserve"> </w:t>
      </w:r>
      <w:r>
        <w:t>estate</w:t>
      </w:r>
      <w:r w:rsidR="00E15E1B">
        <w:t xml:space="preserve"> </w:t>
      </w:r>
      <w:r>
        <w:t>agent</w:t>
      </w:r>
      <w:r w:rsidR="00E15E1B">
        <w:t xml:space="preserve"> </w:t>
      </w:r>
      <w:r>
        <w:t>transactions</w:t>
      </w:r>
      <w:r w:rsidR="00E15E1B">
        <w:t xml:space="preserve"> </w:t>
      </w:r>
      <w:r>
        <w:t>have</w:t>
      </w:r>
      <w:r w:rsidR="00E15E1B">
        <w:t xml:space="preserve"> </w:t>
      </w:r>
      <w:r>
        <w:t>increased,</w:t>
      </w:r>
      <w:r w:rsidR="00E15E1B">
        <w:t xml:space="preserve"> </w:t>
      </w:r>
      <w:r>
        <w:t>in</w:t>
      </w:r>
      <w:r w:rsidR="00E15E1B">
        <w:t xml:space="preserve"> </w:t>
      </w:r>
      <w:r>
        <w:t>part</w:t>
      </w:r>
      <w:r w:rsidR="00E15E1B">
        <w:t xml:space="preserve"> </w:t>
      </w:r>
      <w:r>
        <w:t>as</w:t>
      </w:r>
      <w:r w:rsidR="00E15E1B">
        <w:t xml:space="preserve"> </w:t>
      </w:r>
      <w:r>
        <w:t>a</w:t>
      </w:r>
      <w:r w:rsidR="00E15E1B">
        <w:t xml:space="preserve"> </w:t>
      </w:r>
      <w:r>
        <w:t>result</w:t>
      </w:r>
      <w:r w:rsidR="00E15E1B">
        <w:t xml:space="preserve"> </w:t>
      </w:r>
      <w:r>
        <w:t>of</w:t>
      </w:r>
      <w:r w:rsidR="00E15E1B">
        <w:t xml:space="preserve"> </w:t>
      </w:r>
      <w:r>
        <w:t>making</w:t>
      </w:r>
      <w:r w:rsidR="00E15E1B">
        <w:t xml:space="preserve"> </w:t>
      </w:r>
      <w:r>
        <w:t>electronic</w:t>
      </w:r>
      <w:r w:rsidR="00E15E1B">
        <w:t xml:space="preserve"> </w:t>
      </w:r>
      <w:r>
        <w:t>transactions</w:t>
      </w:r>
      <w:r w:rsidR="00E15E1B">
        <w:t xml:space="preserve"> </w:t>
      </w:r>
      <w:r>
        <w:t>simpler</w:t>
      </w:r>
      <w:r w:rsidR="00E15E1B">
        <w:t xml:space="preserve"> </w:t>
      </w:r>
      <w:r>
        <w:t>through</w:t>
      </w:r>
      <w:r w:rsidR="00E15E1B">
        <w:t xml:space="preserve"> </w:t>
      </w:r>
      <w:r>
        <w:t>myCAV.</w:t>
      </w:r>
    </w:p>
    <w:p w:rsidR="00156239" w:rsidRDefault="00156239" w:rsidP="003A23B1">
      <w:pPr>
        <w:pStyle w:val="Heading4"/>
      </w:pPr>
      <w:r>
        <w:t>Making</w:t>
      </w:r>
      <w:r w:rsidR="00E15E1B">
        <w:t xml:space="preserve"> </w:t>
      </w:r>
      <w:r>
        <w:t>it</w:t>
      </w:r>
      <w:r w:rsidR="00E15E1B">
        <w:t xml:space="preserve"> </w:t>
      </w:r>
      <w:r>
        <w:t>easier</w:t>
      </w:r>
      <w:r w:rsidR="00E15E1B">
        <w:t xml:space="preserve"> </w:t>
      </w:r>
      <w:r>
        <w:t>to</w:t>
      </w:r>
      <w:r w:rsidR="00E15E1B">
        <w:t xml:space="preserve"> </w:t>
      </w:r>
      <w:r>
        <w:t>comply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are</w:t>
      </w:r>
      <w:r w:rsidR="00E15E1B">
        <w:t xml:space="preserve"> </w:t>
      </w:r>
      <w:r>
        <w:t>committed</w:t>
      </w:r>
      <w:r w:rsidR="00E15E1B">
        <w:t xml:space="preserve"> </w:t>
      </w:r>
      <w:r>
        <w:t>to</w:t>
      </w:r>
      <w:r w:rsidR="00E15E1B">
        <w:t xml:space="preserve"> </w:t>
      </w:r>
      <w:r>
        <w:t>making</w:t>
      </w:r>
      <w:r w:rsidR="00E15E1B">
        <w:t xml:space="preserve"> </w:t>
      </w:r>
      <w:r>
        <w:t>it</w:t>
      </w:r>
      <w:r w:rsidR="00E15E1B">
        <w:t xml:space="preserve"> </w:t>
      </w:r>
      <w:r>
        <w:t>easier</w:t>
      </w:r>
      <w:r w:rsidR="00E15E1B">
        <w:t xml:space="preserve"> </w:t>
      </w:r>
      <w:r>
        <w:t>for</w:t>
      </w:r>
      <w:r w:rsidR="00E15E1B">
        <w:t xml:space="preserve"> </w:t>
      </w:r>
      <w:r>
        <w:t>Victorian</w:t>
      </w:r>
      <w:r w:rsidR="00E15E1B">
        <w:t xml:space="preserve"> </w:t>
      </w:r>
      <w:r>
        <w:t>businesses</w:t>
      </w:r>
      <w:r w:rsidR="00E15E1B">
        <w:t xml:space="preserve"> </w:t>
      </w:r>
      <w:r>
        <w:t>to</w:t>
      </w:r>
      <w:r w:rsidR="00E15E1B">
        <w:t xml:space="preserve"> </w:t>
      </w:r>
      <w:r>
        <w:t>interact</w:t>
      </w:r>
      <w:r w:rsidR="00E15E1B">
        <w:t xml:space="preserve"> </w:t>
      </w:r>
      <w:r>
        <w:t>with</w:t>
      </w:r>
      <w:r w:rsidR="00E15E1B">
        <w:t xml:space="preserve"> </w:t>
      </w:r>
      <w:r>
        <w:t>us,</w:t>
      </w:r>
      <w:r w:rsidR="00E15E1B">
        <w:t xml:space="preserve"> </w:t>
      </w:r>
      <w:r>
        <w:t>comply</w:t>
      </w:r>
      <w:r w:rsidR="00E15E1B">
        <w:t xml:space="preserve"> </w:t>
      </w:r>
      <w:r>
        <w:t>with</w:t>
      </w:r>
      <w:r w:rsidR="00E15E1B">
        <w:t xml:space="preserve"> </w:t>
      </w:r>
      <w:r>
        <w:t>laws</w:t>
      </w:r>
      <w:r w:rsidR="00E15E1B">
        <w:t xml:space="preserve"> </w:t>
      </w:r>
      <w:r>
        <w:t>and</w:t>
      </w:r>
      <w:r w:rsidR="00E15E1B">
        <w:t xml:space="preserve"> </w:t>
      </w:r>
      <w:r>
        <w:t>not</w:t>
      </w:r>
      <w:r w:rsidR="00E15E1B">
        <w:t xml:space="preserve"> </w:t>
      </w:r>
      <w:r>
        <w:t>be</w:t>
      </w:r>
      <w:r w:rsidR="00E15E1B">
        <w:t xml:space="preserve"> </w:t>
      </w:r>
      <w:r>
        <w:t>burdened</w:t>
      </w:r>
      <w:r w:rsidR="00E15E1B">
        <w:t xml:space="preserve"> </w:t>
      </w:r>
      <w:r>
        <w:t>with</w:t>
      </w:r>
      <w:r w:rsidR="00E15E1B">
        <w:t xml:space="preserve"> </w:t>
      </w:r>
      <w:r>
        <w:t>unnecessary</w:t>
      </w:r>
      <w:r w:rsidR="00E15E1B">
        <w:t xml:space="preserve"> </w:t>
      </w:r>
      <w:r>
        <w:t>red</w:t>
      </w:r>
      <w:r w:rsidR="00E15E1B">
        <w:t xml:space="preserve"> </w:t>
      </w:r>
      <w:r>
        <w:t>tape.</w:t>
      </w:r>
    </w:p>
    <w:p w:rsidR="00156239" w:rsidRDefault="00156239" w:rsidP="00156239">
      <w:pPr>
        <w:pStyle w:val="BodyText"/>
      </w:pPr>
      <w:r>
        <w:t>Following</w:t>
      </w:r>
      <w:r w:rsidR="00E15E1B">
        <w:t xml:space="preserve"> </w:t>
      </w:r>
      <w:r>
        <w:t>the</w:t>
      </w:r>
      <w:r w:rsidR="00E15E1B">
        <w:t xml:space="preserve"> </w:t>
      </w:r>
      <w:r>
        <w:t>successful</w:t>
      </w:r>
      <w:r w:rsidR="00E15E1B">
        <w:t xml:space="preserve"> </w:t>
      </w:r>
      <w:r>
        <w:t>implementation</w:t>
      </w:r>
      <w:r w:rsidR="00E15E1B">
        <w:t xml:space="preserve"> </w:t>
      </w:r>
      <w:r>
        <w:t>of</w:t>
      </w:r>
      <w:r w:rsidR="00E15E1B">
        <w:t xml:space="preserve"> </w:t>
      </w:r>
      <w:r>
        <w:t>myCAV,</w:t>
      </w:r>
      <w:r w:rsidR="00E15E1B">
        <w:t xml:space="preserve"> </w:t>
      </w:r>
      <w:r>
        <w:t>which</w:t>
      </w:r>
      <w:r w:rsidR="00E15E1B">
        <w:t xml:space="preserve"> </w:t>
      </w:r>
      <w:r>
        <w:t>enables</w:t>
      </w:r>
      <w:r w:rsidR="00E15E1B">
        <w:t xml:space="preserve"> </w:t>
      </w:r>
      <w:r>
        <w:t>incorporated</w:t>
      </w:r>
      <w:r w:rsidR="00E15E1B">
        <w:t xml:space="preserve"> </w:t>
      </w:r>
      <w:r>
        <w:t>associations</w:t>
      </w:r>
      <w:r w:rsidR="00E15E1B">
        <w:t xml:space="preserve"> </w:t>
      </w:r>
      <w:r>
        <w:t>to</w:t>
      </w:r>
      <w:r w:rsidR="00E15E1B">
        <w:t xml:space="preserve"> </w:t>
      </w:r>
      <w:r>
        <w:t>manage</w:t>
      </w:r>
      <w:r w:rsidR="00E15E1B">
        <w:t xml:space="preserve"> </w:t>
      </w:r>
      <w:r>
        <w:t>their</w:t>
      </w:r>
      <w:r w:rsidR="00E15E1B">
        <w:t xml:space="preserve"> </w:t>
      </w:r>
      <w:r>
        <w:t>responsibilities</w:t>
      </w:r>
      <w:r w:rsidR="00E15E1B">
        <w:t xml:space="preserve"> </w:t>
      </w:r>
      <w:r>
        <w:t>online,</w:t>
      </w:r>
      <w:r w:rsidR="00E15E1B">
        <w:t xml:space="preserve"> </w:t>
      </w:r>
      <w:r>
        <w:t>we</w:t>
      </w:r>
      <w:r w:rsidR="00E15E1B">
        <w:t xml:space="preserve"> </w:t>
      </w:r>
      <w:r>
        <w:t>are</w:t>
      </w:r>
      <w:r w:rsidR="00E15E1B">
        <w:t xml:space="preserve"> </w:t>
      </w:r>
      <w:r>
        <w:t>creating</w:t>
      </w:r>
      <w:r w:rsidR="00E15E1B">
        <w:t xml:space="preserve"> </w:t>
      </w:r>
      <w:r>
        <w:t>a</w:t>
      </w:r>
      <w:r w:rsidR="00E15E1B">
        <w:t xml:space="preserve"> </w:t>
      </w:r>
      <w:r>
        <w:t>single,</w:t>
      </w:r>
      <w:r w:rsidR="00E15E1B">
        <w:t xml:space="preserve"> </w:t>
      </w:r>
      <w:r>
        <w:t>modern</w:t>
      </w:r>
      <w:r w:rsidR="00E15E1B">
        <w:t xml:space="preserve"> </w:t>
      </w:r>
      <w:r>
        <w:t>information</w:t>
      </w:r>
      <w:r w:rsidR="00E15E1B">
        <w:t xml:space="preserve"> </w:t>
      </w:r>
      <w:r>
        <w:t>technology</w:t>
      </w:r>
      <w:r w:rsidR="00E15E1B">
        <w:t xml:space="preserve"> </w:t>
      </w:r>
      <w:r>
        <w:t>system</w:t>
      </w:r>
      <w:r w:rsidR="00E15E1B">
        <w:t xml:space="preserve"> </w:t>
      </w:r>
      <w:r>
        <w:t>to</w:t>
      </w:r>
      <w:r w:rsidR="00E15E1B">
        <w:t xml:space="preserve"> </w:t>
      </w:r>
      <w:r>
        <w:t>support</w:t>
      </w:r>
      <w:r w:rsidR="00E15E1B">
        <w:t xml:space="preserve"> </w:t>
      </w:r>
      <w:r>
        <w:t>all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regulatory</w:t>
      </w:r>
      <w:r w:rsidR="00E15E1B">
        <w:t xml:space="preserve"> </w:t>
      </w:r>
      <w:r>
        <w:t>functions</w:t>
      </w:r>
      <w:r w:rsidR="00E15E1B">
        <w:t xml:space="preserve"> </w:t>
      </w:r>
      <w:r>
        <w:t>and</w:t>
      </w:r>
      <w:r w:rsidR="00E15E1B">
        <w:t xml:space="preserve"> </w:t>
      </w:r>
      <w:r>
        <w:t>the</w:t>
      </w:r>
      <w:r w:rsidR="00E15E1B">
        <w:t xml:space="preserve"> </w:t>
      </w:r>
      <w:r>
        <w:t>function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Business</w:t>
      </w:r>
      <w:r w:rsidR="00E15E1B">
        <w:t xml:space="preserve"> </w:t>
      </w:r>
      <w:r>
        <w:t>Licensing</w:t>
      </w:r>
      <w:r w:rsidR="00E15E1B">
        <w:t xml:space="preserve"> </w:t>
      </w:r>
      <w:r>
        <w:t>Authority.</w:t>
      </w:r>
      <w:r w:rsidR="00E15E1B">
        <w:t xml:space="preserve"> </w:t>
      </w:r>
      <w:r>
        <w:t>The</w:t>
      </w:r>
      <w:r w:rsidR="00E15E1B">
        <w:t xml:space="preserve"> </w:t>
      </w:r>
      <w:r>
        <w:t>rooming</w:t>
      </w:r>
      <w:r w:rsidR="00E15E1B">
        <w:t xml:space="preserve"> </w:t>
      </w:r>
      <w:r>
        <w:t>house</w:t>
      </w:r>
      <w:r w:rsidR="00E15E1B">
        <w:t xml:space="preserve"> </w:t>
      </w:r>
      <w:r>
        <w:t>operator</w:t>
      </w:r>
      <w:r w:rsidR="00E15E1B">
        <w:t xml:space="preserve"> </w:t>
      </w:r>
      <w:r>
        <w:t>licensing</w:t>
      </w:r>
      <w:r w:rsidR="00E15E1B">
        <w:t xml:space="preserve"> </w:t>
      </w:r>
      <w:r>
        <w:t>scheme</w:t>
      </w:r>
      <w:r w:rsidR="00E15E1B">
        <w:t xml:space="preserve"> </w:t>
      </w:r>
      <w:r>
        <w:t>commenced</w:t>
      </w:r>
      <w:r w:rsidR="00E15E1B">
        <w:t xml:space="preserve"> </w:t>
      </w:r>
      <w:r>
        <w:t>on</w:t>
      </w:r>
      <w:r w:rsidR="00E15E1B">
        <w:t xml:space="preserve"> </w:t>
      </w:r>
      <w:r>
        <w:t>myCAV</w:t>
      </w:r>
      <w:r w:rsidR="00E15E1B">
        <w:t xml:space="preserve"> </w:t>
      </w:r>
      <w:r>
        <w:t>in</w:t>
      </w:r>
      <w:r w:rsidR="00E15E1B">
        <w:t xml:space="preserve"> </w:t>
      </w:r>
      <w:r>
        <w:t>April</w:t>
      </w:r>
      <w:r w:rsidR="00E15E1B">
        <w:t xml:space="preserve"> </w:t>
      </w:r>
      <w:r>
        <w:t>2017,</w:t>
      </w:r>
      <w:r w:rsidR="00E15E1B">
        <w:t xml:space="preserve"> </w:t>
      </w:r>
      <w:r>
        <w:t>and</w:t>
      </w:r>
      <w:r w:rsidR="00E15E1B">
        <w:t xml:space="preserve"> </w:t>
      </w:r>
      <w:r>
        <w:t>the</w:t>
      </w:r>
      <w:r w:rsidR="00E15E1B">
        <w:t xml:space="preserve"> </w:t>
      </w:r>
      <w:r>
        <w:t>system</w:t>
      </w:r>
      <w:r w:rsidR="00E15E1B">
        <w:t xml:space="preserve"> </w:t>
      </w:r>
      <w:r>
        <w:t>was</w:t>
      </w:r>
      <w:r w:rsidR="00E15E1B">
        <w:t xml:space="preserve"> </w:t>
      </w:r>
      <w:r>
        <w:t>further</w:t>
      </w:r>
      <w:r w:rsidR="00E15E1B">
        <w:t xml:space="preserve"> </w:t>
      </w:r>
      <w:r>
        <w:t>expanded</w:t>
      </w:r>
      <w:r w:rsidR="00E15E1B">
        <w:t xml:space="preserve"> </w:t>
      </w:r>
      <w:r>
        <w:t>this</w:t>
      </w:r>
      <w:r w:rsidR="00E15E1B">
        <w:t xml:space="preserve"> </w:t>
      </w:r>
      <w:r>
        <w:t>financial</w:t>
      </w:r>
      <w:r w:rsidR="00E15E1B">
        <w:t xml:space="preserve"> </w:t>
      </w:r>
      <w:r>
        <w:t>year</w:t>
      </w:r>
      <w:r w:rsidR="00E15E1B">
        <w:t xml:space="preserve"> </w:t>
      </w:r>
      <w:r>
        <w:t>for</w:t>
      </w:r>
      <w:r w:rsidR="00E15E1B">
        <w:t xml:space="preserve"> </w:t>
      </w:r>
      <w:r>
        <w:t>estate</w:t>
      </w:r>
      <w:r w:rsidR="00E15E1B">
        <w:t xml:space="preserve"> </w:t>
      </w:r>
      <w:r>
        <w:t>agents.</w:t>
      </w:r>
    </w:p>
    <w:p w:rsidR="00156239" w:rsidRDefault="00156239" w:rsidP="00156239">
      <w:pPr>
        <w:pStyle w:val="BodyText"/>
      </w:pPr>
      <w:r>
        <w:t>myCAV</w:t>
      </w:r>
      <w:r w:rsidR="00E15E1B">
        <w:t xml:space="preserve"> </w:t>
      </w:r>
      <w:r>
        <w:t>is</w:t>
      </w:r>
      <w:r w:rsidR="00E15E1B">
        <w:t xml:space="preserve"> </w:t>
      </w:r>
      <w:r>
        <w:t>being</w:t>
      </w:r>
      <w:r w:rsidR="00E15E1B">
        <w:t xml:space="preserve"> </w:t>
      </w:r>
      <w:r>
        <w:t>used</w:t>
      </w:r>
      <w:r w:rsidR="00E15E1B">
        <w:t xml:space="preserve"> </w:t>
      </w:r>
      <w:r>
        <w:t>extensively</w:t>
      </w:r>
      <w:r w:rsidR="00E15E1B">
        <w:t xml:space="preserve"> </w:t>
      </w:r>
      <w:r>
        <w:t>by</w:t>
      </w:r>
      <w:r w:rsidR="00E15E1B">
        <w:t xml:space="preserve"> </w:t>
      </w:r>
      <w:r>
        <w:t>incorporated</w:t>
      </w:r>
      <w:r w:rsidR="00E15E1B">
        <w:t xml:space="preserve"> </w:t>
      </w:r>
      <w:r>
        <w:t>associations: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6,500</w:t>
      </w:r>
      <w:r w:rsidR="00E15E1B">
        <w:t xml:space="preserve"> </w:t>
      </w:r>
      <w:r>
        <w:t>new</w:t>
      </w:r>
      <w:r w:rsidR="00E15E1B">
        <w:t xml:space="preserve"> </w:t>
      </w:r>
      <w:r>
        <w:t>incorporated</w:t>
      </w:r>
      <w:r w:rsidR="00E15E1B">
        <w:t xml:space="preserve"> </w:t>
      </w:r>
      <w:r>
        <w:t>associations</w:t>
      </w:r>
      <w:r w:rsidR="00E15E1B">
        <w:t xml:space="preserve"> </w:t>
      </w:r>
      <w:r>
        <w:t>have</w:t>
      </w:r>
      <w:r w:rsidR="00E15E1B">
        <w:t xml:space="preserve"> </w:t>
      </w:r>
      <w:r>
        <w:t>registered</w:t>
      </w:r>
      <w:r w:rsidR="00E15E1B">
        <w:t xml:space="preserve"> </w:t>
      </w:r>
      <w:r>
        <w:t>since</w:t>
      </w:r>
      <w:r w:rsidR="00E15E1B">
        <w:t xml:space="preserve"> </w:t>
      </w:r>
      <w:r>
        <w:t>it</w:t>
      </w:r>
      <w:r w:rsidR="00E15E1B">
        <w:t xml:space="preserve"> </w:t>
      </w:r>
      <w:r>
        <w:t>launched</w:t>
      </w:r>
      <w:r w:rsidR="00E15E1B">
        <w:t xml:space="preserve"> </w:t>
      </w:r>
      <w:r>
        <w:t>in</w:t>
      </w:r>
      <w:r w:rsidR="00E15E1B">
        <w:t xml:space="preserve"> </w:t>
      </w:r>
      <w:r>
        <w:t>March</w:t>
      </w:r>
      <w:r w:rsidR="00E15E1B">
        <w:t xml:space="preserve"> </w:t>
      </w:r>
      <w:r>
        <w:t>2015,</w:t>
      </w:r>
      <w:r w:rsidR="00E15E1B">
        <w:t xml:space="preserve"> </w:t>
      </w:r>
      <w:r>
        <w:t>and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290,000</w:t>
      </w:r>
      <w:r w:rsidR="00E15E1B">
        <w:t xml:space="preserve"> </w:t>
      </w:r>
      <w:r>
        <w:t>transactions</w:t>
      </w:r>
      <w:r w:rsidR="00E15E1B">
        <w:t xml:space="preserve"> </w:t>
      </w:r>
      <w:r>
        <w:t>have</w:t>
      </w:r>
      <w:r w:rsidR="00E15E1B">
        <w:t xml:space="preserve"> </w:t>
      </w:r>
      <w:r>
        <w:t>been</w:t>
      </w:r>
      <w:r w:rsidR="00E15E1B">
        <w:t xml:space="preserve"> </w:t>
      </w:r>
      <w:r>
        <w:t>processed.</w:t>
      </w:r>
      <w:r w:rsidR="00E15E1B">
        <w:t xml:space="preserve"> </w:t>
      </w:r>
      <w:r>
        <w:t>Similarly,</w:t>
      </w:r>
      <w:r w:rsidR="00E15E1B">
        <w:t xml:space="preserve"> </w:t>
      </w:r>
      <w:r>
        <w:t>myCAV</w:t>
      </w:r>
      <w:r w:rsidR="00E15E1B">
        <w:t xml:space="preserve"> </w:t>
      </w:r>
      <w:r>
        <w:t>has</w:t>
      </w:r>
      <w:r w:rsidR="00E15E1B">
        <w:t xml:space="preserve"> </w:t>
      </w:r>
      <w:r>
        <w:t>been</w:t>
      </w:r>
      <w:r w:rsidR="00E15E1B">
        <w:t xml:space="preserve"> </w:t>
      </w:r>
      <w:r>
        <w:t>widely</w:t>
      </w:r>
      <w:r w:rsidR="00E15E1B">
        <w:t xml:space="preserve"> </w:t>
      </w:r>
      <w:r>
        <w:t>accepted</w:t>
      </w:r>
      <w:r w:rsidR="00E15E1B">
        <w:t xml:space="preserve"> </w:t>
      </w:r>
      <w:r>
        <w:t>by</w:t>
      </w:r>
      <w:r w:rsidR="00E15E1B">
        <w:t xml:space="preserve"> </w:t>
      </w:r>
      <w:r>
        <w:t>estate</w:t>
      </w:r>
      <w:r w:rsidR="00E15E1B">
        <w:t xml:space="preserve"> </w:t>
      </w:r>
      <w:r>
        <w:t>agents</w:t>
      </w:r>
      <w:r w:rsidR="00E15E1B">
        <w:t xml:space="preserve"> </w:t>
      </w:r>
      <w:r>
        <w:t>and</w:t>
      </w:r>
      <w:r w:rsidR="00E15E1B">
        <w:t xml:space="preserve"> </w:t>
      </w:r>
      <w:r>
        <w:t>rooming</w:t>
      </w:r>
      <w:r w:rsidR="00E15E1B">
        <w:t xml:space="preserve"> </w:t>
      </w:r>
      <w:r>
        <w:t>house</w:t>
      </w:r>
      <w:r w:rsidR="00E15E1B">
        <w:t xml:space="preserve"> </w:t>
      </w:r>
      <w:r>
        <w:t>operators,</w:t>
      </w:r>
      <w:r w:rsidR="00E15E1B">
        <w:t xml:space="preserve"> </w:t>
      </w:r>
      <w:r>
        <w:t>with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32,500</w:t>
      </w:r>
      <w:r w:rsidR="00E15E1B">
        <w:t xml:space="preserve"> </w:t>
      </w:r>
      <w:r>
        <w:t>transactions</w:t>
      </w:r>
      <w:r w:rsidR="00E15E1B">
        <w:t xml:space="preserve"> </w:t>
      </w:r>
      <w:r>
        <w:t>processed</w:t>
      </w:r>
      <w:r w:rsidR="00E15E1B">
        <w:t xml:space="preserve"> </w:t>
      </w:r>
      <w:r>
        <w:t>since</w:t>
      </w:r>
      <w:r w:rsidR="00E15E1B">
        <w:t xml:space="preserve"> </w:t>
      </w:r>
      <w:r>
        <w:t>its</w:t>
      </w:r>
      <w:r w:rsidR="00E15E1B">
        <w:t xml:space="preserve"> </w:t>
      </w:r>
      <w:r>
        <w:t>launch</w:t>
      </w:r>
      <w:r w:rsidR="00E15E1B">
        <w:t xml:space="preserve"> </w:t>
      </w:r>
      <w:r>
        <w:t>to</w:t>
      </w:r>
      <w:r w:rsidR="00E15E1B">
        <w:t xml:space="preserve"> </w:t>
      </w:r>
      <w:r>
        <w:t>these</w:t>
      </w:r>
      <w:r w:rsidR="00E15E1B">
        <w:t xml:space="preserve"> </w:t>
      </w:r>
      <w:r>
        <w:t>groups.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charitable</w:t>
      </w:r>
      <w:r w:rsidR="00E15E1B">
        <w:t xml:space="preserve"> </w:t>
      </w:r>
      <w:r>
        <w:t>and</w:t>
      </w:r>
      <w:r w:rsidR="00E15E1B">
        <w:t xml:space="preserve"> </w:t>
      </w:r>
      <w:r>
        <w:t>not-for-profit</w:t>
      </w:r>
      <w:r w:rsidR="00E15E1B">
        <w:t xml:space="preserve"> </w:t>
      </w:r>
      <w:r>
        <w:t>sector</w:t>
      </w:r>
      <w:r w:rsidR="00E15E1B">
        <w:t xml:space="preserve"> </w:t>
      </w:r>
      <w:r>
        <w:t>provides</w:t>
      </w:r>
      <w:r w:rsidR="00E15E1B">
        <w:t xml:space="preserve"> </w:t>
      </w:r>
      <w:r>
        <w:t>a</w:t>
      </w:r>
      <w:r w:rsidR="00E15E1B">
        <w:t xml:space="preserve"> </w:t>
      </w:r>
      <w:r>
        <w:t>vital</w:t>
      </w:r>
      <w:r w:rsidR="00E15E1B">
        <w:t xml:space="preserve"> </w:t>
      </w:r>
      <w:r>
        <w:t>social</w:t>
      </w:r>
      <w:r w:rsidR="00E15E1B">
        <w:t xml:space="preserve"> </w:t>
      </w:r>
      <w:r>
        <w:t>and</w:t>
      </w:r>
      <w:r w:rsidR="00E15E1B">
        <w:t xml:space="preserve"> </w:t>
      </w:r>
      <w:r>
        <w:t>economic</w:t>
      </w:r>
      <w:r w:rsidR="00E15E1B">
        <w:t xml:space="preserve"> </w:t>
      </w:r>
      <w:r>
        <w:t>contribution</w:t>
      </w:r>
      <w:r w:rsidR="00E15E1B">
        <w:t xml:space="preserve"> </w:t>
      </w:r>
      <w:r>
        <w:t>to</w:t>
      </w:r>
      <w:r w:rsidR="00E15E1B">
        <w:t xml:space="preserve"> </w:t>
      </w:r>
      <w:r>
        <w:t>Victoria.</w:t>
      </w:r>
      <w:r w:rsidR="00E15E1B">
        <w:t xml:space="preserve"> </w:t>
      </w:r>
      <w:r>
        <w:t>We</w:t>
      </w:r>
      <w:r w:rsidR="00E15E1B">
        <w:t xml:space="preserve"> </w:t>
      </w:r>
      <w:r>
        <w:t>are</w:t>
      </w:r>
      <w:r w:rsidR="00E15E1B">
        <w:t xml:space="preserve"> </w:t>
      </w:r>
      <w:r>
        <w:t>committed</w:t>
      </w:r>
      <w:r w:rsidR="00E15E1B">
        <w:t xml:space="preserve"> </w:t>
      </w:r>
      <w:r>
        <w:t>to</w:t>
      </w:r>
      <w:r w:rsidR="00E15E1B">
        <w:t xml:space="preserve"> </w:t>
      </w:r>
      <w:r>
        <w:t>identifying</w:t>
      </w:r>
      <w:r w:rsidR="00E15E1B">
        <w:t xml:space="preserve"> </w:t>
      </w:r>
      <w:r>
        <w:t>opportunities</w:t>
      </w:r>
      <w:r w:rsidR="00E15E1B">
        <w:t xml:space="preserve"> </w:t>
      </w:r>
      <w:r>
        <w:t>to</w:t>
      </w:r>
      <w:r w:rsidR="00E15E1B">
        <w:t xml:space="preserve"> </w:t>
      </w:r>
      <w:r>
        <w:t>reduce</w:t>
      </w:r>
      <w:r w:rsidR="00E15E1B">
        <w:t xml:space="preserve"> </w:t>
      </w:r>
      <w:r>
        <w:t>unnecessary</w:t>
      </w:r>
      <w:r w:rsidR="00E15E1B">
        <w:t xml:space="preserve"> </w:t>
      </w:r>
      <w:r>
        <w:t>red</w:t>
      </w:r>
      <w:r w:rsidR="00E15E1B">
        <w:t xml:space="preserve"> </w:t>
      </w:r>
      <w:r>
        <w:t>tape</w:t>
      </w:r>
      <w:r w:rsidR="00E15E1B">
        <w:t xml:space="preserve"> </w:t>
      </w:r>
      <w:r>
        <w:t>so</w:t>
      </w:r>
      <w:r w:rsidR="00E15E1B">
        <w:t xml:space="preserve"> </w:t>
      </w:r>
      <w:r>
        <w:t>that</w:t>
      </w:r>
      <w:r w:rsidR="00E15E1B">
        <w:t xml:space="preserve"> </w:t>
      </w:r>
      <w:r>
        <w:t>charities</w:t>
      </w:r>
      <w:r w:rsidR="00E15E1B">
        <w:t xml:space="preserve"> </w:t>
      </w:r>
      <w:r>
        <w:t>and</w:t>
      </w:r>
      <w:r w:rsidR="00E15E1B">
        <w:t xml:space="preserve"> </w:t>
      </w:r>
      <w:r>
        <w:t>not-for-profits</w:t>
      </w:r>
      <w:r w:rsidR="00E15E1B">
        <w:t xml:space="preserve"> </w:t>
      </w:r>
      <w:r>
        <w:t>can</w:t>
      </w:r>
      <w:r w:rsidR="00E15E1B">
        <w:t xml:space="preserve"> </w:t>
      </w:r>
      <w:r>
        <w:t>focus</w:t>
      </w:r>
      <w:r w:rsidR="00E15E1B">
        <w:t xml:space="preserve"> </w:t>
      </w:r>
      <w:r>
        <w:t>their</w:t>
      </w:r>
      <w:r w:rsidR="00E15E1B">
        <w:t xml:space="preserve"> </w:t>
      </w:r>
      <w:r>
        <w:t>time</w:t>
      </w:r>
      <w:r w:rsidR="00E15E1B">
        <w:t xml:space="preserve"> </w:t>
      </w:r>
      <w:r>
        <w:t>and</w:t>
      </w:r>
      <w:r w:rsidR="00E15E1B">
        <w:t xml:space="preserve"> </w:t>
      </w:r>
      <w:r>
        <w:t>resources</w:t>
      </w:r>
      <w:r w:rsidR="00E15E1B">
        <w:t xml:space="preserve"> </w:t>
      </w:r>
      <w:r>
        <w:t>on</w:t>
      </w:r>
      <w:r w:rsidR="00E15E1B">
        <w:t xml:space="preserve"> </w:t>
      </w:r>
      <w:r>
        <w:t>fulfilling</w:t>
      </w:r>
      <w:r w:rsidR="00E15E1B">
        <w:t xml:space="preserve"> </w:t>
      </w:r>
      <w:r>
        <w:t>their</w:t>
      </w:r>
      <w:r w:rsidR="00E15E1B">
        <w:t xml:space="preserve"> </w:t>
      </w:r>
      <w:r>
        <w:t>community</w:t>
      </w:r>
      <w:r w:rsidR="00E15E1B">
        <w:t xml:space="preserve"> </w:t>
      </w:r>
      <w:r>
        <w:t>and</w:t>
      </w:r>
      <w:r w:rsidR="00E15E1B">
        <w:t xml:space="preserve"> </w:t>
      </w:r>
      <w:r>
        <w:t>social</w:t>
      </w:r>
      <w:r w:rsidR="00E15E1B">
        <w:t xml:space="preserve"> </w:t>
      </w:r>
      <w:r>
        <w:t>purposes.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introduced</w:t>
      </w:r>
      <w:r w:rsidR="00E15E1B">
        <w:t xml:space="preserve"> </w:t>
      </w:r>
      <w:r>
        <w:t>new</w:t>
      </w:r>
      <w:r w:rsidR="00E15E1B">
        <w:t xml:space="preserve"> </w:t>
      </w:r>
      <w:r>
        <w:t>legislation</w:t>
      </w:r>
      <w:r w:rsidR="00E15E1B">
        <w:t xml:space="preserve"> </w:t>
      </w:r>
      <w:r>
        <w:t>enabling</w:t>
      </w:r>
      <w:r w:rsidR="00E15E1B">
        <w:t xml:space="preserve"> </w:t>
      </w:r>
      <w:r>
        <w:t>the</w:t>
      </w:r>
      <w:r w:rsidR="00E15E1B">
        <w:t xml:space="preserve"> </w:t>
      </w:r>
      <w:r>
        <w:t>Minister</w:t>
      </w:r>
      <w:r w:rsidR="00E15E1B">
        <w:t xml:space="preserve"> </w:t>
      </w:r>
      <w:r>
        <w:t>for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to</w:t>
      </w:r>
      <w:r w:rsidR="00E15E1B">
        <w:t xml:space="preserve"> </w:t>
      </w:r>
      <w:r>
        <w:t>exempt</w:t>
      </w:r>
      <w:r w:rsidR="00E15E1B">
        <w:t xml:space="preserve"> </w:t>
      </w:r>
      <w:r>
        <w:t>incorporated</w:t>
      </w:r>
      <w:r w:rsidR="00E15E1B">
        <w:t xml:space="preserve"> </w:t>
      </w:r>
      <w:r>
        <w:t>associations</w:t>
      </w:r>
      <w:r w:rsidR="00E15E1B">
        <w:t xml:space="preserve"> </w:t>
      </w:r>
      <w:r>
        <w:t>or</w:t>
      </w:r>
      <w:r w:rsidR="00E15E1B">
        <w:t xml:space="preserve"> </w:t>
      </w:r>
      <w:r>
        <w:t>a</w:t>
      </w:r>
      <w:r w:rsidR="00E15E1B">
        <w:t xml:space="preserve"> </w:t>
      </w:r>
      <w:r>
        <w:t>class</w:t>
      </w:r>
      <w:r w:rsidR="00E15E1B">
        <w:t xml:space="preserve"> </w:t>
      </w:r>
      <w:r>
        <w:t>of</w:t>
      </w:r>
      <w:r w:rsidR="00E15E1B">
        <w:t xml:space="preserve"> </w:t>
      </w:r>
      <w:r>
        <w:t>associations</w:t>
      </w:r>
      <w:r w:rsidR="00E15E1B">
        <w:t xml:space="preserve"> </w:t>
      </w:r>
      <w:r>
        <w:t>from</w:t>
      </w:r>
      <w:r w:rsidR="00E15E1B">
        <w:t xml:space="preserve"> </w:t>
      </w:r>
      <w:r>
        <w:t>annual</w:t>
      </w:r>
      <w:r w:rsidR="00E15E1B">
        <w:t xml:space="preserve"> </w:t>
      </w:r>
      <w:r>
        <w:t>financial</w:t>
      </w:r>
      <w:r w:rsidR="00E15E1B">
        <w:t xml:space="preserve"> </w:t>
      </w:r>
      <w:r>
        <w:t>reporting</w:t>
      </w:r>
      <w:r w:rsidR="00E15E1B">
        <w:t xml:space="preserve"> </w:t>
      </w:r>
      <w:r>
        <w:t>requirements</w:t>
      </w:r>
      <w:r w:rsidR="00E15E1B">
        <w:t xml:space="preserve"> </w:t>
      </w:r>
      <w:r>
        <w:t>if</w:t>
      </w:r>
      <w:r w:rsidR="00E15E1B">
        <w:t xml:space="preserve"> </w:t>
      </w:r>
      <w:r>
        <w:t>they</w:t>
      </w:r>
      <w:r w:rsidR="00E15E1B">
        <w:t xml:space="preserve"> </w:t>
      </w:r>
      <w:r>
        <w:t>are</w:t>
      </w:r>
      <w:r w:rsidR="00E15E1B">
        <w:t xml:space="preserve"> </w:t>
      </w:r>
      <w:r>
        <w:t>also</w:t>
      </w:r>
      <w:r w:rsidR="00E15E1B">
        <w:t xml:space="preserve"> </w:t>
      </w:r>
      <w:r>
        <w:t>registered</w:t>
      </w:r>
      <w:r w:rsidR="00E15E1B">
        <w:t xml:space="preserve"> </w:t>
      </w:r>
      <w:r>
        <w:t>with</w:t>
      </w:r>
      <w:r w:rsidR="00E15E1B">
        <w:t xml:space="preserve"> </w:t>
      </w:r>
      <w:r>
        <w:t>and</w:t>
      </w:r>
      <w:r w:rsidR="00E15E1B">
        <w:t xml:space="preserve"> </w:t>
      </w:r>
      <w:r>
        <w:t>reporting</w:t>
      </w:r>
      <w:r w:rsidR="00E15E1B">
        <w:t xml:space="preserve"> </w:t>
      </w:r>
      <w:r>
        <w:t>to</w:t>
      </w:r>
      <w:r w:rsidR="00E15E1B">
        <w:t xml:space="preserve"> </w:t>
      </w:r>
      <w:r>
        <w:t>another</w:t>
      </w:r>
      <w:r w:rsidR="00E15E1B">
        <w:t xml:space="preserve"> </w:t>
      </w:r>
      <w:r>
        <w:t>regulator.</w:t>
      </w:r>
      <w:r w:rsidR="00E15E1B">
        <w:t xml:space="preserve"> </w:t>
      </w:r>
      <w:r>
        <w:t>From</w:t>
      </w:r>
      <w:r w:rsidR="00E15E1B">
        <w:t xml:space="preserve"> </w:t>
      </w:r>
      <w:r>
        <w:t>1</w:t>
      </w:r>
      <w:r w:rsidR="00E15E1B">
        <w:t xml:space="preserve"> </w:t>
      </w:r>
      <w:r>
        <w:t>July</w:t>
      </w:r>
      <w:r w:rsidR="00E15E1B">
        <w:t xml:space="preserve"> </w:t>
      </w:r>
      <w:r>
        <w:t>2018,</w:t>
      </w:r>
      <w:r w:rsidR="00E15E1B">
        <w:t xml:space="preserve"> </w:t>
      </w:r>
      <w:r>
        <w:t>we</w:t>
      </w:r>
      <w:r w:rsidR="00E15E1B">
        <w:t xml:space="preserve"> </w:t>
      </w:r>
      <w:r>
        <w:t>will</w:t>
      </w:r>
      <w:r w:rsidR="00E15E1B">
        <w:t xml:space="preserve"> </w:t>
      </w:r>
      <w:r>
        <w:t>use</w:t>
      </w:r>
      <w:r w:rsidR="00E15E1B">
        <w:t xml:space="preserve"> </w:t>
      </w:r>
      <w:r>
        <w:t>this</w:t>
      </w:r>
      <w:r w:rsidR="00E15E1B">
        <w:t xml:space="preserve"> </w:t>
      </w:r>
      <w:r>
        <w:t>new</w:t>
      </w:r>
      <w:r w:rsidR="00E15E1B">
        <w:t xml:space="preserve"> </w:t>
      </w:r>
      <w:r>
        <w:t>provision</w:t>
      </w:r>
      <w:r w:rsidR="00E15E1B">
        <w:t xml:space="preserve"> </w:t>
      </w:r>
      <w:r>
        <w:t>to</w:t>
      </w:r>
      <w:r w:rsidR="00E15E1B">
        <w:t xml:space="preserve"> </w:t>
      </w:r>
      <w:r>
        <w:t>remove</w:t>
      </w:r>
      <w:r w:rsidR="00E15E1B">
        <w:t xml:space="preserve"> </w:t>
      </w:r>
      <w:r>
        <w:t>separate</w:t>
      </w:r>
      <w:r w:rsidR="00E15E1B">
        <w:t xml:space="preserve"> </w:t>
      </w:r>
      <w:r>
        <w:t>reporting</w:t>
      </w:r>
      <w:r w:rsidR="00E15E1B">
        <w:t xml:space="preserve"> </w:t>
      </w:r>
      <w:r>
        <w:t>requirements</w:t>
      </w:r>
      <w:r w:rsidR="00E15E1B">
        <w:t xml:space="preserve"> </w:t>
      </w:r>
      <w:r>
        <w:t>where</w:t>
      </w:r>
      <w:r w:rsidR="00E15E1B">
        <w:t xml:space="preserve"> </w:t>
      </w:r>
      <w:r>
        <w:t>incorporated</w:t>
      </w:r>
      <w:r w:rsidR="00E15E1B">
        <w:t xml:space="preserve"> </w:t>
      </w:r>
      <w:r>
        <w:t>associations</w:t>
      </w:r>
      <w:r w:rsidR="00E15E1B">
        <w:t xml:space="preserve"> </w:t>
      </w:r>
      <w:r>
        <w:t>are</w:t>
      </w:r>
      <w:r w:rsidR="00E15E1B">
        <w:t xml:space="preserve"> </w:t>
      </w:r>
      <w:r>
        <w:t>registered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Australian</w:t>
      </w:r>
      <w:r w:rsidR="00E15E1B">
        <w:t xml:space="preserve"> </w:t>
      </w:r>
      <w:r>
        <w:t>Charities</w:t>
      </w:r>
      <w:r w:rsidR="00E15E1B">
        <w:t xml:space="preserve"> </w:t>
      </w:r>
      <w:r>
        <w:t>and</w:t>
      </w:r>
      <w:r w:rsidR="00E15E1B">
        <w:t xml:space="preserve"> </w:t>
      </w:r>
      <w:r>
        <w:t>Not-for-profits</w:t>
      </w:r>
      <w:r w:rsidR="00E15E1B">
        <w:t xml:space="preserve"> </w:t>
      </w:r>
      <w:r>
        <w:t>Commission.</w:t>
      </w:r>
    </w:p>
    <w:p w:rsidR="00156239" w:rsidRDefault="00156239" w:rsidP="00156239">
      <w:pPr>
        <w:pStyle w:val="Heading4"/>
      </w:pPr>
      <w:r>
        <w:lastRenderedPageBreak/>
        <w:t>Our</w:t>
      </w:r>
      <w:r w:rsidR="00E15E1B">
        <w:t xml:space="preserve"> </w:t>
      </w:r>
      <w:r>
        <w:t>new</w:t>
      </w:r>
      <w:r w:rsidR="00E15E1B">
        <w:t xml:space="preserve"> </w:t>
      </w:r>
      <w:r>
        <w:t>responsive</w:t>
      </w:r>
      <w:r w:rsidR="00E15E1B">
        <w:t xml:space="preserve"> </w:t>
      </w:r>
      <w:r>
        <w:t>website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launched</w:t>
      </w:r>
      <w:r w:rsidR="00E15E1B">
        <w:t xml:space="preserve"> </w:t>
      </w:r>
      <w:r>
        <w:t>our</w:t>
      </w:r>
      <w:r w:rsidR="00E15E1B">
        <w:t xml:space="preserve"> </w:t>
      </w:r>
      <w:r>
        <w:t>new</w:t>
      </w:r>
      <w:r w:rsidR="00E15E1B">
        <w:t xml:space="preserve"> </w:t>
      </w:r>
      <w:r>
        <w:t>responsive</w:t>
      </w:r>
      <w:r w:rsidR="00E15E1B">
        <w:t xml:space="preserve"> </w:t>
      </w:r>
      <w:r>
        <w:t>website</w:t>
      </w:r>
      <w:r w:rsidR="00E15E1B">
        <w:t xml:space="preserve"> </w:t>
      </w:r>
      <w:r>
        <w:t>in</w:t>
      </w:r>
      <w:r w:rsidR="00E15E1B">
        <w:t xml:space="preserve"> </w:t>
      </w:r>
      <w:r>
        <w:t>June</w:t>
      </w:r>
      <w:r w:rsidR="00E15E1B">
        <w:t xml:space="preserve"> </w:t>
      </w:r>
      <w:r>
        <w:t>2017,</w:t>
      </w:r>
      <w:r w:rsidR="00E15E1B">
        <w:t xml:space="preserve"> </w:t>
      </w:r>
      <w:r>
        <w:t>enabling</w:t>
      </w:r>
      <w:r w:rsidR="00E15E1B">
        <w:t xml:space="preserve"> </w:t>
      </w:r>
      <w:r>
        <w:t>seamless</w:t>
      </w:r>
      <w:r w:rsidR="00E15E1B">
        <w:t xml:space="preserve"> </w:t>
      </w:r>
      <w:r>
        <w:t>access</w:t>
      </w:r>
      <w:r w:rsidR="00E15E1B">
        <w:t xml:space="preserve"> </w:t>
      </w:r>
      <w:r>
        <w:t>from</w:t>
      </w:r>
      <w:r w:rsidR="00E15E1B">
        <w:t xml:space="preserve"> </w:t>
      </w:r>
      <w:r>
        <w:t>any</w:t>
      </w:r>
      <w:r w:rsidR="00E15E1B">
        <w:t xml:space="preserve"> </w:t>
      </w:r>
      <w:r>
        <w:t>device.</w:t>
      </w:r>
    </w:p>
    <w:p w:rsidR="00156239" w:rsidRDefault="00156239" w:rsidP="00156239">
      <w:pPr>
        <w:pStyle w:val="BodyText"/>
      </w:pPr>
      <w:r>
        <w:t>Our</w:t>
      </w:r>
      <w:r w:rsidR="00E15E1B">
        <w:t xml:space="preserve"> </w:t>
      </w:r>
      <w:r>
        <w:t>website</w:t>
      </w:r>
      <w:r w:rsidR="00E15E1B">
        <w:t xml:space="preserve"> </w:t>
      </w:r>
      <w:r>
        <w:t>is</w:t>
      </w:r>
      <w:r w:rsidR="00E15E1B">
        <w:t xml:space="preserve"> </w:t>
      </w:r>
      <w:r>
        <w:t>now</w:t>
      </w:r>
      <w:r w:rsidR="00E15E1B">
        <w:t xml:space="preserve"> </w:t>
      </w:r>
      <w:r>
        <w:t>more</w:t>
      </w:r>
      <w:r w:rsidR="00E15E1B">
        <w:t xml:space="preserve"> </w:t>
      </w:r>
      <w:r>
        <w:t>accessible</w:t>
      </w:r>
      <w:r w:rsidR="00E15E1B">
        <w:t xml:space="preserve"> </w:t>
      </w:r>
      <w:r>
        <w:t>for</w:t>
      </w:r>
      <w:r w:rsidR="00E15E1B">
        <w:t xml:space="preserve"> </w:t>
      </w:r>
      <w:r>
        <w:t>consumers</w:t>
      </w:r>
      <w:r w:rsidR="00E15E1B">
        <w:t xml:space="preserve"> </w:t>
      </w:r>
      <w:r>
        <w:t>and</w:t>
      </w:r>
      <w:r w:rsidR="00E15E1B">
        <w:t xml:space="preserve"> </w:t>
      </w:r>
      <w:r>
        <w:t>businesses</w:t>
      </w:r>
      <w:r w:rsidR="00E15E1B">
        <w:t xml:space="preserve"> </w:t>
      </w:r>
      <w:r>
        <w:t>using</w:t>
      </w:r>
      <w:r w:rsidR="00E15E1B">
        <w:t xml:space="preserve"> </w:t>
      </w:r>
      <w:r>
        <w:t>mobile</w:t>
      </w:r>
      <w:r w:rsidR="00E15E1B">
        <w:t xml:space="preserve"> </w:t>
      </w:r>
      <w:r>
        <w:t>devices,</w:t>
      </w:r>
      <w:r w:rsidR="00E15E1B">
        <w:t xml:space="preserve"> </w:t>
      </w:r>
      <w:r>
        <w:t>resulting</w:t>
      </w:r>
      <w:r w:rsidR="00E15E1B">
        <w:t xml:space="preserve"> </w:t>
      </w:r>
      <w:r>
        <w:t>in</w:t>
      </w:r>
      <w:r w:rsidR="00E15E1B">
        <w:t xml:space="preserve"> </w:t>
      </w:r>
      <w:r>
        <w:t>significant</w:t>
      </w:r>
      <w:r w:rsidR="00E15E1B">
        <w:t xml:space="preserve"> </w:t>
      </w:r>
      <w:r>
        <w:t>behaviour</w:t>
      </w:r>
      <w:r w:rsidR="00E15E1B">
        <w:t xml:space="preserve"> </w:t>
      </w:r>
      <w:r>
        <w:t>change:</w:t>
      </w:r>
      <w:r w:rsidR="00E15E1B">
        <w:t xml:space="preserve"> </w:t>
      </w:r>
      <w:r>
        <w:t>mobile</w:t>
      </w:r>
      <w:r w:rsidR="00E15E1B">
        <w:t xml:space="preserve"> </w:t>
      </w:r>
      <w:r>
        <w:t>users</w:t>
      </w:r>
      <w:r w:rsidR="00E15E1B">
        <w:t xml:space="preserve"> </w:t>
      </w:r>
      <w:r>
        <w:t>are</w:t>
      </w:r>
      <w:r w:rsidR="00E15E1B">
        <w:t xml:space="preserve"> </w:t>
      </w:r>
      <w:r>
        <w:t>spending</w:t>
      </w:r>
      <w:r w:rsidR="00E15E1B">
        <w:t xml:space="preserve"> </w:t>
      </w:r>
      <w:r>
        <w:t>significantly</w:t>
      </w:r>
      <w:r w:rsidR="00E15E1B">
        <w:t xml:space="preserve"> </w:t>
      </w:r>
      <w:r>
        <w:t>longer</w:t>
      </w:r>
      <w:r w:rsidR="00E15E1B">
        <w:t xml:space="preserve"> </w:t>
      </w:r>
      <w:r>
        <w:t>on</w:t>
      </w:r>
      <w:r w:rsidR="00E15E1B">
        <w:t xml:space="preserve"> </w:t>
      </w:r>
      <w:r>
        <w:t>the</w:t>
      </w:r>
      <w:r w:rsidR="00E15E1B">
        <w:t xml:space="preserve"> </w:t>
      </w:r>
      <w:r>
        <w:t>website.</w:t>
      </w:r>
      <w:r w:rsidR="00E15E1B">
        <w:t xml:space="preserve"> </w:t>
      </w:r>
      <w:r>
        <w:t>Since</w:t>
      </w:r>
      <w:r w:rsidR="00E15E1B">
        <w:t xml:space="preserve"> </w:t>
      </w:r>
      <w:r>
        <w:t>its</w:t>
      </w:r>
      <w:r w:rsidR="00E15E1B">
        <w:t xml:space="preserve"> </w:t>
      </w:r>
      <w:r>
        <w:t>launch,</w:t>
      </w:r>
      <w:r w:rsidR="00E15E1B">
        <w:t xml:space="preserve"> </w:t>
      </w:r>
      <w:r>
        <w:t>content</w:t>
      </w:r>
      <w:r w:rsidR="00E15E1B">
        <w:t xml:space="preserve"> </w:t>
      </w:r>
      <w:r>
        <w:t>is</w:t>
      </w:r>
      <w:r w:rsidR="00E15E1B">
        <w:t xml:space="preserve"> </w:t>
      </w:r>
      <w:r>
        <w:t>easier</w:t>
      </w:r>
      <w:r w:rsidR="00E15E1B">
        <w:t xml:space="preserve"> </w:t>
      </w:r>
      <w:r>
        <w:t>to</w:t>
      </w:r>
      <w:r w:rsidR="00E15E1B">
        <w:t xml:space="preserve"> </w:t>
      </w:r>
      <w:r>
        <w:t>find,</w:t>
      </w:r>
      <w:r w:rsidR="00E15E1B">
        <w:t xml:space="preserve"> </w:t>
      </w:r>
      <w:r>
        <w:t>with</w:t>
      </w:r>
      <w:r w:rsidR="00E15E1B">
        <w:t xml:space="preserve"> </w:t>
      </w:r>
      <w:r>
        <w:t>improved</w:t>
      </w:r>
      <w:r w:rsidR="00E15E1B">
        <w:t xml:space="preserve"> </w:t>
      </w:r>
      <w:r>
        <w:t>search</w:t>
      </w:r>
      <w:r w:rsidR="00E15E1B">
        <w:t xml:space="preserve"> </w:t>
      </w:r>
      <w:r>
        <w:t>functions</w:t>
      </w:r>
      <w:r w:rsidR="00E15E1B">
        <w:t xml:space="preserve"> </w:t>
      </w:r>
      <w:r>
        <w:t>and</w:t>
      </w:r>
      <w:r w:rsidR="00E15E1B">
        <w:t xml:space="preserve"> </w:t>
      </w:r>
      <w:r>
        <w:t>metadata</w:t>
      </w:r>
      <w:r w:rsidR="00E15E1B">
        <w:t xml:space="preserve"> </w:t>
      </w:r>
      <w:r>
        <w:t>improvements.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website</w:t>
      </w:r>
      <w:r w:rsidR="00E15E1B">
        <w:t xml:space="preserve"> </w:t>
      </w:r>
      <w:r>
        <w:t>provides</w:t>
      </w:r>
      <w:r w:rsidR="00E15E1B">
        <w:t xml:space="preserve"> </w:t>
      </w:r>
      <w:r>
        <w:t>education,</w:t>
      </w:r>
      <w:r w:rsidR="00E15E1B">
        <w:t xml:space="preserve"> </w:t>
      </w:r>
      <w:r>
        <w:t>advice</w:t>
      </w:r>
      <w:r w:rsidR="00E15E1B">
        <w:t xml:space="preserve"> </w:t>
      </w:r>
      <w:r>
        <w:t>and</w:t>
      </w:r>
      <w:r w:rsidR="00E15E1B">
        <w:t xml:space="preserve"> </w:t>
      </w:r>
      <w:r>
        <w:t>self-help</w:t>
      </w:r>
      <w:r w:rsidR="00E15E1B">
        <w:t xml:space="preserve"> </w:t>
      </w:r>
      <w:r>
        <w:t>information</w:t>
      </w:r>
      <w:r w:rsidR="00E15E1B">
        <w:t xml:space="preserve"> </w:t>
      </w:r>
      <w:r>
        <w:t>resources</w:t>
      </w:r>
      <w:r w:rsidR="00E15E1B">
        <w:t xml:space="preserve"> </w:t>
      </w:r>
      <w:r>
        <w:t>in</w:t>
      </w:r>
      <w:r w:rsidR="00E15E1B">
        <w:t xml:space="preserve"> </w:t>
      </w:r>
      <w:r>
        <w:t>a</w:t>
      </w:r>
      <w:r w:rsidR="00E15E1B">
        <w:t xml:space="preserve"> </w:t>
      </w:r>
      <w:r>
        <w:t>range</w:t>
      </w:r>
      <w:r w:rsidR="00E15E1B">
        <w:t xml:space="preserve"> </w:t>
      </w:r>
      <w:r>
        <w:t>of</w:t>
      </w:r>
      <w:r w:rsidR="00E15E1B">
        <w:t xml:space="preserve"> </w:t>
      </w:r>
      <w:r>
        <w:t>formats</w:t>
      </w:r>
      <w:r w:rsidR="00E15E1B">
        <w:t xml:space="preserve"> </w:t>
      </w:r>
      <w:r>
        <w:t>that</w:t>
      </w:r>
      <w:r w:rsidR="00E15E1B">
        <w:t xml:space="preserve"> </w:t>
      </w:r>
      <w:r>
        <w:t>are</w:t>
      </w:r>
      <w:r w:rsidR="00E15E1B">
        <w:t xml:space="preserve"> </w:t>
      </w:r>
      <w:r>
        <w:t>easy</w:t>
      </w:r>
      <w:r w:rsidR="00E15E1B">
        <w:t xml:space="preserve"> </w:t>
      </w:r>
      <w:r>
        <w:t>to</w:t>
      </w:r>
      <w:r w:rsidR="00E15E1B">
        <w:t xml:space="preserve"> </w:t>
      </w:r>
      <w:r>
        <w:t>find,</w:t>
      </w:r>
      <w:r w:rsidR="00E15E1B">
        <w:t xml:space="preserve"> </w:t>
      </w:r>
      <w:r>
        <w:t>understand</w:t>
      </w:r>
      <w:r w:rsidR="00E15E1B">
        <w:t xml:space="preserve"> </w:t>
      </w:r>
      <w:r>
        <w:t>and</w:t>
      </w:r>
      <w:r w:rsidR="00E15E1B">
        <w:t xml:space="preserve"> </w:t>
      </w:r>
      <w:r>
        <w:t>act</w:t>
      </w:r>
      <w:r w:rsidR="00E15E1B">
        <w:t xml:space="preserve"> </w:t>
      </w:r>
      <w:r>
        <w:t>on.</w:t>
      </w:r>
      <w:r w:rsidR="00E15E1B">
        <w:t xml:space="preserve"> </w:t>
      </w:r>
      <w:r>
        <w:t>In</w:t>
      </w:r>
      <w:r w:rsidR="00E15E1B">
        <w:t xml:space="preserve"> </w:t>
      </w:r>
      <w:r>
        <w:t>addition</w:t>
      </w:r>
      <w:r w:rsidR="00E15E1B">
        <w:t xml:space="preserve"> </w:t>
      </w:r>
      <w:r>
        <w:t>to</w:t>
      </w:r>
      <w:r w:rsidR="00E15E1B">
        <w:t xml:space="preserve"> </w:t>
      </w:r>
      <w:r>
        <w:t>text</w:t>
      </w:r>
      <w:r w:rsidR="00E15E1B">
        <w:t xml:space="preserve"> </w:t>
      </w:r>
      <w:r>
        <w:t>content,</w:t>
      </w:r>
      <w:r w:rsidR="00E15E1B">
        <w:t xml:space="preserve"> </w:t>
      </w:r>
      <w:r>
        <w:t>the</w:t>
      </w:r>
      <w:r w:rsidR="00E15E1B">
        <w:t xml:space="preserve"> </w:t>
      </w:r>
      <w:r>
        <w:t>use</w:t>
      </w:r>
      <w:r w:rsidR="00E15E1B">
        <w:t xml:space="preserve"> </w:t>
      </w:r>
      <w:r>
        <w:t>of</w:t>
      </w:r>
      <w:r w:rsidR="00E15E1B">
        <w:t xml:space="preserve"> </w:t>
      </w:r>
      <w:r>
        <w:t>video,</w:t>
      </w:r>
      <w:r w:rsidR="00E15E1B">
        <w:t xml:space="preserve"> </w:t>
      </w:r>
      <w:r>
        <w:t>icons</w:t>
      </w:r>
      <w:r w:rsidR="00E15E1B">
        <w:t xml:space="preserve"> </w:t>
      </w:r>
      <w:r>
        <w:t>and</w:t>
      </w:r>
      <w:r w:rsidR="00E15E1B">
        <w:t xml:space="preserve"> </w:t>
      </w:r>
      <w:r>
        <w:t>other</w:t>
      </w:r>
      <w:r w:rsidR="00E15E1B">
        <w:t xml:space="preserve"> </w:t>
      </w:r>
      <w:r>
        <w:t>visual</w:t>
      </w:r>
      <w:r w:rsidR="00E15E1B">
        <w:t xml:space="preserve"> </w:t>
      </w:r>
      <w:r>
        <w:t>tools</w:t>
      </w:r>
      <w:r w:rsidR="00E15E1B">
        <w:t xml:space="preserve"> </w:t>
      </w:r>
      <w:r>
        <w:t>help</w:t>
      </w:r>
      <w:r w:rsidR="00E15E1B">
        <w:t xml:space="preserve"> </w:t>
      </w:r>
      <w:r>
        <w:t>consumers</w:t>
      </w:r>
      <w:r w:rsidR="00E15E1B">
        <w:t xml:space="preserve"> </w:t>
      </w:r>
      <w:r>
        <w:t>understand</w:t>
      </w:r>
      <w:r w:rsidR="00E15E1B">
        <w:t xml:space="preserve"> </w:t>
      </w:r>
      <w:r>
        <w:t>their</w:t>
      </w:r>
      <w:r w:rsidR="00E15E1B">
        <w:t xml:space="preserve"> </w:t>
      </w:r>
      <w:r>
        <w:t>rights</w:t>
      </w:r>
      <w:r w:rsidR="00E15E1B">
        <w:t xml:space="preserve"> </w:t>
      </w:r>
      <w:r>
        <w:t>and</w:t>
      </w:r>
      <w:r w:rsidR="00E15E1B">
        <w:t xml:space="preserve"> </w:t>
      </w:r>
      <w:r>
        <w:t>responsibilities,</w:t>
      </w:r>
      <w:r w:rsidR="00E15E1B">
        <w:t xml:space="preserve"> </w:t>
      </w:r>
      <w:r>
        <w:t>and</w:t>
      </w:r>
      <w:r w:rsidR="00E15E1B">
        <w:t xml:space="preserve"> </w:t>
      </w:r>
      <w:r>
        <w:t>businesses</w:t>
      </w:r>
      <w:r w:rsidR="00E15E1B">
        <w:t xml:space="preserve"> </w:t>
      </w:r>
      <w:r>
        <w:t>to</w:t>
      </w:r>
      <w:r w:rsidR="00E15E1B">
        <w:t xml:space="preserve"> </w:t>
      </w:r>
      <w:r>
        <w:t>understand</w:t>
      </w:r>
      <w:r w:rsidR="00E15E1B">
        <w:t xml:space="preserve"> </w:t>
      </w:r>
      <w:r>
        <w:t>what</w:t>
      </w:r>
      <w:r w:rsidR="00E15E1B">
        <w:t xml:space="preserve"> </w:t>
      </w:r>
      <w:r>
        <w:t>they</w:t>
      </w:r>
      <w:r w:rsidR="00E15E1B">
        <w:t xml:space="preserve"> </w:t>
      </w:r>
      <w:r>
        <w:t>have</w:t>
      </w:r>
      <w:r w:rsidR="00E15E1B">
        <w:t xml:space="preserve"> </w:t>
      </w:r>
      <w:r>
        <w:t>to</w:t>
      </w:r>
      <w:r w:rsidR="00E15E1B">
        <w:t xml:space="preserve"> </w:t>
      </w:r>
      <w:r>
        <w:t>do</w:t>
      </w:r>
      <w:r w:rsidR="00E15E1B">
        <w:t xml:space="preserve"> </w:t>
      </w:r>
      <w:r>
        <w:t>to</w:t>
      </w:r>
      <w:r w:rsidR="00E15E1B">
        <w:t xml:space="preserve"> </w:t>
      </w:r>
      <w:r>
        <w:t>comply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law.</w:t>
      </w:r>
    </w:p>
    <w:p w:rsidR="00156239" w:rsidRDefault="00156239" w:rsidP="00156239">
      <w:pPr>
        <w:pStyle w:val="BodyText"/>
      </w:pPr>
      <w:r>
        <w:t>Considering</w:t>
      </w:r>
      <w:r w:rsidR="00E15E1B">
        <w:t xml:space="preserve"> </w:t>
      </w:r>
      <w:r>
        <w:t>the</w:t>
      </w:r>
      <w:r w:rsidR="00E15E1B">
        <w:t xml:space="preserve"> </w:t>
      </w:r>
      <w:r>
        <w:t>breadth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online</w:t>
      </w:r>
      <w:r w:rsidR="00E15E1B">
        <w:t xml:space="preserve"> </w:t>
      </w:r>
      <w:r>
        <w:t>visitors,</w:t>
      </w:r>
      <w:r w:rsidR="00E15E1B">
        <w:t xml:space="preserve"> </w:t>
      </w:r>
      <w:r>
        <w:t>the</w:t>
      </w:r>
      <w:r w:rsidR="00E15E1B">
        <w:t xml:space="preserve"> </w:t>
      </w:r>
      <w:r>
        <w:t>website</w:t>
      </w:r>
      <w:r w:rsidR="00E15E1B">
        <w:t xml:space="preserve"> </w:t>
      </w:r>
      <w:r>
        <w:t>provides</w:t>
      </w:r>
      <w:r w:rsidR="00E15E1B">
        <w:t xml:space="preserve"> </w:t>
      </w:r>
      <w:r>
        <w:t>assistance</w:t>
      </w:r>
      <w:r w:rsidR="00E15E1B">
        <w:t xml:space="preserve"> </w:t>
      </w:r>
      <w:r>
        <w:t>in</w:t>
      </w:r>
      <w:r w:rsidR="00E15E1B">
        <w:t xml:space="preserve"> </w:t>
      </w:r>
      <w:r>
        <w:t>28</w:t>
      </w:r>
      <w:r w:rsidR="00E15E1B">
        <w:t xml:space="preserve"> </w:t>
      </w:r>
      <w:r>
        <w:t>languages</w:t>
      </w:r>
      <w:r w:rsidR="00E15E1B">
        <w:t xml:space="preserve"> </w:t>
      </w:r>
      <w:r>
        <w:t>other</w:t>
      </w:r>
      <w:r w:rsidR="00E15E1B">
        <w:t xml:space="preserve"> </w:t>
      </w:r>
      <w:r>
        <w:t>than</w:t>
      </w:r>
      <w:r w:rsidR="00E15E1B">
        <w:t xml:space="preserve"> </w:t>
      </w:r>
      <w:r>
        <w:t>English,</w:t>
      </w:r>
      <w:r w:rsidR="00E15E1B">
        <w:t xml:space="preserve"> </w:t>
      </w:r>
      <w:r>
        <w:t>including</w:t>
      </w:r>
      <w:r w:rsidR="00E15E1B">
        <w:t xml:space="preserve"> </w:t>
      </w:r>
      <w:r>
        <w:t>translated</w:t>
      </w:r>
      <w:r w:rsidR="00E15E1B">
        <w:t xml:space="preserve"> </w:t>
      </w:r>
      <w:r>
        <w:t>video</w:t>
      </w:r>
      <w:r w:rsidR="00E15E1B">
        <w:t xml:space="preserve"> </w:t>
      </w:r>
      <w:r>
        <w:t>content</w:t>
      </w:r>
      <w:r w:rsidR="00E15E1B">
        <w:t xml:space="preserve"> </w:t>
      </w:r>
      <w:r>
        <w:t>and</w:t>
      </w:r>
      <w:r w:rsidR="00E15E1B">
        <w:t xml:space="preserve"> </w:t>
      </w:r>
      <w:r>
        <w:t>Readspeaker</w:t>
      </w:r>
      <w:r w:rsidR="00E15E1B">
        <w:t xml:space="preserve"> </w:t>
      </w:r>
      <w:r>
        <w:t>(text</w:t>
      </w:r>
      <w:r w:rsidR="00E15E1B">
        <w:t xml:space="preserve"> </w:t>
      </w:r>
      <w:r>
        <w:t>to</w:t>
      </w:r>
      <w:r w:rsidR="00E15E1B">
        <w:t xml:space="preserve"> </w:t>
      </w:r>
      <w:r>
        <w:t>speech</w:t>
      </w:r>
      <w:r w:rsidR="00E15E1B">
        <w:t xml:space="preserve"> </w:t>
      </w:r>
      <w:r>
        <w:t>software)</w:t>
      </w:r>
      <w:r w:rsidR="00E15E1B">
        <w:t xml:space="preserve"> </w:t>
      </w:r>
      <w:r>
        <w:t>for</w:t>
      </w:r>
      <w:r w:rsidR="00E15E1B">
        <w:t xml:space="preserve"> </w:t>
      </w:r>
      <w:r>
        <w:t>those</w:t>
      </w:r>
      <w:r w:rsidR="00E15E1B">
        <w:t xml:space="preserve"> </w:t>
      </w:r>
      <w:r>
        <w:t>with</w:t>
      </w:r>
      <w:r w:rsidR="00E15E1B">
        <w:t xml:space="preserve"> </w:t>
      </w:r>
      <w:r>
        <w:t>low</w:t>
      </w:r>
      <w:r w:rsidR="00E15E1B">
        <w:t xml:space="preserve"> </w:t>
      </w:r>
      <w:r>
        <w:t>literacy,</w:t>
      </w:r>
      <w:r w:rsidR="00E15E1B">
        <w:t xml:space="preserve"> </w:t>
      </w:r>
      <w:r>
        <w:t>learning</w:t>
      </w:r>
      <w:r w:rsidR="00E15E1B">
        <w:t xml:space="preserve"> </w:t>
      </w:r>
      <w:r>
        <w:t>disabilities</w:t>
      </w:r>
      <w:r w:rsidR="00E15E1B">
        <w:t xml:space="preserve"> </w:t>
      </w:r>
      <w:r>
        <w:t>or</w:t>
      </w:r>
      <w:r w:rsidR="00E15E1B">
        <w:t xml:space="preserve"> </w:t>
      </w:r>
      <w:r>
        <w:t>those</w:t>
      </w:r>
      <w:r w:rsidR="00E15E1B">
        <w:t xml:space="preserve"> </w:t>
      </w:r>
      <w:r>
        <w:t>who</w:t>
      </w:r>
      <w:r w:rsidR="00E15E1B">
        <w:t xml:space="preserve"> </w:t>
      </w:r>
      <w:r>
        <w:t>speak</w:t>
      </w:r>
      <w:r w:rsidR="00E15E1B">
        <w:t xml:space="preserve"> </w:t>
      </w:r>
      <w:r>
        <w:t>but</w:t>
      </w:r>
      <w:r w:rsidR="00E15E1B">
        <w:t xml:space="preserve"> </w:t>
      </w:r>
      <w:r>
        <w:t>may</w:t>
      </w:r>
      <w:r w:rsidR="00E15E1B">
        <w:t xml:space="preserve"> </w:t>
      </w:r>
      <w:r>
        <w:t>not</w:t>
      </w:r>
      <w:r w:rsidR="00E15E1B">
        <w:t xml:space="preserve"> </w:t>
      </w:r>
      <w:r>
        <w:t>necessarily</w:t>
      </w:r>
      <w:r w:rsidR="00E15E1B">
        <w:t xml:space="preserve"> </w:t>
      </w:r>
      <w:r>
        <w:t>read</w:t>
      </w:r>
      <w:r w:rsidR="00E15E1B">
        <w:t xml:space="preserve"> </w:t>
      </w:r>
      <w:r>
        <w:t>in</w:t>
      </w:r>
      <w:r w:rsidR="00E15E1B">
        <w:t xml:space="preserve"> </w:t>
      </w:r>
      <w:r>
        <w:t>English.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seek</w:t>
      </w:r>
      <w:r w:rsidR="00E15E1B">
        <w:t xml:space="preserve"> </w:t>
      </w:r>
      <w:r>
        <w:t>to</w:t>
      </w:r>
      <w:r w:rsidR="00E15E1B">
        <w:t xml:space="preserve"> </w:t>
      </w:r>
      <w:r>
        <w:t>understand</w:t>
      </w:r>
      <w:r w:rsidR="00E15E1B">
        <w:t xml:space="preserve"> </w:t>
      </w:r>
      <w:r>
        <w:t>the</w:t>
      </w:r>
      <w:r w:rsidR="00E15E1B">
        <w:t xml:space="preserve"> </w:t>
      </w:r>
      <w:r>
        <w:t>customer</w:t>
      </w:r>
      <w:r w:rsidR="00E15E1B">
        <w:t xml:space="preserve"> </w:t>
      </w:r>
      <w:r>
        <w:t>experience,</w:t>
      </w:r>
      <w:r w:rsidR="00E15E1B">
        <w:t xml:space="preserve"> </w:t>
      </w:r>
      <w:r>
        <w:t>by</w:t>
      </w:r>
      <w:r w:rsidR="00E15E1B">
        <w:t xml:space="preserve"> </w:t>
      </w:r>
      <w:r>
        <w:t>listening</w:t>
      </w:r>
      <w:r w:rsidR="00E15E1B">
        <w:t xml:space="preserve"> </w:t>
      </w:r>
      <w:r>
        <w:t>to</w:t>
      </w:r>
      <w:r w:rsidR="00E15E1B">
        <w:t xml:space="preserve"> </w:t>
      </w:r>
      <w:r>
        <w:t>and</w:t>
      </w:r>
      <w:r w:rsidR="00E15E1B">
        <w:t xml:space="preserve"> </w:t>
      </w:r>
      <w:r>
        <w:t>acting</w:t>
      </w:r>
      <w:r w:rsidR="00E15E1B">
        <w:t xml:space="preserve"> </w:t>
      </w:r>
      <w:r>
        <w:t>on</w:t>
      </w:r>
      <w:r w:rsidR="00E15E1B">
        <w:t xml:space="preserve"> </w:t>
      </w:r>
      <w:r>
        <w:t>feedback.</w:t>
      </w:r>
      <w:r w:rsidR="00E15E1B">
        <w:t xml:space="preserve"> </w:t>
      </w:r>
      <w:r>
        <w:t>We</w:t>
      </w:r>
      <w:r w:rsidR="00E15E1B">
        <w:t xml:space="preserve"> </w:t>
      </w:r>
      <w:r>
        <w:t>have</w:t>
      </w:r>
      <w:r w:rsidR="00E15E1B">
        <w:t xml:space="preserve"> </w:t>
      </w:r>
      <w:r>
        <w:t>worked</w:t>
      </w:r>
      <w:r w:rsidR="00E15E1B">
        <w:t xml:space="preserve"> </w:t>
      </w:r>
      <w:r>
        <w:t>to</w:t>
      </w:r>
      <w:r w:rsidR="00E15E1B">
        <w:t xml:space="preserve"> </w:t>
      </w:r>
      <w:r>
        <w:t>implement</w:t>
      </w:r>
      <w:r w:rsidR="00E15E1B">
        <w:t xml:space="preserve"> </w:t>
      </w:r>
      <w:r>
        <w:t>a</w:t>
      </w:r>
      <w:r w:rsidR="00E15E1B">
        <w:t xml:space="preserve"> </w:t>
      </w:r>
      <w:r>
        <w:t>series</w:t>
      </w:r>
      <w:r w:rsidR="00E15E1B">
        <w:t xml:space="preserve"> </w:t>
      </w:r>
      <w:r>
        <w:t>of</w:t>
      </w:r>
      <w:r w:rsidR="00E15E1B">
        <w:t xml:space="preserve"> </w:t>
      </w:r>
      <w:r>
        <w:t>recommendations</w:t>
      </w:r>
      <w:r w:rsidR="00E15E1B">
        <w:t xml:space="preserve"> </w:t>
      </w:r>
      <w:r>
        <w:t>to</w:t>
      </w:r>
      <w:r w:rsidR="00E15E1B">
        <w:t xml:space="preserve"> </w:t>
      </w:r>
      <w:r>
        <w:t>improve</w:t>
      </w:r>
      <w:r w:rsidR="00E15E1B">
        <w:t xml:space="preserve"> </w:t>
      </w:r>
      <w:r>
        <w:t>customer</w:t>
      </w:r>
      <w:r w:rsidR="00E15E1B">
        <w:t xml:space="preserve"> </w:t>
      </w:r>
      <w:r>
        <w:t>satisfaction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website</w:t>
      </w:r>
      <w:r w:rsidR="00E15E1B">
        <w:t xml:space="preserve"> </w:t>
      </w:r>
      <w:r>
        <w:t>and</w:t>
      </w:r>
      <w:r w:rsidR="00E15E1B">
        <w:t xml:space="preserve"> </w:t>
      </w:r>
      <w:r>
        <w:t>enable</w:t>
      </w:r>
      <w:r w:rsidR="00E15E1B">
        <w:t xml:space="preserve"> </w:t>
      </w:r>
      <w:r>
        <w:t>self-help</w:t>
      </w:r>
      <w:r w:rsidR="00E15E1B">
        <w:t xml:space="preserve"> </w:t>
      </w:r>
      <w:r>
        <w:t>where</w:t>
      </w:r>
      <w:r w:rsidR="00E15E1B">
        <w:t xml:space="preserve"> </w:t>
      </w:r>
      <w:r>
        <w:t>appropriate.</w:t>
      </w:r>
      <w:r w:rsidR="00E15E1B">
        <w:t xml:space="preserve"> </w:t>
      </w:r>
      <w:r>
        <w:t>Our</w:t>
      </w:r>
      <w:r w:rsidR="00E15E1B">
        <w:t xml:space="preserve"> </w:t>
      </w:r>
      <w:r>
        <w:t>improved</w:t>
      </w:r>
      <w:r w:rsidR="00E15E1B">
        <w:t xml:space="preserve"> </w:t>
      </w:r>
      <w:r>
        <w:t>online</w:t>
      </w:r>
      <w:r w:rsidR="00E15E1B">
        <w:t xml:space="preserve"> </w:t>
      </w:r>
      <w:r>
        <w:t>tool</w:t>
      </w:r>
      <w:r w:rsidR="00E15E1B">
        <w:t xml:space="preserve"> </w:t>
      </w:r>
      <w:r>
        <w:t>suite</w:t>
      </w:r>
      <w:r w:rsidR="00E15E1B">
        <w:t xml:space="preserve"> </w:t>
      </w:r>
      <w:r>
        <w:t>includes</w:t>
      </w:r>
      <w:r w:rsidR="00E15E1B">
        <w:t xml:space="preserve"> </w:t>
      </w:r>
      <w:r>
        <w:t>decision</w:t>
      </w:r>
      <w:r w:rsidR="00E15E1B">
        <w:t xml:space="preserve"> </w:t>
      </w:r>
      <w:r>
        <w:t>tree</w:t>
      </w:r>
      <w:r w:rsidR="00E15E1B">
        <w:t xml:space="preserve"> </w:t>
      </w:r>
      <w:r>
        <w:t>functionality</w:t>
      </w:r>
      <w:r w:rsidR="00E15E1B">
        <w:t xml:space="preserve"> </w:t>
      </w:r>
      <w:r>
        <w:t>and</w:t>
      </w:r>
      <w:r w:rsidR="00E15E1B">
        <w:t xml:space="preserve"> </w:t>
      </w:r>
      <w:r>
        <w:t>quizzes.</w:t>
      </w:r>
      <w:r w:rsidR="00E15E1B">
        <w:t xml:space="preserve"> </w:t>
      </w:r>
      <w:r>
        <w:t>Its</w:t>
      </w:r>
      <w:r w:rsidR="00E15E1B">
        <w:t xml:space="preserve"> </w:t>
      </w:r>
      <w:r>
        <w:t>new</w:t>
      </w:r>
      <w:r w:rsidR="00E15E1B">
        <w:t xml:space="preserve"> </w:t>
      </w:r>
      <w:r>
        <w:t>search</w:t>
      </w:r>
      <w:r w:rsidR="00E15E1B">
        <w:t xml:space="preserve"> </w:t>
      </w:r>
      <w:r>
        <w:t>capability</w:t>
      </w:r>
      <w:r w:rsidR="00E15E1B">
        <w:t xml:space="preserve"> </w:t>
      </w:r>
      <w:r>
        <w:t>has</w:t>
      </w:r>
      <w:r w:rsidR="00E15E1B">
        <w:t xml:space="preserve"> </w:t>
      </w:r>
      <w:r>
        <w:t>been</w:t>
      </w:r>
      <w:r w:rsidR="00E15E1B">
        <w:t xml:space="preserve"> </w:t>
      </w:r>
      <w:r>
        <w:t>tested</w:t>
      </w:r>
      <w:r w:rsidR="00E15E1B">
        <w:t xml:space="preserve"> </w:t>
      </w:r>
      <w:r>
        <w:t>with</w:t>
      </w:r>
      <w:r w:rsidR="00E15E1B">
        <w:t xml:space="preserve"> </w:t>
      </w:r>
      <w:r>
        <w:t>real</w:t>
      </w:r>
      <w:r w:rsidR="00E15E1B">
        <w:t xml:space="preserve"> </w:t>
      </w:r>
      <w:r>
        <w:t>users</w:t>
      </w:r>
      <w:r w:rsidR="00E15E1B">
        <w:t xml:space="preserve"> </w:t>
      </w:r>
      <w:r>
        <w:t>to</w:t>
      </w:r>
      <w:r w:rsidR="00E15E1B">
        <w:t xml:space="preserve"> </w:t>
      </w:r>
      <w:r>
        <w:t>support</w:t>
      </w:r>
      <w:r w:rsidR="00E15E1B">
        <w:t xml:space="preserve"> </w:t>
      </w:r>
      <w:r>
        <w:t>a</w:t>
      </w:r>
      <w:r w:rsidR="00E15E1B">
        <w:t xml:space="preserve"> </w:t>
      </w:r>
      <w:r>
        <w:t>digital-first</w:t>
      </w:r>
      <w:r w:rsidR="00E15E1B">
        <w:t xml:space="preserve"> </w:t>
      </w:r>
      <w:r>
        <w:t>approach.</w:t>
      </w:r>
    </w:p>
    <w:p w:rsidR="00156239" w:rsidRDefault="00156239" w:rsidP="00156239">
      <w:pPr>
        <w:pStyle w:val="Heading4"/>
      </w:pPr>
      <w:r>
        <w:t>Underquoting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integrated</w:t>
      </w:r>
      <w:r w:rsidR="00E15E1B">
        <w:t xml:space="preserve"> </w:t>
      </w:r>
      <w:r>
        <w:t>into</w:t>
      </w:r>
      <w:r w:rsidR="00E15E1B">
        <w:t xml:space="preserve"> </w:t>
      </w:r>
      <w:r>
        <w:t>our</w:t>
      </w:r>
      <w:r w:rsidR="00E15E1B">
        <w:t xml:space="preserve"> </w:t>
      </w:r>
      <w:r>
        <w:t>ongoing</w:t>
      </w:r>
      <w:r w:rsidR="00E15E1B">
        <w:t xml:space="preserve"> </w:t>
      </w:r>
      <w:r>
        <w:t>compliance</w:t>
      </w:r>
      <w:r w:rsidR="00E15E1B">
        <w:t xml:space="preserve"> </w:t>
      </w:r>
      <w:r>
        <w:t>program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underquoting</w:t>
      </w:r>
      <w:r w:rsidR="00E15E1B">
        <w:t xml:space="preserve"> </w:t>
      </w:r>
      <w:r>
        <w:t>laws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Estate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Agents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Amendment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(Underquoting)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2016</w:t>
      </w:r>
      <w:r>
        <w:t>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tested</w:t>
      </w:r>
      <w:r w:rsidR="00E15E1B">
        <w:t xml:space="preserve"> </w:t>
      </w:r>
      <w:r>
        <w:t>compliance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laws</w:t>
      </w:r>
      <w:r w:rsidR="00E15E1B">
        <w:t xml:space="preserve"> </w:t>
      </w:r>
      <w:r>
        <w:t>through</w:t>
      </w:r>
      <w:r w:rsidR="00E15E1B">
        <w:t xml:space="preserve"> </w:t>
      </w:r>
      <w:r>
        <w:t>our</w:t>
      </w:r>
      <w:r w:rsidR="00E15E1B">
        <w:t xml:space="preserve"> </w:t>
      </w:r>
      <w:r>
        <w:t>spring</w:t>
      </w:r>
      <w:r w:rsidR="00E15E1B">
        <w:t xml:space="preserve"> </w:t>
      </w:r>
      <w:r>
        <w:t>2017</w:t>
      </w:r>
      <w:r w:rsidR="00E15E1B">
        <w:t xml:space="preserve"> </w:t>
      </w:r>
      <w:r>
        <w:t>and</w:t>
      </w:r>
      <w:r w:rsidR="00E15E1B">
        <w:t xml:space="preserve"> </w:t>
      </w:r>
      <w:r>
        <w:t>autumn</w:t>
      </w:r>
      <w:r w:rsidR="00E15E1B">
        <w:t xml:space="preserve"> </w:t>
      </w:r>
      <w:r>
        <w:t>2018</w:t>
      </w:r>
      <w:r w:rsidR="00E15E1B">
        <w:t xml:space="preserve"> </w:t>
      </w:r>
      <w:r>
        <w:t>auction</w:t>
      </w:r>
      <w:r w:rsidR="00E15E1B">
        <w:t xml:space="preserve"> </w:t>
      </w:r>
      <w:r>
        <w:t>monitoring</w:t>
      </w:r>
      <w:r w:rsidR="00E15E1B">
        <w:t xml:space="preserve"> </w:t>
      </w:r>
      <w:r>
        <w:t>campaigns,</w:t>
      </w:r>
      <w:r w:rsidR="00E15E1B">
        <w:t xml:space="preserve"> </w:t>
      </w:r>
      <w:r>
        <w:t>during</w:t>
      </w:r>
      <w:r w:rsidR="00E15E1B">
        <w:t xml:space="preserve"> </w:t>
      </w:r>
      <w:r>
        <w:t>which</w:t>
      </w:r>
      <w:r w:rsidR="00E15E1B">
        <w:t xml:space="preserve"> </w:t>
      </w:r>
      <w:r>
        <w:t>we</w:t>
      </w:r>
      <w:r w:rsidR="00E15E1B">
        <w:t xml:space="preserve"> </w:t>
      </w:r>
      <w:r>
        <w:t>monitored</w:t>
      </w:r>
      <w:r w:rsidR="00E15E1B">
        <w:t xml:space="preserve"> </w:t>
      </w:r>
      <w:r>
        <w:t>the</w:t>
      </w:r>
      <w:r w:rsidR="00E15E1B">
        <w:t xml:space="preserve"> </w:t>
      </w:r>
      <w:r>
        <w:t>marketing</w:t>
      </w:r>
      <w:r w:rsidR="00E15E1B">
        <w:t xml:space="preserve"> </w:t>
      </w:r>
      <w:r>
        <w:t>of</w:t>
      </w:r>
      <w:r w:rsidR="00E15E1B">
        <w:t xml:space="preserve"> </w:t>
      </w:r>
      <w:r>
        <w:t>100</w:t>
      </w:r>
      <w:r w:rsidR="00E15E1B">
        <w:t xml:space="preserve"> </w:t>
      </w:r>
      <w:r>
        <w:t>properties.</w:t>
      </w:r>
      <w:r w:rsidR="00E15E1B">
        <w:t xml:space="preserve"> </w:t>
      </w:r>
      <w:r>
        <w:t>We</w:t>
      </w:r>
      <w:r w:rsidR="00E15E1B">
        <w:t xml:space="preserve"> </w:t>
      </w:r>
      <w:r>
        <w:t>also</w:t>
      </w:r>
      <w:r w:rsidR="00E15E1B">
        <w:t xml:space="preserve"> </w:t>
      </w:r>
      <w:r>
        <w:t>checked</w:t>
      </w:r>
      <w:r w:rsidR="00E15E1B">
        <w:t xml:space="preserve"> </w:t>
      </w:r>
      <w:r>
        <w:t>estate</w:t>
      </w:r>
      <w:r w:rsidR="00E15E1B">
        <w:t xml:space="preserve"> </w:t>
      </w:r>
      <w:r>
        <w:t>agents’</w:t>
      </w:r>
      <w:r w:rsidR="00E15E1B">
        <w:t xml:space="preserve"> </w:t>
      </w:r>
      <w:r>
        <w:t>compliance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requirements</w:t>
      </w:r>
      <w:r w:rsidR="00E15E1B">
        <w:t xml:space="preserve"> </w:t>
      </w:r>
      <w:r>
        <w:t>relating</w:t>
      </w:r>
      <w:r w:rsidR="00E15E1B">
        <w:t xml:space="preserve"> </w:t>
      </w:r>
      <w:r>
        <w:t>specifically</w:t>
      </w:r>
      <w:r w:rsidR="00E15E1B">
        <w:t xml:space="preserve"> </w:t>
      </w:r>
      <w:r>
        <w:t>to</w:t>
      </w:r>
      <w:r w:rsidR="00E15E1B">
        <w:t xml:space="preserve"> </w:t>
      </w:r>
      <w:r>
        <w:t>statements</w:t>
      </w:r>
      <w:r w:rsidR="00E15E1B">
        <w:t xml:space="preserve"> </w:t>
      </w:r>
      <w:r>
        <w:t>of</w:t>
      </w:r>
      <w:r w:rsidR="00E15E1B">
        <w:t xml:space="preserve"> </w:t>
      </w:r>
      <w:r>
        <w:t>information,</w:t>
      </w:r>
      <w:r w:rsidR="00E15E1B">
        <w:t xml:space="preserve"> </w:t>
      </w:r>
      <w:r>
        <w:t>with</w:t>
      </w:r>
      <w:r w:rsidR="00E15E1B">
        <w:t xml:space="preserve"> </w:t>
      </w:r>
      <w:r>
        <w:t>over</w:t>
      </w:r>
      <w:r w:rsidR="00E15E1B">
        <w:t xml:space="preserve"> </w:t>
      </w:r>
      <w:r>
        <w:t>100</w:t>
      </w:r>
      <w:r w:rsidR="00E15E1B">
        <w:t xml:space="preserve"> </w:t>
      </w:r>
      <w:r>
        <w:t>statements</w:t>
      </w:r>
      <w:r w:rsidR="00E15E1B">
        <w:t xml:space="preserve"> </w:t>
      </w:r>
      <w:r>
        <w:t>assessed</w:t>
      </w:r>
      <w:r w:rsidR="00E15E1B">
        <w:t xml:space="preserve"> </w:t>
      </w:r>
      <w:r>
        <w:t>for</w:t>
      </w:r>
      <w:r w:rsidR="00E15E1B">
        <w:t xml:space="preserve"> </w:t>
      </w:r>
      <w:r>
        <w:t>compliance</w:t>
      </w:r>
      <w:r w:rsidR="00E15E1B">
        <w:t xml:space="preserve"> </w:t>
      </w:r>
      <w:r>
        <w:t>this</w:t>
      </w:r>
      <w:r w:rsidR="00E15E1B">
        <w:t xml:space="preserve"> </w:t>
      </w:r>
      <w:r>
        <w:t>financial</w:t>
      </w:r>
      <w:r w:rsidR="00E15E1B">
        <w:t xml:space="preserve"> </w:t>
      </w:r>
      <w:r>
        <w:t>year.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worked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Real</w:t>
      </w:r>
      <w:r w:rsidR="00E15E1B">
        <w:t xml:space="preserve"> </w:t>
      </w:r>
      <w:r>
        <w:t>Estate</w:t>
      </w:r>
      <w:r w:rsidR="00E15E1B">
        <w:t xml:space="preserve"> </w:t>
      </w:r>
      <w:r>
        <w:t>Institute</w:t>
      </w:r>
      <w:r w:rsidR="00E15E1B">
        <w:t xml:space="preserve"> </w:t>
      </w:r>
      <w:r>
        <w:t>of</w:t>
      </w:r>
      <w:r w:rsidR="00E15E1B">
        <w:t xml:space="preserve"> </w:t>
      </w:r>
      <w:r>
        <w:t>Victoria</w:t>
      </w:r>
      <w:r w:rsidR="00E15E1B">
        <w:t xml:space="preserve"> </w:t>
      </w:r>
      <w:r>
        <w:t>to</w:t>
      </w:r>
      <w:r w:rsidR="00E15E1B">
        <w:t xml:space="preserve"> </w:t>
      </w:r>
      <w:r>
        <w:t>share</w:t>
      </w:r>
      <w:r w:rsidR="00E15E1B">
        <w:t xml:space="preserve"> </w:t>
      </w:r>
      <w:r>
        <w:t>the</w:t>
      </w:r>
      <w:r w:rsidR="00E15E1B">
        <w:t xml:space="preserve"> </w:t>
      </w:r>
      <w:r>
        <w:t>changes</w:t>
      </w:r>
      <w:r w:rsidR="00E15E1B">
        <w:t xml:space="preserve"> </w:t>
      </w:r>
      <w:r>
        <w:t>with</w:t>
      </w:r>
      <w:r w:rsidR="00E15E1B">
        <w:t xml:space="preserve"> </w:t>
      </w:r>
      <w:r>
        <w:t>their</w:t>
      </w:r>
      <w:r w:rsidR="00E15E1B">
        <w:t xml:space="preserve"> </w:t>
      </w:r>
      <w:r>
        <w:t>members,</w:t>
      </w:r>
      <w:r w:rsidR="00E15E1B">
        <w:t xml:space="preserve"> </w:t>
      </w:r>
      <w:r>
        <w:t>and</w:t>
      </w:r>
      <w:r w:rsidR="00E15E1B">
        <w:t xml:space="preserve"> </w:t>
      </w:r>
      <w:r>
        <w:t>connected</w:t>
      </w:r>
      <w:r w:rsidR="00E15E1B">
        <w:t xml:space="preserve"> </w:t>
      </w:r>
      <w:r>
        <w:t>with</w:t>
      </w:r>
      <w:r w:rsidR="00E15E1B">
        <w:t xml:space="preserve"> </w:t>
      </w:r>
      <w:r>
        <w:t>all</w:t>
      </w:r>
      <w:r w:rsidR="00E15E1B">
        <w:t xml:space="preserve"> </w:t>
      </w:r>
      <w:r>
        <w:t>licensed</w:t>
      </w:r>
      <w:r w:rsidR="00E15E1B">
        <w:t xml:space="preserve"> </w:t>
      </w:r>
      <w:r>
        <w:t>estate</w:t>
      </w:r>
      <w:r w:rsidR="00E15E1B">
        <w:t xml:space="preserve"> </w:t>
      </w:r>
      <w:r>
        <w:t>agents</w:t>
      </w:r>
      <w:r w:rsidR="00E15E1B">
        <w:t xml:space="preserve"> </w:t>
      </w:r>
      <w:r>
        <w:t>through</w:t>
      </w:r>
      <w:r w:rsidR="00E15E1B">
        <w:t xml:space="preserve"> </w:t>
      </w:r>
      <w:r>
        <w:t>direct</w:t>
      </w:r>
      <w:r w:rsidR="00E15E1B">
        <w:t xml:space="preserve"> </w:t>
      </w:r>
      <w:r>
        <w:t>mail,</w:t>
      </w:r>
      <w:r w:rsidR="00E15E1B">
        <w:t xml:space="preserve"> </w:t>
      </w:r>
      <w:r>
        <w:t>SMS,</w:t>
      </w:r>
      <w:r w:rsidR="00E15E1B">
        <w:t xml:space="preserve"> </w:t>
      </w:r>
      <w:r>
        <w:t>online</w:t>
      </w:r>
      <w:r w:rsidR="00E15E1B">
        <w:t xml:space="preserve"> </w:t>
      </w:r>
      <w:r>
        <w:t>newsletters</w:t>
      </w:r>
      <w:r w:rsidR="00E15E1B">
        <w:t xml:space="preserve"> </w:t>
      </w:r>
      <w:r>
        <w:t>and</w:t>
      </w:r>
      <w:r w:rsidR="00E15E1B">
        <w:t xml:space="preserve"> </w:t>
      </w:r>
      <w:r>
        <w:t>social</w:t>
      </w:r>
      <w:r w:rsidR="00E15E1B">
        <w:t xml:space="preserve"> </w:t>
      </w:r>
      <w:r>
        <w:t>media</w:t>
      </w:r>
      <w:r w:rsidR="00E15E1B">
        <w:t xml:space="preserve"> </w:t>
      </w:r>
      <w:r>
        <w:t>about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laws.</w:t>
      </w:r>
      <w:r w:rsidR="00E15E1B">
        <w:t xml:space="preserve"> </w:t>
      </w:r>
      <w:r>
        <w:t>We</w:t>
      </w:r>
      <w:r w:rsidR="00E15E1B">
        <w:t xml:space="preserve"> </w:t>
      </w:r>
      <w:r>
        <w:t>partnered</w:t>
      </w:r>
      <w:r w:rsidR="00E15E1B">
        <w:t xml:space="preserve"> </w:t>
      </w:r>
      <w:r>
        <w:t>with</w:t>
      </w:r>
      <w:r w:rsidR="00E15E1B">
        <w:t xml:space="preserve"> </w:t>
      </w:r>
      <w:hyperlink r:id="rId14" w:history="1">
        <w:r w:rsidRPr="0084359B">
          <w:rPr>
            <w:rStyle w:val="Hyperlink"/>
          </w:rPr>
          <w:t>Realestate.com.au</w:t>
        </w:r>
      </w:hyperlink>
      <w:r w:rsidR="00E15E1B">
        <w:t xml:space="preserve"> </w:t>
      </w:r>
      <w:r>
        <w:t>(who</w:t>
      </w:r>
      <w:r w:rsidR="00E15E1B">
        <w:t xml:space="preserve"> </w:t>
      </w:r>
      <w:r>
        <w:t>are</w:t>
      </w:r>
      <w:r w:rsidR="00E15E1B">
        <w:t xml:space="preserve"> </w:t>
      </w:r>
      <w:r>
        <w:t>a</w:t>
      </w:r>
      <w:r w:rsidR="00E15E1B">
        <w:t xml:space="preserve"> </w:t>
      </w:r>
      <w:r>
        <w:t>part</w:t>
      </w:r>
      <w:r w:rsidR="00E15E1B">
        <w:t xml:space="preserve"> </w:t>
      </w:r>
      <w:r>
        <w:t>of</w:t>
      </w:r>
      <w:r w:rsidR="00E15E1B">
        <w:t xml:space="preserve"> </w:t>
      </w:r>
      <w:r>
        <w:t>REA</w:t>
      </w:r>
      <w:r w:rsidR="00E15E1B">
        <w:t xml:space="preserve"> </w:t>
      </w:r>
      <w:r>
        <w:t>Group),</w:t>
      </w:r>
      <w:r w:rsidR="00E15E1B">
        <w:t xml:space="preserve"> </w:t>
      </w:r>
      <w:r>
        <w:t>the</w:t>
      </w:r>
      <w:r w:rsidR="00E15E1B">
        <w:t xml:space="preserve"> </w:t>
      </w:r>
      <w:r>
        <w:t>leading</w:t>
      </w:r>
      <w:r w:rsidR="00E15E1B">
        <w:t xml:space="preserve"> </w:t>
      </w:r>
      <w:r>
        <w:t>real</w:t>
      </w:r>
      <w:r w:rsidR="00E15E1B">
        <w:t xml:space="preserve"> </w:t>
      </w:r>
      <w:r>
        <w:t>estate</w:t>
      </w:r>
      <w:r w:rsidR="00E15E1B">
        <w:t xml:space="preserve"> </w:t>
      </w:r>
      <w:r>
        <w:t>platform</w:t>
      </w:r>
      <w:r w:rsidR="00E15E1B">
        <w:t xml:space="preserve"> </w:t>
      </w:r>
      <w:r>
        <w:t>in</w:t>
      </w:r>
      <w:r w:rsidR="00E15E1B">
        <w:t xml:space="preserve"> </w:t>
      </w:r>
      <w:r>
        <w:t>Australia,</w:t>
      </w:r>
      <w:r w:rsidR="00E15E1B">
        <w:t xml:space="preserve"> </w:t>
      </w:r>
      <w:r>
        <w:t>to</w:t>
      </w:r>
      <w:r w:rsidR="00E15E1B">
        <w:t xml:space="preserve"> </w:t>
      </w:r>
      <w:r>
        <w:t>deliver</w:t>
      </w:r>
      <w:r w:rsidR="00E15E1B">
        <w:t xml:space="preserve"> </w:t>
      </w:r>
      <w:r>
        <w:t>original,</w:t>
      </w:r>
      <w:r w:rsidR="00E15E1B">
        <w:t xml:space="preserve"> </w:t>
      </w:r>
      <w:r>
        <w:t>bespoke</w:t>
      </w:r>
      <w:r w:rsidR="00E15E1B">
        <w:t xml:space="preserve"> </w:t>
      </w:r>
      <w:r>
        <w:t>content</w:t>
      </w:r>
      <w:r w:rsidR="00E15E1B">
        <w:t xml:space="preserve"> </w:t>
      </w:r>
      <w:r>
        <w:t>to</w:t>
      </w:r>
      <w:r w:rsidR="00E15E1B">
        <w:t xml:space="preserve"> </w:t>
      </w:r>
      <w:r>
        <w:t>first</w:t>
      </w:r>
      <w:r w:rsidR="00E15E1B">
        <w:t xml:space="preserve"> </w:t>
      </w:r>
      <w:r>
        <w:t>home</w:t>
      </w:r>
      <w:r w:rsidR="00E15E1B">
        <w:t xml:space="preserve"> </w:t>
      </w:r>
      <w:r>
        <w:t>buyers</w:t>
      </w:r>
      <w:r w:rsidR="00E15E1B">
        <w:t xml:space="preserve"> </w:t>
      </w:r>
      <w:r>
        <w:t>actively</w:t>
      </w:r>
      <w:r w:rsidR="00E15E1B">
        <w:t xml:space="preserve"> </w:t>
      </w:r>
      <w:r>
        <w:t>looking</w:t>
      </w:r>
      <w:r w:rsidR="00E15E1B">
        <w:t xml:space="preserve"> </w:t>
      </w:r>
      <w:r>
        <w:t>to</w:t>
      </w:r>
      <w:r w:rsidR="00E15E1B">
        <w:t xml:space="preserve"> </w:t>
      </w:r>
      <w:r>
        <w:t>purchase</w:t>
      </w:r>
      <w:r w:rsidR="00E15E1B">
        <w:t xml:space="preserve"> </w:t>
      </w:r>
      <w:r>
        <w:t>properties.</w:t>
      </w:r>
      <w:r w:rsidR="00E15E1B">
        <w:t xml:space="preserve"> </w:t>
      </w:r>
      <w:r>
        <w:t>REA</w:t>
      </w:r>
      <w:r w:rsidR="00E15E1B">
        <w:t xml:space="preserve"> </w:t>
      </w:r>
      <w:r>
        <w:t>Group</w:t>
      </w:r>
      <w:r w:rsidR="00E15E1B">
        <w:t xml:space="preserve"> </w:t>
      </w:r>
      <w:r>
        <w:t>created</w:t>
      </w:r>
      <w:r w:rsidR="00E15E1B">
        <w:t xml:space="preserve"> </w:t>
      </w:r>
      <w:r>
        <w:t>and</w:t>
      </w:r>
      <w:r w:rsidR="00E15E1B">
        <w:t xml:space="preserve"> </w:t>
      </w:r>
      <w:r>
        <w:t>promoted</w:t>
      </w:r>
      <w:r w:rsidR="00E15E1B">
        <w:t xml:space="preserve"> </w:t>
      </w:r>
      <w:r>
        <w:t>two</w:t>
      </w:r>
      <w:r w:rsidR="00E15E1B">
        <w:t xml:space="preserve"> </w:t>
      </w:r>
      <w:r>
        <w:t>videos</w:t>
      </w:r>
      <w:r w:rsidR="00E15E1B">
        <w:t xml:space="preserve"> </w:t>
      </w:r>
      <w:r>
        <w:t>and</w:t>
      </w:r>
      <w:r w:rsidR="00E15E1B">
        <w:t xml:space="preserve"> </w:t>
      </w:r>
      <w:r>
        <w:t>articles</w:t>
      </w:r>
      <w:r w:rsidR="00E15E1B">
        <w:t xml:space="preserve"> </w:t>
      </w:r>
      <w:r>
        <w:t>that</w:t>
      </w:r>
      <w:r w:rsidR="00E15E1B">
        <w:t xml:space="preserve"> </w:t>
      </w:r>
      <w:r>
        <w:t>shared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underquoting</w:t>
      </w:r>
      <w:r w:rsidR="00E15E1B">
        <w:t xml:space="preserve"> </w:t>
      </w:r>
      <w:r>
        <w:t>laws</w:t>
      </w:r>
      <w:r w:rsidR="00E15E1B">
        <w:t xml:space="preserve"> </w:t>
      </w:r>
      <w:r>
        <w:t>through</w:t>
      </w:r>
      <w:r w:rsidR="00E15E1B">
        <w:t xml:space="preserve"> </w:t>
      </w:r>
      <w:r>
        <w:t>contextual</w:t>
      </w:r>
      <w:r w:rsidR="00E15E1B">
        <w:t xml:space="preserve"> </w:t>
      </w:r>
      <w:r>
        <w:t>case</w:t>
      </w:r>
      <w:r w:rsidR="00E15E1B">
        <w:t xml:space="preserve"> </w:t>
      </w:r>
      <w:r>
        <w:t>studies.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took</w:t>
      </w:r>
      <w:r w:rsidR="00E15E1B">
        <w:t xml:space="preserve"> </w:t>
      </w:r>
      <w:r>
        <w:t>strong</w:t>
      </w:r>
      <w:r w:rsidR="00E15E1B">
        <w:t xml:space="preserve"> </w:t>
      </w:r>
      <w:r>
        <w:t>enforcement</w:t>
      </w:r>
      <w:r w:rsidR="00E15E1B">
        <w:t xml:space="preserve"> </w:t>
      </w:r>
      <w:r>
        <w:t>action</w:t>
      </w:r>
      <w:r w:rsidR="00E15E1B">
        <w:t xml:space="preserve"> </w:t>
      </w:r>
      <w:r>
        <w:t>when</w:t>
      </w:r>
      <w:r w:rsidR="00E15E1B">
        <w:t xml:space="preserve"> </w:t>
      </w:r>
      <w:r>
        <w:t>laws</w:t>
      </w:r>
      <w:r w:rsidR="00E15E1B">
        <w:t xml:space="preserve"> </w:t>
      </w:r>
      <w:r>
        <w:t>were</w:t>
      </w:r>
      <w:r w:rsidR="00E15E1B">
        <w:t xml:space="preserve"> </w:t>
      </w:r>
      <w:r>
        <w:t>not</w:t>
      </w:r>
      <w:r w:rsidR="00E15E1B">
        <w:t xml:space="preserve"> </w:t>
      </w:r>
      <w:r>
        <w:t>followed.</w:t>
      </w:r>
      <w:r w:rsidR="00E15E1B">
        <w:t xml:space="preserve"> </w:t>
      </w:r>
      <w:r>
        <w:t>The</w:t>
      </w:r>
      <w:r w:rsidR="00E15E1B">
        <w:t xml:space="preserve"> </w:t>
      </w:r>
      <w:r>
        <w:t>Federal</w:t>
      </w:r>
      <w:r w:rsidR="00E15E1B">
        <w:t xml:space="preserve"> </w:t>
      </w:r>
      <w:r>
        <w:t>Court</w:t>
      </w:r>
      <w:r w:rsidR="00E15E1B">
        <w:t xml:space="preserve"> </w:t>
      </w:r>
      <w:r>
        <w:t>of</w:t>
      </w:r>
      <w:r w:rsidR="00E15E1B">
        <w:t xml:space="preserve"> </w:t>
      </w:r>
      <w:r>
        <w:t>Australia</w:t>
      </w:r>
      <w:r w:rsidR="00E15E1B">
        <w:t xml:space="preserve"> </w:t>
      </w:r>
      <w:r>
        <w:t>found</w:t>
      </w:r>
      <w:r w:rsidR="00E15E1B">
        <w:t xml:space="preserve"> </w:t>
      </w:r>
      <w:r>
        <w:t>Fletcher</w:t>
      </w:r>
      <w:r w:rsidR="00E15E1B">
        <w:t xml:space="preserve"> </w:t>
      </w:r>
      <w:r>
        <w:t>and</w:t>
      </w:r>
      <w:r w:rsidR="00E15E1B">
        <w:t xml:space="preserve"> </w:t>
      </w:r>
      <w:r>
        <w:t>Parker</w:t>
      </w:r>
      <w:r w:rsidR="00E15E1B">
        <w:t xml:space="preserve"> </w:t>
      </w:r>
      <w:r>
        <w:t>(Balwyn)</w:t>
      </w:r>
      <w:r w:rsidR="00E15E1B">
        <w:t xml:space="preserve"> </w:t>
      </w:r>
      <w:r>
        <w:t>Pty</w:t>
      </w:r>
      <w:r w:rsidR="00E15E1B">
        <w:t xml:space="preserve"> </w:t>
      </w:r>
      <w:r>
        <w:t>Ltd</w:t>
      </w:r>
      <w:r w:rsidR="00E15E1B">
        <w:t xml:space="preserve"> </w:t>
      </w:r>
      <w:r>
        <w:t>engaged</w:t>
      </w:r>
      <w:r w:rsidR="00E15E1B">
        <w:t xml:space="preserve"> </w:t>
      </w:r>
      <w:r>
        <w:t>in</w:t>
      </w:r>
      <w:r w:rsidR="00E15E1B">
        <w:t xml:space="preserve"> </w:t>
      </w:r>
      <w:r>
        <w:t>misleading</w:t>
      </w:r>
      <w:r w:rsidR="00E15E1B">
        <w:t xml:space="preserve"> </w:t>
      </w:r>
      <w:r>
        <w:t>or</w:t>
      </w:r>
      <w:r w:rsidR="00E15E1B">
        <w:t xml:space="preserve"> </w:t>
      </w:r>
      <w:r>
        <w:t>deceptive</w:t>
      </w:r>
      <w:r w:rsidR="00E15E1B">
        <w:t xml:space="preserve"> </w:t>
      </w:r>
      <w:r>
        <w:t>conduct,</w:t>
      </w:r>
      <w:r w:rsidR="00E15E1B">
        <w:t xml:space="preserve"> </w:t>
      </w:r>
      <w:r>
        <w:t>and</w:t>
      </w:r>
      <w:r w:rsidR="00E15E1B">
        <w:t xml:space="preserve"> </w:t>
      </w:r>
      <w:r>
        <w:t>made</w:t>
      </w:r>
      <w:r w:rsidR="00E15E1B">
        <w:t xml:space="preserve"> </w:t>
      </w:r>
      <w:r>
        <w:t>false</w:t>
      </w:r>
      <w:r w:rsidR="00E15E1B">
        <w:t xml:space="preserve"> </w:t>
      </w:r>
      <w:r>
        <w:t>or</w:t>
      </w:r>
      <w:r w:rsidR="00E15E1B">
        <w:t xml:space="preserve"> </w:t>
      </w:r>
      <w:r>
        <w:t>misleading</w:t>
      </w:r>
      <w:r w:rsidR="00E15E1B">
        <w:t xml:space="preserve"> </w:t>
      </w:r>
      <w:r>
        <w:t>representations</w:t>
      </w:r>
      <w:r w:rsidR="00E15E1B">
        <w:t xml:space="preserve"> </w:t>
      </w:r>
      <w:r>
        <w:t>about</w:t>
      </w:r>
      <w:r w:rsidR="00E15E1B">
        <w:t xml:space="preserve"> </w:t>
      </w:r>
      <w:r>
        <w:t>the</w:t>
      </w:r>
      <w:r w:rsidR="00E15E1B">
        <w:t xml:space="preserve"> </w:t>
      </w:r>
      <w:r>
        <w:t>sale</w:t>
      </w:r>
      <w:r w:rsidR="00E15E1B">
        <w:t xml:space="preserve"> </w:t>
      </w:r>
      <w:r>
        <w:t>of</w:t>
      </w:r>
      <w:r w:rsidR="00E15E1B">
        <w:t xml:space="preserve"> </w:t>
      </w:r>
      <w:r>
        <w:t>land.</w:t>
      </w:r>
      <w:r w:rsidR="00E15E1B">
        <w:t xml:space="preserve"> </w:t>
      </w:r>
      <w:r>
        <w:t>Our</w:t>
      </w:r>
      <w:r w:rsidR="00E15E1B">
        <w:t xml:space="preserve"> </w:t>
      </w:r>
      <w:r>
        <w:t>investigation</w:t>
      </w:r>
      <w:r w:rsidR="00E15E1B">
        <w:t xml:space="preserve"> </w:t>
      </w:r>
      <w:r>
        <w:t>revealed</w:t>
      </w:r>
      <w:r w:rsidR="00E15E1B">
        <w:t xml:space="preserve"> </w:t>
      </w:r>
      <w:r>
        <w:t>the</w:t>
      </w:r>
      <w:r w:rsidR="00E15E1B">
        <w:t xml:space="preserve"> </w:t>
      </w:r>
      <w:r>
        <w:t>agency</w:t>
      </w:r>
      <w:r w:rsidR="00E15E1B">
        <w:t xml:space="preserve"> </w:t>
      </w:r>
      <w:r>
        <w:t>had</w:t>
      </w:r>
      <w:r w:rsidR="00E15E1B">
        <w:t xml:space="preserve"> </w:t>
      </w:r>
      <w:r>
        <w:t>marketed</w:t>
      </w:r>
      <w:r w:rsidR="00E15E1B">
        <w:t xml:space="preserve"> </w:t>
      </w:r>
      <w:r>
        <w:t>and</w:t>
      </w:r>
      <w:r w:rsidR="00E15E1B">
        <w:t xml:space="preserve"> </w:t>
      </w:r>
      <w:r>
        <w:t>negotiated</w:t>
      </w:r>
      <w:r w:rsidR="00E15E1B">
        <w:t xml:space="preserve"> </w:t>
      </w:r>
      <w:r>
        <w:t>the</w:t>
      </w:r>
      <w:r w:rsidR="00E15E1B">
        <w:t xml:space="preserve"> </w:t>
      </w:r>
      <w:r>
        <w:t>sale</w:t>
      </w:r>
      <w:r w:rsidR="00E15E1B">
        <w:t xml:space="preserve"> </w:t>
      </w:r>
      <w:r>
        <w:t>of</w:t>
      </w:r>
      <w:r w:rsidR="00E15E1B">
        <w:t xml:space="preserve"> </w:t>
      </w:r>
      <w:r>
        <w:t>22</w:t>
      </w:r>
      <w:r w:rsidR="00E15E1B">
        <w:t xml:space="preserve"> </w:t>
      </w:r>
      <w:r>
        <w:t>residential</w:t>
      </w:r>
      <w:r w:rsidR="00E15E1B">
        <w:t xml:space="preserve"> </w:t>
      </w:r>
      <w:r>
        <w:t>properties</w:t>
      </w:r>
      <w:r w:rsidR="00E15E1B">
        <w:t xml:space="preserve"> </w:t>
      </w:r>
      <w:r>
        <w:t>throughout</w:t>
      </w:r>
      <w:r w:rsidR="00E15E1B">
        <w:t xml:space="preserve"> </w:t>
      </w:r>
      <w:r>
        <w:t>2015,</w:t>
      </w:r>
      <w:r w:rsidR="00E15E1B">
        <w:t xml:space="preserve"> </w:t>
      </w:r>
      <w:r>
        <w:t>knowing</w:t>
      </w:r>
      <w:r w:rsidR="00E15E1B">
        <w:t xml:space="preserve"> </w:t>
      </w:r>
      <w:r>
        <w:t>the</w:t>
      </w:r>
      <w:r w:rsidR="00E15E1B">
        <w:t xml:space="preserve"> </w:t>
      </w:r>
      <w:r>
        <w:t>vendors</w:t>
      </w:r>
      <w:r w:rsidR="00E15E1B">
        <w:t xml:space="preserve"> </w:t>
      </w:r>
      <w:r>
        <w:t>would</w:t>
      </w:r>
      <w:r w:rsidR="00E15E1B">
        <w:t xml:space="preserve"> </w:t>
      </w:r>
      <w:r>
        <w:t>not</w:t>
      </w:r>
      <w:r w:rsidR="00E15E1B">
        <w:t xml:space="preserve"> </w:t>
      </w:r>
      <w:r>
        <w:t>sell</w:t>
      </w:r>
      <w:r w:rsidR="00E15E1B">
        <w:t xml:space="preserve"> </w:t>
      </w:r>
      <w:r>
        <w:t>for</w:t>
      </w:r>
      <w:r w:rsidR="00E15E1B">
        <w:t xml:space="preserve"> </w:t>
      </w:r>
      <w:r>
        <w:t>a</w:t>
      </w:r>
      <w:r w:rsidR="00E15E1B">
        <w:t xml:space="preserve"> </w:t>
      </w:r>
      <w:r>
        <w:t>price</w:t>
      </w:r>
      <w:r w:rsidR="00E15E1B">
        <w:t xml:space="preserve"> </w:t>
      </w:r>
      <w:r>
        <w:t>within</w:t>
      </w:r>
      <w:r w:rsidR="00E15E1B">
        <w:t xml:space="preserve"> </w:t>
      </w:r>
      <w:r>
        <w:t>the</w:t>
      </w:r>
      <w:r w:rsidR="00E15E1B">
        <w:t xml:space="preserve"> </w:t>
      </w:r>
      <w:r>
        <w:t>listed</w:t>
      </w:r>
      <w:r w:rsidR="00E15E1B">
        <w:t xml:space="preserve"> </w:t>
      </w:r>
      <w:r>
        <w:t>range,</w:t>
      </w:r>
      <w:r w:rsidR="00E15E1B">
        <w:t xml:space="preserve"> </w:t>
      </w:r>
      <w:r>
        <w:t>or</w:t>
      </w:r>
      <w:r w:rsidR="00E15E1B">
        <w:t xml:space="preserve"> </w:t>
      </w:r>
      <w:r>
        <w:t>properties</w:t>
      </w:r>
      <w:r w:rsidR="00E15E1B">
        <w:t xml:space="preserve"> </w:t>
      </w:r>
      <w:r>
        <w:t>were</w:t>
      </w:r>
      <w:r w:rsidR="00E15E1B">
        <w:t xml:space="preserve"> </w:t>
      </w:r>
      <w:r>
        <w:t>unlikely</w:t>
      </w:r>
      <w:r w:rsidR="00E15E1B">
        <w:t xml:space="preserve"> </w:t>
      </w:r>
      <w:r>
        <w:t>to</w:t>
      </w:r>
      <w:r w:rsidR="00E15E1B">
        <w:t xml:space="preserve"> </w:t>
      </w:r>
      <w:r>
        <w:t>sell</w:t>
      </w:r>
      <w:r w:rsidR="00E15E1B">
        <w:t xml:space="preserve"> </w:t>
      </w:r>
      <w:r>
        <w:t>for</w:t>
      </w:r>
      <w:r w:rsidR="00E15E1B">
        <w:t xml:space="preserve"> </w:t>
      </w:r>
      <w:r>
        <w:t>the</w:t>
      </w:r>
      <w:r w:rsidR="00E15E1B">
        <w:t xml:space="preserve"> </w:t>
      </w:r>
      <w:r>
        <w:t>listed</w:t>
      </w:r>
      <w:r w:rsidR="00E15E1B">
        <w:t xml:space="preserve"> </w:t>
      </w:r>
      <w:r>
        <w:t>price.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$880,000</w:t>
      </w:r>
      <w:r w:rsidR="00E15E1B">
        <w:t xml:space="preserve"> </w:t>
      </w:r>
      <w:r>
        <w:t>penalty</w:t>
      </w:r>
      <w:r w:rsidR="00E15E1B">
        <w:t xml:space="preserve"> </w:t>
      </w:r>
      <w:r>
        <w:t>was</w:t>
      </w:r>
      <w:r w:rsidR="00E15E1B">
        <w:t xml:space="preserve"> </w:t>
      </w:r>
      <w:r>
        <w:t>a</w:t>
      </w:r>
      <w:r w:rsidR="00E15E1B">
        <w:t xml:space="preserve"> </w:t>
      </w:r>
      <w:r>
        <w:t>state</w:t>
      </w:r>
      <w:r w:rsidR="00E15E1B">
        <w:t xml:space="preserve"> </w:t>
      </w:r>
      <w:r>
        <w:t>record</w:t>
      </w:r>
      <w:r w:rsidR="00E15E1B">
        <w:t xml:space="preserve"> </w:t>
      </w:r>
      <w:r>
        <w:t>for</w:t>
      </w:r>
      <w:r w:rsidR="00E15E1B">
        <w:t xml:space="preserve"> </w:t>
      </w:r>
      <w:r>
        <w:t>underquoting.</w:t>
      </w:r>
      <w:r w:rsidR="00E15E1B">
        <w:t xml:space="preserve"> </w:t>
      </w:r>
      <w:r>
        <w:t>Fletcher</w:t>
      </w:r>
      <w:r w:rsidR="00E15E1B">
        <w:t xml:space="preserve"> </w:t>
      </w:r>
      <w:r>
        <w:t>and</w:t>
      </w:r>
      <w:r w:rsidR="00E15E1B">
        <w:t xml:space="preserve"> </w:t>
      </w:r>
      <w:r>
        <w:t>Parker</w:t>
      </w:r>
      <w:r w:rsidR="00E15E1B">
        <w:t xml:space="preserve"> </w:t>
      </w:r>
      <w:r>
        <w:t>was</w:t>
      </w:r>
      <w:r w:rsidR="00E15E1B">
        <w:t xml:space="preserve"> </w:t>
      </w:r>
      <w:r>
        <w:t>also</w:t>
      </w:r>
      <w:r w:rsidR="00E15E1B">
        <w:t xml:space="preserve"> </w:t>
      </w:r>
      <w:r>
        <w:t>ordered</w:t>
      </w:r>
      <w:r w:rsidR="00E15E1B">
        <w:t xml:space="preserve"> </w:t>
      </w:r>
      <w:r>
        <w:t>to</w:t>
      </w:r>
      <w:r w:rsidR="00E15E1B">
        <w:t xml:space="preserve"> </w:t>
      </w:r>
      <w:r>
        <w:t>undertake</w:t>
      </w:r>
      <w:r w:rsidR="00E15E1B">
        <w:t xml:space="preserve"> </w:t>
      </w:r>
      <w:r>
        <w:t>a</w:t>
      </w:r>
      <w:r w:rsidR="00E15E1B">
        <w:t xml:space="preserve"> </w:t>
      </w:r>
      <w:r>
        <w:t>compliance</w:t>
      </w:r>
      <w:r w:rsidR="00E15E1B">
        <w:t xml:space="preserve"> </w:t>
      </w:r>
      <w:r>
        <w:t>program,</w:t>
      </w:r>
      <w:r w:rsidR="00E15E1B">
        <w:t xml:space="preserve"> </w:t>
      </w:r>
      <w:r>
        <w:t>publish</w:t>
      </w:r>
      <w:r w:rsidR="00E15E1B">
        <w:t xml:space="preserve"> </w:t>
      </w:r>
      <w:r>
        <w:t>adverse</w:t>
      </w:r>
      <w:r w:rsidR="00E15E1B">
        <w:t xml:space="preserve"> </w:t>
      </w:r>
      <w:r>
        <w:t>publicity</w:t>
      </w:r>
      <w:r w:rsidR="00E15E1B">
        <w:t xml:space="preserve"> </w:t>
      </w:r>
      <w:r>
        <w:t>notices</w:t>
      </w:r>
      <w:r w:rsidR="00E15E1B">
        <w:t xml:space="preserve"> </w:t>
      </w:r>
      <w:r>
        <w:t>about</w:t>
      </w:r>
      <w:r w:rsidR="00E15E1B">
        <w:t xml:space="preserve"> </w:t>
      </w:r>
      <w:r>
        <w:t>its</w:t>
      </w:r>
      <w:r w:rsidR="00E15E1B">
        <w:t xml:space="preserve"> </w:t>
      </w:r>
      <w:r>
        <w:t>illegal</w:t>
      </w:r>
      <w:r w:rsidR="00E15E1B">
        <w:t xml:space="preserve"> </w:t>
      </w:r>
      <w:r>
        <w:t>conduct</w:t>
      </w:r>
      <w:r w:rsidR="00E15E1B">
        <w:t xml:space="preserve"> </w:t>
      </w:r>
      <w:r>
        <w:t>and</w:t>
      </w:r>
      <w:r w:rsidR="00E15E1B">
        <w:t xml:space="preserve"> </w:t>
      </w:r>
      <w:r>
        <w:t>pay</w:t>
      </w:r>
      <w:r w:rsidR="00E15E1B">
        <w:t xml:space="preserve"> </w:t>
      </w:r>
      <w:r>
        <w:t>our</w:t>
      </w:r>
      <w:r w:rsidR="00E15E1B">
        <w:t xml:space="preserve"> </w:t>
      </w:r>
      <w:r>
        <w:t>legal</w:t>
      </w:r>
      <w:r w:rsidR="00E15E1B">
        <w:t xml:space="preserve"> </w:t>
      </w:r>
      <w:r>
        <w:t>costs.</w:t>
      </w:r>
    </w:p>
    <w:p w:rsidR="00156239" w:rsidRDefault="00156239" w:rsidP="00156239">
      <w:pPr>
        <w:pStyle w:val="Heading4"/>
      </w:pPr>
      <w:r>
        <w:lastRenderedPageBreak/>
        <w:t>Misuse</w:t>
      </w:r>
      <w:r w:rsidR="00E15E1B">
        <w:t xml:space="preserve"> </w:t>
      </w:r>
      <w:r>
        <w:t>of</w:t>
      </w:r>
      <w:r w:rsidR="00E15E1B">
        <w:t xml:space="preserve"> </w:t>
      </w:r>
      <w:r>
        <w:t>real</w:t>
      </w:r>
      <w:r w:rsidR="00E15E1B">
        <w:t xml:space="preserve"> </w:t>
      </w:r>
      <w:r>
        <w:t>estate</w:t>
      </w:r>
      <w:r w:rsidR="00E15E1B">
        <w:t xml:space="preserve"> </w:t>
      </w:r>
      <w:r>
        <w:t>trust</w:t>
      </w:r>
      <w:r w:rsidR="00E15E1B">
        <w:t xml:space="preserve"> </w:t>
      </w:r>
      <w:r>
        <w:t>account</w:t>
      </w:r>
      <w:r w:rsidR="00E15E1B">
        <w:t xml:space="preserve"> </w:t>
      </w:r>
      <w:r>
        <w:t>money</w:t>
      </w:r>
    </w:p>
    <w:p w:rsidR="00156239" w:rsidRDefault="00156239" w:rsidP="00156239">
      <w:pPr>
        <w:pStyle w:val="BodyText"/>
      </w:pPr>
      <w:r>
        <w:t>Buying</w:t>
      </w:r>
      <w:r w:rsidR="00E15E1B">
        <w:t xml:space="preserve"> </w:t>
      </w:r>
      <w:r>
        <w:t>or</w:t>
      </w:r>
      <w:r w:rsidR="00E15E1B">
        <w:t xml:space="preserve"> </w:t>
      </w:r>
      <w:r>
        <w:t>selling</w:t>
      </w:r>
      <w:r w:rsidR="00E15E1B">
        <w:t xml:space="preserve"> </w:t>
      </w:r>
      <w:r>
        <w:t>a</w:t>
      </w:r>
      <w:r w:rsidR="00E15E1B">
        <w:t xml:space="preserve"> </w:t>
      </w:r>
      <w:r>
        <w:t>home</w:t>
      </w:r>
      <w:r w:rsidR="00E15E1B">
        <w:t xml:space="preserve"> </w:t>
      </w:r>
      <w:r>
        <w:t>is</w:t>
      </w:r>
      <w:r w:rsidR="00E15E1B">
        <w:t xml:space="preserve"> </w:t>
      </w:r>
      <w:r>
        <w:t>the</w:t>
      </w:r>
      <w:r w:rsidR="00E15E1B">
        <w:t xml:space="preserve"> </w:t>
      </w:r>
      <w:r>
        <w:t>biggest</w:t>
      </w:r>
      <w:r w:rsidR="00E15E1B">
        <w:t xml:space="preserve"> </w:t>
      </w:r>
      <w:r>
        <w:t>financial</w:t>
      </w:r>
      <w:r w:rsidR="00E15E1B">
        <w:t xml:space="preserve"> </w:t>
      </w:r>
      <w:r>
        <w:t>transaction</w:t>
      </w:r>
      <w:r w:rsidR="00E15E1B">
        <w:t xml:space="preserve"> </w:t>
      </w:r>
      <w:r>
        <w:t>many</w:t>
      </w:r>
      <w:r w:rsidR="00E15E1B">
        <w:t xml:space="preserve"> </w:t>
      </w:r>
      <w:r>
        <w:t>people</w:t>
      </w:r>
      <w:r w:rsidR="00E15E1B">
        <w:t xml:space="preserve"> </w:t>
      </w:r>
      <w:r>
        <w:t>undertake</w:t>
      </w:r>
      <w:r w:rsidR="00E15E1B">
        <w:t xml:space="preserve"> </w:t>
      </w:r>
      <w:r>
        <w:t>in</w:t>
      </w:r>
      <w:r w:rsidR="00E15E1B">
        <w:t xml:space="preserve"> </w:t>
      </w:r>
      <w:r>
        <w:t>their</w:t>
      </w:r>
      <w:r w:rsidR="00E15E1B">
        <w:t xml:space="preserve"> </w:t>
      </w:r>
      <w:r>
        <w:t>lifetime.</w:t>
      </w:r>
      <w:r w:rsidR="00E15E1B">
        <w:t xml:space="preserve"> </w:t>
      </w:r>
      <w:r>
        <w:t>When</w:t>
      </w:r>
      <w:r w:rsidR="00E15E1B">
        <w:t xml:space="preserve"> </w:t>
      </w:r>
      <w:r>
        <w:t>selling,</w:t>
      </w:r>
      <w:r w:rsidR="00E15E1B">
        <w:t xml:space="preserve"> </w:t>
      </w:r>
      <w:r>
        <w:t>most</w:t>
      </w:r>
      <w:r w:rsidR="00E15E1B">
        <w:t xml:space="preserve"> </w:t>
      </w:r>
      <w:r>
        <w:t>Victorians</w:t>
      </w:r>
      <w:r w:rsidR="00E15E1B">
        <w:t xml:space="preserve"> </w:t>
      </w:r>
      <w:r>
        <w:t>put</w:t>
      </w:r>
      <w:r w:rsidR="00E15E1B">
        <w:t xml:space="preserve"> </w:t>
      </w:r>
      <w:r>
        <w:t>their</w:t>
      </w:r>
      <w:r w:rsidR="00E15E1B">
        <w:t xml:space="preserve"> </w:t>
      </w:r>
      <w:r>
        <w:t>trust</w:t>
      </w:r>
      <w:r w:rsidR="00E15E1B">
        <w:t xml:space="preserve"> </w:t>
      </w:r>
      <w:r>
        <w:t>in</w:t>
      </w:r>
      <w:r w:rsidR="00E15E1B">
        <w:t xml:space="preserve"> </w:t>
      </w:r>
      <w:r>
        <w:t>an</w:t>
      </w:r>
      <w:r w:rsidR="00E15E1B">
        <w:t xml:space="preserve"> </w:t>
      </w:r>
      <w:r>
        <w:t>estate</w:t>
      </w:r>
      <w:r w:rsidR="00E15E1B">
        <w:t xml:space="preserve"> </w:t>
      </w:r>
      <w:r>
        <w:t>agent.</w:t>
      </w:r>
      <w:r w:rsidR="00E15E1B">
        <w:t xml:space="preserve"> </w:t>
      </w:r>
      <w:r>
        <w:t>One</w:t>
      </w:r>
      <w:r w:rsidR="00E15E1B">
        <w:t xml:space="preserve"> </w:t>
      </w:r>
      <w:r>
        <w:t>of</w:t>
      </w:r>
      <w:r w:rsidR="00E15E1B">
        <w:t xml:space="preserve"> </w:t>
      </w:r>
      <w:r>
        <w:t>many</w:t>
      </w:r>
      <w:r w:rsidR="00E15E1B">
        <w:t xml:space="preserve"> </w:t>
      </w:r>
      <w:r>
        <w:t>protections</w:t>
      </w:r>
      <w:r w:rsidR="00E15E1B">
        <w:t xml:space="preserve"> </w:t>
      </w:r>
      <w:r>
        <w:t>for</w:t>
      </w:r>
      <w:r w:rsidR="00E15E1B">
        <w:t xml:space="preserve"> </w:t>
      </w:r>
      <w:r>
        <w:t>buyers</w:t>
      </w:r>
      <w:r w:rsidR="00E15E1B">
        <w:t xml:space="preserve"> </w:t>
      </w:r>
      <w:r>
        <w:t>and</w:t>
      </w:r>
      <w:r w:rsidR="00E15E1B">
        <w:t xml:space="preserve"> </w:t>
      </w:r>
      <w:r>
        <w:t>sellers</w:t>
      </w:r>
      <w:r w:rsidR="00E15E1B">
        <w:t xml:space="preserve"> </w:t>
      </w:r>
      <w:r>
        <w:t>under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Estate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Agents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1980</w:t>
      </w:r>
      <w:r w:rsidR="00E15E1B">
        <w:t xml:space="preserve"> </w:t>
      </w:r>
      <w:r>
        <w:t>is</w:t>
      </w:r>
      <w:r w:rsidR="00E15E1B">
        <w:t xml:space="preserve"> </w:t>
      </w:r>
      <w:r>
        <w:t>the</w:t>
      </w:r>
      <w:r w:rsidR="00E15E1B">
        <w:t xml:space="preserve"> </w:t>
      </w:r>
      <w:r>
        <w:t>requirement</w:t>
      </w:r>
      <w:r w:rsidR="00E15E1B">
        <w:t xml:space="preserve"> </w:t>
      </w:r>
      <w:r>
        <w:t>for</w:t>
      </w:r>
      <w:r w:rsidR="00E15E1B">
        <w:t xml:space="preserve"> </w:t>
      </w:r>
      <w:r>
        <w:t>agents</w:t>
      </w:r>
      <w:r w:rsidR="00E15E1B">
        <w:t xml:space="preserve"> </w:t>
      </w:r>
      <w:r>
        <w:t>to</w:t>
      </w:r>
      <w:r w:rsidR="00E15E1B">
        <w:t xml:space="preserve"> </w:t>
      </w:r>
      <w:r>
        <w:t>keep</w:t>
      </w:r>
      <w:r w:rsidR="00E15E1B">
        <w:t xml:space="preserve"> </w:t>
      </w:r>
      <w:r>
        <w:t>money</w:t>
      </w:r>
      <w:r w:rsidR="00E15E1B">
        <w:t xml:space="preserve"> </w:t>
      </w:r>
      <w:r>
        <w:t>they</w:t>
      </w:r>
      <w:r w:rsidR="00E15E1B">
        <w:t xml:space="preserve"> </w:t>
      </w:r>
      <w:r>
        <w:t>receive</w:t>
      </w:r>
      <w:r w:rsidR="00E15E1B">
        <w:t xml:space="preserve"> </w:t>
      </w:r>
      <w:r>
        <w:t>on</w:t>
      </w:r>
      <w:r w:rsidR="00E15E1B">
        <w:t xml:space="preserve"> </w:t>
      </w:r>
      <w:r>
        <w:t>behalf</w:t>
      </w:r>
      <w:r w:rsidR="00E15E1B">
        <w:t xml:space="preserve"> </w:t>
      </w:r>
      <w:r>
        <w:t>of</w:t>
      </w:r>
      <w:r w:rsidR="00E15E1B">
        <w:t xml:space="preserve"> </w:t>
      </w:r>
      <w:r>
        <w:t>any</w:t>
      </w:r>
      <w:r w:rsidR="00E15E1B">
        <w:t xml:space="preserve"> </w:t>
      </w:r>
      <w:r>
        <w:t>other</w:t>
      </w:r>
      <w:r w:rsidR="00E15E1B">
        <w:t xml:space="preserve"> </w:t>
      </w:r>
      <w:r>
        <w:t>person</w:t>
      </w:r>
      <w:r w:rsidR="00E15E1B">
        <w:t xml:space="preserve"> </w:t>
      </w:r>
      <w:r>
        <w:t>in</w:t>
      </w:r>
      <w:r w:rsidR="00E15E1B">
        <w:t xml:space="preserve"> </w:t>
      </w:r>
      <w:r>
        <w:t>a</w:t>
      </w:r>
      <w:r w:rsidR="00E15E1B">
        <w:t xml:space="preserve"> </w:t>
      </w:r>
      <w:r>
        <w:t>separate</w:t>
      </w:r>
      <w:r w:rsidR="00E15E1B">
        <w:t xml:space="preserve"> </w:t>
      </w:r>
      <w:r>
        <w:t>trust</w:t>
      </w:r>
      <w:r w:rsidR="00E15E1B">
        <w:t xml:space="preserve"> </w:t>
      </w:r>
      <w:r>
        <w:t>account.</w:t>
      </w:r>
      <w:r w:rsidR="00E15E1B">
        <w:t xml:space="preserve"> </w:t>
      </w:r>
      <w:r>
        <w:t>Failing</w:t>
      </w:r>
      <w:r w:rsidR="00E15E1B">
        <w:t xml:space="preserve"> </w:t>
      </w:r>
      <w:r>
        <w:t>to</w:t>
      </w:r>
      <w:r w:rsidR="00E15E1B">
        <w:t xml:space="preserve"> </w:t>
      </w:r>
      <w:r>
        <w:t>handle</w:t>
      </w:r>
      <w:r w:rsidR="00E15E1B">
        <w:t xml:space="preserve"> </w:t>
      </w:r>
      <w:r>
        <w:t>trust</w:t>
      </w:r>
      <w:r w:rsidR="00E15E1B">
        <w:t xml:space="preserve"> </w:t>
      </w:r>
      <w:r>
        <w:t>account</w:t>
      </w:r>
      <w:r w:rsidR="00E15E1B">
        <w:t xml:space="preserve"> </w:t>
      </w:r>
      <w:r>
        <w:t>money</w:t>
      </w:r>
      <w:r w:rsidR="00E15E1B">
        <w:t xml:space="preserve"> </w:t>
      </w:r>
      <w:r>
        <w:t>appropriately</w:t>
      </w:r>
      <w:r w:rsidR="00E15E1B">
        <w:t xml:space="preserve"> </w:t>
      </w:r>
      <w:r>
        <w:t>may</w:t>
      </w:r>
      <w:r w:rsidR="00E15E1B">
        <w:t xml:space="preserve"> </w:t>
      </w:r>
      <w:r>
        <w:t>result</w:t>
      </w:r>
      <w:r w:rsidR="00E15E1B">
        <w:t xml:space="preserve"> </w:t>
      </w:r>
      <w:r>
        <w:t>in</w:t>
      </w:r>
      <w:r w:rsidR="00E15E1B">
        <w:t xml:space="preserve"> </w:t>
      </w:r>
      <w:r>
        <w:t>property</w:t>
      </w:r>
      <w:r w:rsidR="00E15E1B">
        <w:t xml:space="preserve"> </w:t>
      </w:r>
      <w:r>
        <w:t>owners</w:t>
      </w:r>
      <w:r w:rsidR="00E15E1B">
        <w:t xml:space="preserve"> </w:t>
      </w:r>
      <w:r>
        <w:t>being</w:t>
      </w:r>
      <w:r w:rsidR="00E15E1B">
        <w:t xml:space="preserve"> </w:t>
      </w:r>
      <w:r>
        <w:t>adversely</w:t>
      </w:r>
      <w:r w:rsidR="00E15E1B">
        <w:t xml:space="preserve"> </w:t>
      </w:r>
      <w:r>
        <w:t>affected</w:t>
      </w:r>
      <w:r w:rsidR="00E15E1B">
        <w:t xml:space="preserve"> </w:t>
      </w:r>
      <w:r>
        <w:t>and</w:t>
      </w:r>
      <w:r w:rsidR="00E15E1B">
        <w:t xml:space="preserve"> </w:t>
      </w:r>
      <w:r>
        <w:t>property</w:t>
      </w:r>
      <w:r w:rsidR="00E15E1B">
        <w:t xml:space="preserve"> </w:t>
      </w:r>
      <w:r>
        <w:t>purchases</w:t>
      </w:r>
      <w:r w:rsidR="00E15E1B">
        <w:t xml:space="preserve"> </w:t>
      </w:r>
      <w:r>
        <w:t>being</w:t>
      </w:r>
      <w:r w:rsidR="00E15E1B">
        <w:t xml:space="preserve"> </w:t>
      </w:r>
      <w:r>
        <w:t>delayed</w:t>
      </w:r>
      <w:r w:rsidR="00E15E1B">
        <w:t xml:space="preserve"> </w:t>
      </w:r>
      <w:r>
        <w:t>or</w:t>
      </w:r>
      <w:r w:rsidR="00E15E1B">
        <w:t xml:space="preserve"> </w:t>
      </w:r>
      <w:r>
        <w:t>failing,</w:t>
      </w:r>
      <w:r w:rsidR="00E15E1B">
        <w:t xml:space="preserve"> </w:t>
      </w:r>
      <w:r>
        <w:t>causing</w:t>
      </w:r>
      <w:r w:rsidR="00E15E1B">
        <w:t xml:space="preserve"> </w:t>
      </w:r>
      <w:r>
        <w:t>emotional</w:t>
      </w:r>
      <w:r w:rsidR="00E15E1B">
        <w:t xml:space="preserve"> </w:t>
      </w:r>
      <w:r>
        <w:t>and</w:t>
      </w:r>
      <w:r w:rsidR="00E15E1B">
        <w:t xml:space="preserve"> </w:t>
      </w:r>
      <w:r>
        <w:t>financial</w:t>
      </w:r>
      <w:r w:rsidR="00E15E1B">
        <w:t xml:space="preserve"> </w:t>
      </w:r>
      <w:r>
        <w:t>stress</w:t>
      </w:r>
      <w:r w:rsidR="00E15E1B">
        <w:t xml:space="preserve"> </w:t>
      </w:r>
      <w:r>
        <w:t>for</w:t>
      </w:r>
      <w:r w:rsidR="00E15E1B">
        <w:t xml:space="preserve"> </w:t>
      </w:r>
      <w:r>
        <w:t>those</w:t>
      </w:r>
      <w:r w:rsidR="00E15E1B">
        <w:t xml:space="preserve"> </w:t>
      </w:r>
      <w:r>
        <w:t>involved.</w:t>
      </w:r>
    </w:p>
    <w:p w:rsidR="00156239" w:rsidRDefault="00156239" w:rsidP="00156239">
      <w:pPr>
        <w:pStyle w:val="BodyText"/>
      </w:pPr>
      <w:r>
        <w:t>During</w:t>
      </w:r>
      <w:r w:rsidR="00E15E1B">
        <w:t xml:space="preserve"> </w:t>
      </w:r>
      <w:r>
        <w:t>2017–18,</w:t>
      </w:r>
      <w:r w:rsidR="00E15E1B">
        <w:t xml:space="preserve"> </w:t>
      </w:r>
      <w:r>
        <w:t>CAV</w:t>
      </w:r>
      <w:r w:rsidR="00E15E1B">
        <w:t xml:space="preserve"> </w:t>
      </w:r>
      <w:r>
        <w:t>conducted</w:t>
      </w:r>
      <w:r w:rsidR="00E15E1B">
        <w:t xml:space="preserve"> </w:t>
      </w:r>
      <w:r>
        <w:t>807</w:t>
      </w:r>
      <w:r w:rsidR="00E15E1B">
        <w:t xml:space="preserve"> </w:t>
      </w:r>
      <w:r>
        <w:t>trust</w:t>
      </w:r>
      <w:r w:rsidR="00E15E1B">
        <w:t xml:space="preserve"> </w:t>
      </w:r>
      <w:r>
        <w:t>account</w:t>
      </w:r>
      <w:r w:rsidR="00E15E1B">
        <w:t xml:space="preserve"> </w:t>
      </w:r>
      <w:r>
        <w:t>inspections</w:t>
      </w:r>
      <w:r w:rsidR="00E15E1B">
        <w:t xml:space="preserve"> </w:t>
      </w:r>
      <w:r>
        <w:t>for</w:t>
      </w:r>
      <w:r w:rsidR="00E15E1B">
        <w:t xml:space="preserve"> </w:t>
      </w:r>
      <w:r>
        <w:t>compliance</w:t>
      </w:r>
      <w:r w:rsidR="00E15E1B">
        <w:t xml:space="preserve"> </w:t>
      </w:r>
      <w:r>
        <w:t>with</w:t>
      </w:r>
      <w:r w:rsidR="00E15E1B">
        <w:t xml:space="preserve"> </w:t>
      </w:r>
      <w:r>
        <w:t>laws</w:t>
      </w:r>
      <w:r w:rsidR="00E15E1B">
        <w:t xml:space="preserve"> </w:t>
      </w:r>
      <w:r>
        <w:t>and</w:t>
      </w:r>
      <w:r w:rsidR="00E15E1B">
        <w:t xml:space="preserve"> </w:t>
      </w:r>
      <w:r>
        <w:t>processed</w:t>
      </w:r>
      <w:r w:rsidR="00E15E1B">
        <w:t xml:space="preserve"> </w:t>
      </w:r>
      <w:r>
        <w:t>over</w:t>
      </w:r>
      <w:r w:rsidR="00E15E1B">
        <w:t xml:space="preserve"> </w:t>
      </w:r>
      <w:r>
        <w:t>2,900</w:t>
      </w:r>
      <w:r w:rsidR="00E15E1B">
        <w:t xml:space="preserve"> </w:t>
      </w:r>
      <w:r>
        <w:t>trust</w:t>
      </w:r>
      <w:r w:rsidR="00E15E1B">
        <w:t xml:space="preserve"> </w:t>
      </w:r>
      <w:r>
        <w:t>account</w:t>
      </w:r>
      <w:r w:rsidR="00E15E1B">
        <w:t xml:space="preserve"> </w:t>
      </w:r>
      <w:r>
        <w:t>audits.</w:t>
      </w:r>
      <w:r w:rsidR="00E15E1B">
        <w:t xml:space="preserve"> </w:t>
      </w:r>
      <w:r>
        <w:t>When</w:t>
      </w:r>
      <w:r w:rsidR="00E15E1B">
        <w:t xml:space="preserve"> </w:t>
      </w:r>
      <w:r>
        <w:t>discrepancies</w:t>
      </w:r>
      <w:r w:rsidR="00E15E1B">
        <w:t xml:space="preserve"> </w:t>
      </w:r>
      <w:r>
        <w:t>were</w:t>
      </w:r>
      <w:r w:rsidR="00E15E1B">
        <w:t xml:space="preserve"> </w:t>
      </w:r>
      <w:r>
        <w:t>identified,</w:t>
      </w:r>
      <w:r w:rsidR="00E15E1B">
        <w:t xml:space="preserve"> </w:t>
      </w:r>
      <w:r>
        <w:t>we</w:t>
      </w:r>
      <w:r w:rsidR="00E15E1B">
        <w:t xml:space="preserve"> </w:t>
      </w:r>
      <w:r>
        <w:t>acted</w:t>
      </w:r>
      <w:r w:rsidR="00E15E1B">
        <w:t xml:space="preserve"> </w:t>
      </w:r>
      <w:r>
        <w:t>quickly.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issued</w:t>
      </w:r>
      <w:r w:rsidR="00E15E1B">
        <w:t xml:space="preserve"> </w:t>
      </w:r>
      <w:r>
        <w:t>criminal</w:t>
      </w:r>
      <w:r w:rsidR="00E15E1B">
        <w:t xml:space="preserve"> </w:t>
      </w:r>
      <w:r>
        <w:t>charges</w:t>
      </w:r>
      <w:r w:rsidR="00E15E1B">
        <w:t xml:space="preserve"> </w:t>
      </w:r>
      <w:r>
        <w:t>against</w:t>
      </w:r>
      <w:r w:rsidR="00E15E1B">
        <w:t xml:space="preserve"> </w:t>
      </w:r>
      <w:r>
        <w:t>Judy</w:t>
      </w:r>
      <w:r w:rsidR="00E15E1B">
        <w:t xml:space="preserve"> </w:t>
      </w:r>
      <w:r>
        <w:t>Nguyen,</w:t>
      </w:r>
      <w:r w:rsidR="00E15E1B">
        <w:t xml:space="preserve"> </w:t>
      </w:r>
      <w:r>
        <w:t>the</w:t>
      </w:r>
      <w:r w:rsidR="00E15E1B">
        <w:t xml:space="preserve"> </w:t>
      </w:r>
      <w:r>
        <w:t>sole</w:t>
      </w:r>
      <w:r w:rsidR="00E15E1B">
        <w:t xml:space="preserve"> </w:t>
      </w:r>
      <w:r>
        <w:t>director</w:t>
      </w:r>
      <w:r w:rsidR="00E15E1B">
        <w:t xml:space="preserve"> </w:t>
      </w:r>
      <w:r>
        <w:t>of</w:t>
      </w:r>
      <w:r w:rsidR="00E15E1B">
        <w:t xml:space="preserve"> </w:t>
      </w:r>
      <w:r>
        <w:t>JNT</w:t>
      </w:r>
      <w:r w:rsidR="00E15E1B">
        <w:t xml:space="preserve"> </w:t>
      </w:r>
      <w:r>
        <w:t>Law</w:t>
      </w:r>
      <w:r w:rsidR="00E15E1B">
        <w:t xml:space="preserve"> </w:t>
      </w:r>
      <w:r>
        <w:t>Investments</w:t>
      </w:r>
      <w:r w:rsidR="00E15E1B">
        <w:t xml:space="preserve"> </w:t>
      </w:r>
      <w:r>
        <w:t>Pty</w:t>
      </w:r>
      <w:r w:rsidR="00E15E1B">
        <w:t xml:space="preserve"> </w:t>
      </w:r>
      <w:r>
        <w:t>Ltd</w:t>
      </w:r>
      <w:r w:rsidR="00E15E1B">
        <w:t xml:space="preserve"> </w:t>
      </w:r>
      <w:r>
        <w:t>(in</w:t>
      </w:r>
      <w:r w:rsidR="00E15E1B">
        <w:t xml:space="preserve"> </w:t>
      </w:r>
      <w:r>
        <w:t>Liq)</w:t>
      </w:r>
      <w:r w:rsidR="00E15E1B">
        <w:t xml:space="preserve"> </w:t>
      </w:r>
      <w:r>
        <w:t>ACN</w:t>
      </w:r>
      <w:r w:rsidR="00E15E1B">
        <w:t xml:space="preserve"> </w:t>
      </w:r>
      <w:r>
        <w:t>161</w:t>
      </w:r>
      <w:r w:rsidR="00E15E1B">
        <w:t xml:space="preserve"> </w:t>
      </w:r>
      <w:r>
        <w:t>495</w:t>
      </w:r>
      <w:r w:rsidR="00E15E1B">
        <w:t xml:space="preserve"> </w:t>
      </w:r>
      <w:r>
        <w:t>905</w:t>
      </w:r>
      <w:r w:rsidR="00E15E1B">
        <w:t xml:space="preserve"> </w:t>
      </w:r>
      <w:r>
        <w:t>and</w:t>
      </w:r>
      <w:r w:rsidR="00E15E1B">
        <w:t xml:space="preserve"> </w:t>
      </w:r>
      <w:r>
        <w:t>an</w:t>
      </w:r>
      <w:r w:rsidR="00E15E1B">
        <w:t xml:space="preserve"> </w:t>
      </w:r>
      <w:r>
        <w:t>employee</w:t>
      </w:r>
      <w:r w:rsidR="00E15E1B">
        <w:t xml:space="preserve"> </w:t>
      </w:r>
      <w:r>
        <w:t>agent</w:t>
      </w:r>
      <w:r w:rsidR="00E15E1B">
        <w:t xml:space="preserve"> </w:t>
      </w:r>
      <w:r>
        <w:t>Joseph</w:t>
      </w:r>
      <w:r w:rsidR="00E15E1B">
        <w:t xml:space="preserve"> </w:t>
      </w:r>
      <w:r>
        <w:t>Ngo</w:t>
      </w:r>
      <w:r w:rsidR="00E15E1B">
        <w:t xml:space="preserve"> </w:t>
      </w:r>
      <w:r>
        <w:t>for</w:t>
      </w:r>
      <w:r w:rsidR="00E15E1B">
        <w:t xml:space="preserve"> </w:t>
      </w:r>
      <w:r>
        <w:t>breaches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Act</w:t>
      </w:r>
      <w:r w:rsidR="00E15E1B">
        <w:t xml:space="preserve"> </w:t>
      </w:r>
      <w:r>
        <w:t>relating</w:t>
      </w:r>
      <w:r w:rsidR="00E15E1B">
        <w:t xml:space="preserve"> </w:t>
      </w:r>
      <w:r>
        <w:t>to</w:t>
      </w:r>
      <w:r w:rsidR="00E15E1B">
        <w:t xml:space="preserve"> </w:t>
      </w:r>
      <w:r>
        <w:t>misappropriation</w:t>
      </w:r>
      <w:r w:rsidR="00E15E1B">
        <w:t xml:space="preserve"> </w:t>
      </w:r>
      <w:r>
        <w:t>of</w:t>
      </w:r>
      <w:r w:rsidR="00E15E1B">
        <w:t xml:space="preserve"> </w:t>
      </w:r>
      <w:r>
        <w:t>trust</w:t>
      </w:r>
      <w:r w:rsidR="00E15E1B">
        <w:t xml:space="preserve"> </w:t>
      </w:r>
      <w:r>
        <w:t>money.</w:t>
      </w:r>
      <w:r w:rsidR="00E15E1B">
        <w:t xml:space="preserve"> </w:t>
      </w:r>
      <w:r>
        <w:t>JNT</w:t>
      </w:r>
      <w:r w:rsidR="00E15E1B">
        <w:t xml:space="preserve"> </w:t>
      </w:r>
      <w:r>
        <w:t>operated</w:t>
      </w:r>
      <w:r w:rsidR="00E15E1B">
        <w:t xml:space="preserve"> </w:t>
      </w:r>
      <w:r>
        <w:t>LJ</w:t>
      </w:r>
      <w:r w:rsidR="00E15E1B">
        <w:t xml:space="preserve"> </w:t>
      </w:r>
      <w:r>
        <w:t>Hooker</w:t>
      </w:r>
      <w:r w:rsidR="00E15E1B">
        <w:t xml:space="preserve"> </w:t>
      </w:r>
      <w:r>
        <w:t>franchises</w:t>
      </w:r>
      <w:r w:rsidR="00E15E1B">
        <w:t xml:space="preserve"> </w:t>
      </w:r>
      <w:r>
        <w:t>in</w:t>
      </w:r>
      <w:r w:rsidR="00E15E1B">
        <w:t xml:space="preserve"> </w:t>
      </w:r>
      <w:r>
        <w:t>Glen</w:t>
      </w:r>
      <w:r w:rsidR="00E15E1B">
        <w:t xml:space="preserve"> </w:t>
      </w:r>
      <w:r>
        <w:t>Waverley,</w:t>
      </w:r>
      <w:r w:rsidR="00E15E1B">
        <w:t xml:space="preserve"> </w:t>
      </w:r>
      <w:r>
        <w:t>Keysborough,</w:t>
      </w:r>
      <w:r w:rsidR="00E15E1B">
        <w:t xml:space="preserve"> </w:t>
      </w:r>
      <w:r>
        <w:t>Mount</w:t>
      </w:r>
      <w:r w:rsidR="00E15E1B">
        <w:t xml:space="preserve"> </w:t>
      </w:r>
      <w:r>
        <w:t>Waverley,</w:t>
      </w:r>
      <w:r w:rsidR="00E15E1B">
        <w:t xml:space="preserve"> </w:t>
      </w:r>
      <w:r>
        <w:t>Burwood,</w:t>
      </w:r>
      <w:r w:rsidR="00E15E1B">
        <w:t xml:space="preserve"> </w:t>
      </w:r>
      <w:r>
        <w:t>Doncaster</w:t>
      </w:r>
      <w:r w:rsidR="00E15E1B">
        <w:t xml:space="preserve"> </w:t>
      </w:r>
      <w:r>
        <w:t>and</w:t>
      </w:r>
      <w:r w:rsidR="00E15E1B">
        <w:t xml:space="preserve"> </w:t>
      </w:r>
      <w:r>
        <w:t>Box</w:t>
      </w:r>
      <w:r w:rsidR="00E15E1B">
        <w:t xml:space="preserve"> </w:t>
      </w:r>
      <w:r>
        <w:t>Hill.</w:t>
      </w:r>
    </w:p>
    <w:p w:rsidR="00156239" w:rsidRDefault="00156239" w:rsidP="00156239">
      <w:pPr>
        <w:pStyle w:val="BodyText"/>
      </w:pPr>
      <w:r>
        <w:t>Claims</w:t>
      </w:r>
      <w:r w:rsidR="00E15E1B">
        <w:t xml:space="preserve"> </w:t>
      </w:r>
      <w:r>
        <w:t>totalling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$2</w:t>
      </w:r>
      <w:r w:rsidR="00E15E1B">
        <w:t xml:space="preserve"> </w:t>
      </w:r>
      <w:r>
        <w:t>million</w:t>
      </w:r>
      <w:r w:rsidR="00E15E1B">
        <w:t xml:space="preserve"> </w:t>
      </w:r>
      <w:r>
        <w:t>were</w:t>
      </w:r>
      <w:r w:rsidR="00E15E1B">
        <w:t xml:space="preserve"> </w:t>
      </w:r>
      <w:r>
        <w:t>paid</w:t>
      </w:r>
      <w:r w:rsidR="00E15E1B">
        <w:t xml:space="preserve"> </w:t>
      </w:r>
      <w:r>
        <w:t>from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Property</w:t>
      </w:r>
      <w:r w:rsidR="00E15E1B">
        <w:t xml:space="preserve"> </w:t>
      </w:r>
      <w:r>
        <w:t>Fund</w:t>
      </w:r>
      <w:r w:rsidR="00E15E1B">
        <w:t xml:space="preserve"> </w:t>
      </w:r>
      <w:r>
        <w:t>(VPF)</w:t>
      </w:r>
      <w:r w:rsidR="00E15E1B">
        <w:t xml:space="preserve"> </w:t>
      </w:r>
      <w:r>
        <w:t>to</w:t>
      </w:r>
      <w:r w:rsidR="00E15E1B">
        <w:t xml:space="preserve"> </w:t>
      </w:r>
      <w:r>
        <w:t>property</w:t>
      </w:r>
      <w:r w:rsidR="00E15E1B">
        <w:t xml:space="preserve"> </w:t>
      </w:r>
      <w:r>
        <w:t>owners</w:t>
      </w:r>
      <w:r w:rsidR="00E15E1B">
        <w:t xml:space="preserve"> </w:t>
      </w:r>
      <w:r>
        <w:t>or</w:t>
      </w:r>
      <w:r w:rsidR="00E15E1B">
        <w:t xml:space="preserve"> </w:t>
      </w:r>
      <w:r>
        <w:t>purchasers</w:t>
      </w:r>
      <w:r w:rsidR="00E15E1B">
        <w:t xml:space="preserve"> </w:t>
      </w:r>
      <w:r>
        <w:t>who</w:t>
      </w:r>
      <w:r w:rsidR="00E15E1B">
        <w:t xml:space="preserve"> </w:t>
      </w:r>
      <w:r>
        <w:t>suffered</w:t>
      </w:r>
      <w:r w:rsidR="00E15E1B">
        <w:t xml:space="preserve"> </w:t>
      </w:r>
      <w:r>
        <w:t>loss</w:t>
      </w:r>
      <w:r w:rsidR="00E15E1B">
        <w:t xml:space="preserve"> </w:t>
      </w:r>
      <w:r>
        <w:t>as</w:t>
      </w:r>
      <w:r w:rsidR="00E15E1B">
        <w:t xml:space="preserve"> </w:t>
      </w:r>
      <w:r>
        <w:t>a</w:t>
      </w:r>
      <w:r w:rsidR="00E15E1B">
        <w:t xml:space="preserve"> </w:t>
      </w:r>
      <w:r>
        <w:t>result</w:t>
      </w:r>
      <w:r w:rsidR="00E15E1B">
        <w:t xml:space="preserve"> </w:t>
      </w:r>
      <w:r>
        <w:t>of</w:t>
      </w:r>
      <w:r w:rsidR="00E15E1B">
        <w:t xml:space="preserve"> </w:t>
      </w:r>
      <w:r>
        <w:t>these</w:t>
      </w:r>
      <w:r w:rsidR="00E15E1B">
        <w:t xml:space="preserve"> </w:t>
      </w:r>
      <w:r>
        <w:t>former</w:t>
      </w:r>
      <w:r w:rsidR="00E15E1B">
        <w:t xml:space="preserve"> </w:t>
      </w:r>
      <w:r>
        <w:t>LJ</w:t>
      </w:r>
      <w:r w:rsidR="00E15E1B">
        <w:t xml:space="preserve"> </w:t>
      </w:r>
      <w:r>
        <w:t>Hooker</w:t>
      </w:r>
      <w:r w:rsidR="00E15E1B">
        <w:t xml:space="preserve"> </w:t>
      </w:r>
      <w:r>
        <w:t>franchises.</w:t>
      </w:r>
      <w:r w:rsidR="00E15E1B">
        <w:t xml:space="preserve"> </w:t>
      </w:r>
      <w:r>
        <w:t>The</w:t>
      </w:r>
      <w:r w:rsidR="00E15E1B">
        <w:t xml:space="preserve"> </w:t>
      </w:r>
      <w:r>
        <w:t>VPF</w:t>
      </w:r>
      <w:r w:rsidR="00E15E1B">
        <w:t xml:space="preserve"> </w:t>
      </w:r>
      <w:r>
        <w:t>was</w:t>
      </w:r>
      <w:r w:rsidR="00E15E1B">
        <w:t xml:space="preserve"> </w:t>
      </w:r>
      <w:r>
        <w:t>established</w:t>
      </w:r>
      <w:r w:rsidR="00E15E1B">
        <w:t xml:space="preserve"> </w:t>
      </w:r>
      <w:r>
        <w:t>under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Estate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Agents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1980</w:t>
      </w:r>
      <w:r w:rsidR="00E15E1B">
        <w:t xml:space="preserve"> </w:t>
      </w:r>
      <w:r>
        <w:t>to</w:t>
      </w:r>
      <w:r w:rsidR="00E15E1B">
        <w:t xml:space="preserve"> </w:t>
      </w:r>
      <w:r>
        <w:t>provide</w:t>
      </w:r>
      <w:r w:rsidR="00E15E1B">
        <w:t xml:space="preserve"> </w:t>
      </w:r>
      <w:r>
        <w:t>protections</w:t>
      </w:r>
      <w:r w:rsidR="00E15E1B">
        <w:t xml:space="preserve"> </w:t>
      </w:r>
      <w:r>
        <w:t>to</w:t>
      </w:r>
      <w:r w:rsidR="00E15E1B">
        <w:t xml:space="preserve"> </w:t>
      </w:r>
      <w:r>
        <w:t>consumers</w:t>
      </w:r>
      <w:r w:rsidR="00E15E1B">
        <w:t xml:space="preserve"> </w:t>
      </w:r>
      <w:r>
        <w:t>who</w:t>
      </w:r>
      <w:r w:rsidR="00E15E1B">
        <w:t xml:space="preserve"> </w:t>
      </w:r>
      <w:r>
        <w:t>suffer</w:t>
      </w:r>
      <w:r w:rsidR="00E15E1B">
        <w:t xml:space="preserve"> </w:t>
      </w:r>
      <w:r>
        <w:t>financial</w:t>
      </w:r>
      <w:r w:rsidR="00E15E1B">
        <w:t xml:space="preserve"> </w:t>
      </w:r>
      <w:r>
        <w:t>loss</w:t>
      </w:r>
      <w:r w:rsidR="00E15E1B">
        <w:t xml:space="preserve"> </w:t>
      </w:r>
      <w:r>
        <w:t>due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actions</w:t>
      </w:r>
      <w:r w:rsidR="00E15E1B">
        <w:t xml:space="preserve"> </w:t>
      </w:r>
      <w:r>
        <w:t>of</w:t>
      </w:r>
      <w:r w:rsidR="00E15E1B">
        <w:t xml:space="preserve"> </w:t>
      </w:r>
      <w:r>
        <w:t>an</w:t>
      </w:r>
      <w:r w:rsidR="00E15E1B">
        <w:t xml:space="preserve"> </w:t>
      </w:r>
      <w:r>
        <w:t>estate</w:t>
      </w:r>
      <w:r w:rsidR="00E15E1B">
        <w:t xml:space="preserve"> </w:t>
      </w:r>
      <w:r>
        <w:t>agent.</w:t>
      </w:r>
    </w:p>
    <w:p w:rsidR="00156239" w:rsidRDefault="00156239" w:rsidP="00156239">
      <w:pPr>
        <w:pStyle w:val="BodyText"/>
      </w:pPr>
      <w:r>
        <w:t>Mr</w:t>
      </w:r>
      <w:r w:rsidR="00E15E1B">
        <w:t xml:space="preserve"> </w:t>
      </w:r>
      <w:r>
        <w:t>Ngo</w:t>
      </w:r>
      <w:r w:rsidR="00E15E1B">
        <w:t xml:space="preserve"> </w:t>
      </w:r>
      <w:r>
        <w:t>entered</w:t>
      </w:r>
      <w:r w:rsidR="00E15E1B">
        <w:t xml:space="preserve"> </w:t>
      </w:r>
      <w:r>
        <w:t>a</w:t>
      </w:r>
      <w:r w:rsidR="00E15E1B">
        <w:t xml:space="preserve"> </w:t>
      </w:r>
      <w:r>
        <w:t>guilty</w:t>
      </w:r>
      <w:r w:rsidR="00E15E1B">
        <w:t xml:space="preserve"> </w:t>
      </w:r>
      <w:r>
        <w:t>plea</w:t>
      </w:r>
      <w:r w:rsidR="00E15E1B">
        <w:t xml:space="preserve"> </w:t>
      </w:r>
      <w:r>
        <w:t>in</w:t>
      </w:r>
      <w:r w:rsidR="00E15E1B">
        <w:t xml:space="preserve"> </w:t>
      </w:r>
      <w:r>
        <w:t>July</w:t>
      </w:r>
      <w:r w:rsidR="00E15E1B">
        <w:t xml:space="preserve"> </w:t>
      </w:r>
      <w:r>
        <w:t>2017</w:t>
      </w:r>
      <w:r w:rsidR="00E15E1B">
        <w:t xml:space="preserve"> </w:t>
      </w:r>
      <w:r>
        <w:t>to</w:t>
      </w:r>
      <w:r w:rsidR="00E15E1B">
        <w:t xml:space="preserve"> </w:t>
      </w:r>
      <w:r>
        <w:t>various</w:t>
      </w:r>
      <w:r w:rsidR="00E15E1B">
        <w:t xml:space="preserve"> </w:t>
      </w:r>
      <w:r>
        <w:t>charges</w:t>
      </w:r>
      <w:r w:rsidR="00E15E1B">
        <w:t xml:space="preserve"> </w:t>
      </w:r>
      <w:r>
        <w:t>and</w:t>
      </w:r>
      <w:r w:rsidR="00E15E1B">
        <w:t xml:space="preserve"> </w:t>
      </w:r>
      <w:r>
        <w:t>on</w:t>
      </w:r>
      <w:r w:rsidR="00E15E1B">
        <w:t xml:space="preserve"> </w:t>
      </w:r>
      <w:r>
        <w:t>15</w:t>
      </w:r>
      <w:r w:rsidR="00E15E1B">
        <w:t xml:space="preserve"> </w:t>
      </w:r>
      <w:r>
        <w:t>March</w:t>
      </w:r>
      <w:r w:rsidR="00E15E1B">
        <w:t xml:space="preserve"> </w:t>
      </w:r>
      <w:r>
        <w:t>2018,</w:t>
      </w:r>
      <w:r w:rsidR="00E15E1B">
        <w:t xml:space="preserve"> </w:t>
      </w:r>
      <w:r>
        <w:t>was</w:t>
      </w:r>
      <w:r w:rsidR="00E15E1B">
        <w:t xml:space="preserve"> </w:t>
      </w:r>
      <w:r>
        <w:t>found</w:t>
      </w:r>
      <w:r w:rsidR="00E15E1B">
        <w:t xml:space="preserve"> </w:t>
      </w:r>
      <w:r>
        <w:t>guilty</w:t>
      </w:r>
      <w:r w:rsidR="00E15E1B">
        <w:t xml:space="preserve"> </w:t>
      </w:r>
      <w:r>
        <w:t>and</w:t>
      </w:r>
      <w:r w:rsidR="00E15E1B">
        <w:t xml:space="preserve"> </w:t>
      </w:r>
      <w:r>
        <w:t>sentenced</w:t>
      </w:r>
      <w:r w:rsidR="00E15E1B">
        <w:t xml:space="preserve"> </w:t>
      </w:r>
      <w:r>
        <w:t>to</w:t>
      </w:r>
      <w:r w:rsidR="00E15E1B">
        <w:t xml:space="preserve"> </w:t>
      </w:r>
      <w:r>
        <w:t>five</w:t>
      </w:r>
      <w:r w:rsidR="00E15E1B">
        <w:t xml:space="preserve"> </w:t>
      </w:r>
      <w:r>
        <w:t>years’</w:t>
      </w:r>
      <w:r w:rsidR="00E15E1B">
        <w:t xml:space="preserve"> </w:t>
      </w:r>
      <w:r>
        <w:t>jail</w:t>
      </w:r>
      <w:r w:rsidR="00E15E1B">
        <w:t xml:space="preserve"> </w:t>
      </w:r>
      <w:r>
        <w:t>with</w:t>
      </w:r>
      <w:r w:rsidR="00E15E1B">
        <w:t xml:space="preserve"> </w:t>
      </w:r>
      <w:r>
        <w:t>a</w:t>
      </w:r>
      <w:r w:rsidR="00E15E1B">
        <w:t xml:space="preserve"> </w:t>
      </w:r>
      <w:r>
        <w:t>minimum</w:t>
      </w:r>
      <w:r w:rsidR="00E15E1B">
        <w:t xml:space="preserve"> </w:t>
      </w:r>
      <w:r>
        <w:t>term</w:t>
      </w:r>
      <w:r w:rsidR="00E15E1B">
        <w:t xml:space="preserve"> </w:t>
      </w:r>
      <w:r>
        <w:t>of</w:t>
      </w:r>
      <w:r w:rsidR="00E15E1B">
        <w:t xml:space="preserve"> </w:t>
      </w:r>
      <w:r>
        <w:t>three</w:t>
      </w:r>
      <w:r w:rsidR="00E15E1B">
        <w:t xml:space="preserve"> </w:t>
      </w:r>
      <w:r>
        <w:t>years.</w:t>
      </w:r>
      <w:r w:rsidR="00E15E1B">
        <w:t xml:space="preserve"> </w:t>
      </w:r>
      <w:r>
        <w:t>He</w:t>
      </w:r>
      <w:r w:rsidR="00E15E1B">
        <w:t xml:space="preserve"> </w:t>
      </w:r>
      <w:r>
        <w:t>must</w:t>
      </w:r>
      <w:r w:rsidR="00E15E1B">
        <w:t xml:space="preserve"> </w:t>
      </w:r>
      <w:r>
        <w:t>also</w:t>
      </w:r>
      <w:r w:rsidR="00E15E1B">
        <w:t xml:space="preserve"> </w:t>
      </w:r>
      <w:r>
        <w:t>repay</w:t>
      </w:r>
      <w:r w:rsidR="00E15E1B">
        <w:t xml:space="preserve"> </w:t>
      </w:r>
      <w:r>
        <w:t>the</w:t>
      </w:r>
      <w:r w:rsidR="00E15E1B">
        <w:t xml:space="preserve"> </w:t>
      </w:r>
      <w:r>
        <w:t>VPF</w:t>
      </w:r>
      <w:r w:rsidR="00E15E1B">
        <w:t xml:space="preserve"> </w:t>
      </w:r>
      <w:r>
        <w:t>the</w:t>
      </w:r>
      <w:r w:rsidR="00E15E1B">
        <w:t xml:space="preserve"> </w:t>
      </w:r>
      <w:r>
        <w:t>amount</w:t>
      </w:r>
      <w:r w:rsidR="00E15E1B">
        <w:t xml:space="preserve"> </w:t>
      </w:r>
      <w:r>
        <w:t>it</w:t>
      </w:r>
      <w:r w:rsidR="00E15E1B">
        <w:t xml:space="preserve"> </w:t>
      </w:r>
      <w:r>
        <w:t>paid</w:t>
      </w:r>
      <w:r w:rsidR="00E15E1B">
        <w:t xml:space="preserve"> </w:t>
      </w:r>
      <w:r>
        <w:t>out</w:t>
      </w:r>
      <w:r w:rsidR="00E15E1B">
        <w:t xml:space="preserve"> </w:t>
      </w:r>
      <w:r>
        <w:t>due</w:t>
      </w:r>
      <w:r w:rsidR="00E15E1B">
        <w:t xml:space="preserve"> </w:t>
      </w:r>
      <w:r>
        <w:t>to</w:t>
      </w:r>
      <w:r w:rsidR="00E15E1B">
        <w:t xml:space="preserve"> </w:t>
      </w:r>
      <w:r>
        <w:t>his</w:t>
      </w:r>
      <w:r w:rsidR="00E15E1B">
        <w:t xml:space="preserve"> </w:t>
      </w:r>
      <w:r>
        <w:t>offending.</w:t>
      </w:r>
      <w:r w:rsidR="00E15E1B">
        <w:t xml:space="preserve"> </w:t>
      </w:r>
      <w:r>
        <w:t>Ms</w:t>
      </w:r>
      <w:r w:rsidR="00E15E1B">
        <w:t xml:space="preserve"> </w:t>
      </w:r>
      <w:r>
        <w:t>Nguyen’s</w:t>
      </w:r>
      <w:r w:rsidR="00E15E1B">
        <w:t xml:space="preserve"> </w:t>
      </w:r>
      <w:r>
        <w:t>trial</w:t>
      </w:r>
      <w:r w:rsidR="00E15E1B">
        <w:t xml:space="preserve"> </w:t>
      </w:r>
      <w:r>
        <w:t>is</w:t>
      </w:r>
      <w:r w:rsidR="00E15E1B">
        <w:t xml:space="preserve"> </w:t>
      </w:r>
      <w:r>
        <w:t>scheduled</w:t>
      </w:r>
      <w:r w:rsidR="00E15E1B">
        <w:t xml:space="preserve"> </w:t>
      </w:r>
      <w:r>
        <w:t>to</w:t>
      </w:r>
      <w:r w:rsidR="00E15E1B">
        <w:t xml:space="preserve"> </w:t>
      </w:r>
      <w:r>
        <w:t>begin</w:t>
      </w:r>
      <w:r w:rsidR="00E15E1B">
        <w:t xml:space="preserve"> </w:t>
      </w:r>
      <w:r>
        <w:t>in</w:t>
      </w:r>
      <w:r w:rsidR="00E15E1B">
        <w:t xml:space="preserve"> </w:t>
      </w:r>
      <w:r>
        <w:t>April</w:t>
      </w:r>
      <w:r w:rsidR="00E15E1B">
        <w:t xml:space="preserve"> </w:t>
      </w:r>
      <w:r>
        <w:t>2019.</w:t>
      </w:r>
    </w:p>
    <w:p w:rsidR="00156239" w:rsidRDefault="00156239" w:rsidP="00156239">
      <w:pPr>
        <w:pStyle w:val="Heading4"/>
      </w:pPr>
      <w:r>
        <w:t>Dangerous</w:t>
      </w:r>
      <w:r w:rsidR="00E15E1B">
        <w:t xml:space="preserve"> </w:t>
      </w:r>
      <w:r>
        <w:t>products</w:t>
      </w:r>
      <w:r w:rsidR="00E15E1B">
        <w:t xml:space="preserve"> </w:t>
      </w:r>
      <w:r>
        <w:t>removed</w:t>
      </w:r>
      <w:r w:rsidR="00E15E1B">
        <w:t xml:space="preserve"> </w:t>
      </w:r>
      <w:r>
        <w:t>from</w:t>
      </w:r>
      <w:r w:rsidR="00E15E1B">
        <w:t xml:space="preserve"> </w:t>
      </w:r>
      <w:r>
        <w:t>shelves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removed</w:t>
      </w:r>
      <w:r w:rsidR="00E15E1B">
        <w:t xml:space="preserve"> </w:t>
      </w:r>
      <w:r>
        <w:t>thousands</w:t>
      </w:r>
      <w:r w:rsidR="00E15E1B">
        <w:t xml:space="preserve"> </w:t>
      </w:r>
      <w:r>
        <w:t>of</w:t>
      </w:r>
      <w:r w:rsidR="00E15E1B">
        <w:t xml:space="preserve"> </w:t>
      </w:r>
      <w:r>
        <w:t>dangerous</w:t>
      </w:r>
      <w:r w:rsidR="00E15E1B">
        <w:t xml:space="preserve"> </w:t>
      </w:r>
      <w:r>
        <w:t>and</w:t>
      </w:r>
      <w:r w:rsidR="00E15E1B">
        <w:t xml:space="preserve"> </w:t>
      </w:r>
      <w:r>
        <w:t>unsafe</w:t>
      </w:r>
      <w:r w:rsidR="00E15E1B">
        <w:t xml:space="preserve"> </w:t>
      </w:r>
      <w:r>
        <w:t>products</w:t>
      </w:r>
      <w:r w:rsidR="00E15E1B">
        <w:t xml:space="preserve"> </w:t>
      </w:r>
      <w:r>
        <w:t>from</w:t>
      </w:r>
      <w:r w:rsidR="00E15E1B">
        <w:t xml:space="preserve"> </w:t>
      </w:r>
      <w:r>
        <w:t>Victorian</w:t>
      </w:r>
      <w:r w:rsidR="00E15E1B">
        <w:t xml:space="preserve"> </w:t>
      </w:r>
      <w:r>
        <w:t>shelves,</w:t>
      </w:r>
      <w:r w:rsidR="00E15E1B">
        <w:t xml:space="preserve"> </w:t>
      </w:r>
      <w:r>
        <w:t>following</w:t>
      </w:r>
      <w:r w:rsidR="00E15E1B">
        <w:t xml:space="preserve"> </w:t>
      </w:r>
      <w:r>
        <w:t>inspections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lead</w:t>
      </w:r>
      <w:r>
        <w:rPr>
          <w:rFonts w:ascii="MS Mincho" w:eastAsia="MS Mincho" w:hAnsi="MS Mincho" w:cs="MS Mincho" w:hint="eastAsia"/>
        </w:rPr>
        <w:t>‑</w:t>
      </w:r>
      <w:r>
        <w:t>up</w:t>
      </w:r>
      <w:r w:rsidR="00E15E1B">
        <w:t xml:space="preserve"> </w:t>
      </w:r>
      <w:r>
        <w:t>to</w:t>
      </w:r>
      <w:r w:rsidR="00E15E1B">
        <w:t xml:space="preserve"> </w:t>
      </w:r>
      <w:r>
        <w:t>Christmas.</w:t>
      </w:r>
      <w:r w:rsidR="00E15E1B">
        <w:t xml:space="preserve"> </w:t>
      </w:r>
      <w:r>
        <w:t>Through</w:t>
      </w:r>
      <w:r w:rsidR="00E15E1B">
        <w:t xml:space="preserve"> </w:t>
      </w:r>
      <w:r>
        <w:t>November</w:t>
      </w:r>
      <w:r w:rsidR="00E15E1B">
        <w:t xml:space="preserve"> </w:t>
      </w:r>
      <w:r>
        <w:t>and</w:t>
      </w:r>
      <w:r w:rsidR="00E15E1B">
        <w:t xml:space="preserve"> </w:t>
      </w:r>
      <w:r>
        <w:t>December,</w:t>
      </w:r>
      <w:r w:rsidR="00E15E1B">
        <w:t xml:space="preserve"> </w:t>
      </w:r>
      <w:r>
        <w:t>we</w:t>
      </w:r>
      <w:r w:rsidR="00E15E1B">
        <w:t xml:space="preserve"> </w:t>
      </w:r>
      <w:r>
        <w:t>conducted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400</w:t>
      </w:r>
      <w:r w:rsidR="00E15E1B">
        <w:t xml:space="preserve"> </w:t>
      </w:r>
      <w:r>
        <w:t>inspections,</w:t>
      </w:r>
      <w:r w:rsidR="00E15E1B">
        <w:t xml:space="preserve"> </w:t>
      </w:r>
      <w:r>
        <w:t>leading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seizure</w:t>
      </w:r>
      <w:r w:rsidR="00E15E1B">
        <w:t xml:space="preserve"> </w:t>
      </w:r>
      <w:r>
        <w:t>of</w:t>
      </w:r>
      <w:r w:rsidR="00E15E1B">
        <w:t xml:space="preserve"> </w:t>
      </w:r>
      <w:r>
        <w:t>over</w:t>
      </w:r>
      <w:r w:rsidR="00E15E1B">
        <w:t xml:space="preserve"> </w:t>
      </w:r>
      <w:r>
        <w:t>3,200</w:t>
      </w:r>
      <w:r w:rsidR="00E15E1B">
        <w:t xml:space="preserve"> </w:t>
      </w:r>
      <w:r>
        <w:t>unsafe</w:t>
      </w:r>
      <w:r w:rsidR="00E15E1B">
        <w:t xml:space="preserve"> </w:t>
      </w:r>
      <w:r>
        <w:t>products.</w:t>
      </w:r>
    </w:p>
    <w:p w:rsidR="00156239" w:rsidRDefault="00156239" w:rsidP="00156239">
      <w:pPr>
        <w:pStyle w:val="BodyText"/>
      </w:pPr>
      <w:r>
        <w:t>This</w:t>
      </w:r>
      <w:r w:rsidR="00E15E1B">
        <w:t xml:space="preserve"> </w:t>
      </w:r>
      <w:r>
        <w:t>inspection</w:t>
      </w:r>
      <w:r w:rsidR="00E15E1B">
        <w:t xml:space="preserve"> </w:t>
      </w:r>
      <w:r>
        <w:t>program</w:t>
      </w:r>
      <w:r w:rsidR="00E15E1B">
        <w:t xml:space="preserve"> </w:t>
      </w:r>
      <w:r>
        <w:t>came</w:t>
      </w:r>
      <w:r w:rsidR="00E15E1B">
        <w:t xml:space="preserve"> </w:t>
      </w:r>
      <w:r>
        <w:t>a</w:t>
      </w:r>
      <w:r w:rsidR="00E15E1B">
        <w:t xml:space="preserve"> </w:t>
      </w:r>
      <w:r>
        <w:t>week</w:t>
      </w:r>
      <w:r w:rsidR="00E15E1B">
        <w:t xml:space="preserve"> </w:t>
      </w:r>
      <w:r>
        <w:t>after</w:t>
      </w:r>
      <w:r w:rsidR="00E15E1B">
        <w:t xml:space="preserve"> </w:t>
      </w:r>
      <w:r>
        <w:t>the</w:t>
      </w:r>
      <w:r w:rsidR="00E15E1B">
        <w:t xml:space="preserve"> </w:t>
      </w:r>
      <w:r>
        <w:t>Federal</w:t>
      </w:r>
      <w:r w:rsidR="00E15E1B">
        <w:t xml:space="preserve"> </w:t>
      </w:r>
      <w:r>
        <w:t>Court</w:t>
      </w:r>
      <w:r w:rsidR="00E15E1B">
        <w:t xml:space="preserve"> </w:t>
      </w:r>
      <w:r>
        <w:t>of</w:t>
      </w:r>
      <w:r w:rsidR="00E15E1B">
        <w:t xml:space="preserve"> </w:t>
      </w:r>
      <w:r>
        <w:t>Australia</w:t>
      </w:r>
      <w:r w:rsidR="00E15E1B">
        <w:t xml:space="preserve"> </w:t>
      </w:r>
      <w:r>
        <w:t>issued</w:t>
      </w:r>
      <w:r w:rsidR="00E15E1B">
        <w:t xml:space="preserve"> </w:t>
      </w:r>
      <w:r>
        <w:t>a</w:t>
      </w:r>
      <w:r w:rsidR="00E15E1B">
        <w:t xml:space="preserve"> </w:t>
      </w:r>
      <w:r>
        <w:t>$1</w:t>
      </w:r>
      <w:r w:rsidR="00E15E1B">
        <w:t xml:space="preserve"> </w:t>
      </w:r>
      <w:r>
        <w:t>million</w:t>
      </w:r>
      <w:r w:rsidR="00E15E1B">
        <w:t xml:space="preserve"> </w:t>
      </w:r>
      <w:r>
        <w:t>penalty</w:t>
      </w:r>
      <w:r w:rsidR="00E15E1B">
        <w:t xml:space="preserve"> </w:t>
      </w:r>
      <w:r>
        <w:t>to</w:t>
      </w:r>
      <w:r w:rsidR="00E15E1B">
        <w:t xml:space="preserve"> </w:t>
      </w:r>
      <w:r>
        <w:t>retailer</w:t>
      </w:r>
      <w:r w:rsidR="00E15E1B">
        <w:t xml:space="preserve"> </w:t>
      </w:r>
      <w:r>
        <w:t>Daiso</w:t>
      </w:r>
      <w:r w:rsidR="00E15E1B">
        <w:t xml:space="preserve"> </w:t>
      </w:r>
      <w:r>
        <w:t>Industries</w:t>
      </w:r>
      <w:r w:rsidR="00E15E1B">
        <w:t xml:space="preserve"> </w:t>
      </w:r>
      <w:r>
        <w:t>(Australia)</w:t>
      </w:r>
      <w:r w:rsidR="00E15E1B">
        <w:t xml:space="preserve"> </w:t>
      </w:r>
      <w:r>
        <w:t>Pty</w:t>
      </w:r>
      <w:r w:rsidR="00E15E1B">
        <w:t xml:space="preserve"> </w:t>
      </w:r>
      <w:r>
        <w:t>Ltd,</w:t>
      </w:r>
      <w:r w:rsidR="00E15E1B">
        <w:t xml:space="preserve"> </w:t>
      </w:r>
      <w:r>
        <w:t>which</w:t>
      </w:r>
      <w:r w:rsidR="00E15E1B">
        <w:t xml:space="preserve"> </w:t>
      </w:r>
      <w:r>
        <w:t>was</w:t>
      </w:r>
      <w:r w:rsidR="00E15E1B">
        <w:t xml:space="preserve"> </w:t>
      </w:r>
      <w:r>
        <w:t>found</w:t>
      </w:r>
      <w:r w:rsidR="00E15E1B">
        <w:t xml:space="preserve"> </w:t>
      </w:r>
      <w:r>
        <w:t>to</w:t>
      </w:r>
      <w:r w:rsidR="00E15E1B">
        <w:t xml:space="preserve"> </w:t>
      </w:r>
      <w:r>
        <w:t>have</w:t>
      </w:r>
      <w:r w:rsidR="00E15E1B">
        <w:t xml:space="preserve"> </w:t>
      </w:r>
      <w:r>
        <w:t>supplied,</w:t>
      </w:r>
      <w:r w:rsidR="00E15E1B">
        <w:t xml:space="preserve"> </w:t>
      </w:r>
      <w:r>
        <w:t>offered</w:t>
      </w:r>
      <w:r w:rsidR="00E15E1B">
        <w:t xml:space="preserve"> </w:t>
      </w:r>
      <w:r>
        <w:t>to</w:t>
      </w:r>
      <w:r w:rsidR="00E15E1B">
        <w:t xml:space="preserve"> </w:t>
      </w:r>
      <w:r>
        <w:t>supply</w:t>
      </w:r>
      <w:r w:rsidR="00E15E1B">
        <w:t xml:space="preserve"> </w:t>
      </w:r>
      <w:r>
        <w:t>or</w:t>
      </w:r>
      <w:r w:rsidR="00E15E1B">
        <w:t xml:space="preserve"> </w:t>
      </w:r>
      <w:r>
        <w:t>possessed</w:t>
      </w:r>
      <w:r w:rsidR="00E15E1B">
        <w:t xml:space="preserve"> </w:t>
      </w:r>
      <w:r>
        <w:t>goods</w:t>
      </w:r>
      <w:r w:rsidR="00E15E1B">
        <w:t xml:space="preserve"> </w:t>
      </w:r>
      <w:r>
        <w:t>that</w:t>
      </w:r>
      <w:r w:rsidR="00E15E1B">
        <w:t xml:space="preserve"> </w:t>
      </w:r>
      <w:r>
        <w:t>did</w:t>
      </w:r>
      <w:r w:rsidR="00E15E1B">
        <w:t xml:space="preserve"> </w:t>
      </w:r>
      <w:r>
        <w:t>not</w:t>
      </w:r>
      <w:r w:rsidR="00E15E1B">
        <w:t xml:space="preserve"> </w:t>
      </w:r>
      <w:r>
        <w:t>comply</w:t>
      </w:r>
      <w:r w:rsidR="00E15E1B">
        <w:t xml:space="preserve"> </w:t>
      </w:r>
      <w:r>
        <w:t>with</w:t>
      </w:r>
      <w:r w:rsidR="00E15E1B">
        <w:t xml:space="preserve"> </w:t>
      </w:r>
      <w:r>
        <w:t>mandatory</w:t>
      </w:r>
      <w:r w:rsidR="00E15E1B">
        <w:t xml:space="preserve"> </w:t>
      </w:r>
      <w:r>
        <w:t>product</w:t>
      </w:r>
      <w:r w:rsidR="00E15E1B">
        <w:t xml:space="preserve"> </w:t>
      </w:r>
      <w:r>
        <w:t>safety</w:t>
      </w:r>
      <w:r w:rsidR="00E15E1B">
        <w:t xml:space="preserve"> </w:t>
      </w:r>
      <w:r>
        <w:t>and</w:t>
      </w:r>
      <w:r w:rsidR="00E15E1B">
        <w:t xml:space="preserve"> </w:t>
      </w:r>
      <w:r>
        <w:t>information</w:t>
      </w:r>
      <w:r w:rsidR="00E15E1B">
        <w:t xml:space="preserve"> </w:t>
      </w:r>
      <w:r>
        <w:t>standards,</w:t>
      </w:r>
      <w:r w:rsidR="00E15E1B">
        <w:t xml:space="preserve"> </w:t>
      </w:r>
      <w:r>
        <w:t>in</w:t>
      </w:r>
      <w:r w:rsidR="00E15E1B">
        <w:t xml:space="preserve"> </w:t>
      </w:r>
      <w:r>
        <w:t>contravention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Australian</w:t>
      </w:r>
      <w:r w:rsidR="00E15E1B">
        <w:t xml:space="preserve"> </w:t>
      </w:r>
      <w:r>
        <w:t>Consumer</w:t>
      </w:r>
      <w:r w:rsidR="00E15E1B">
        <w:t xml:space="preserve"> </w:t>
      </w:r>
      <w:r>
        <w:t>Law.</w:t>
      </w:r>
      <w:r w:rsidR="00E15E1B">
        <w:t xml:space="preserve"> </w:t>
      </w:r>
      <w:r>
        <w:t>A</w:t>
      </w:r>
      <w:r w:rsidR="00E15E1B">
        <w:t xml:space="preserve"> </w:t>
      </w:r>
      <w:r>
        <w:t>cross-jurisdiction</w:t>
      </w:r>
      <w:r w:rsidR="00E15E1B">
        <w:t xml:space="preserve"> </w:t>
      </w:r>
      <w:r>
        <w:t>investigation,</w:t>
      </w:r>
      <w:r w:rsidR="00E15E1B">
        <w:t xml:space="preserve"> </w:t>
      </w:r>
      <w:r>
        <w:t>involving</w:t>
      </w:r>
      <w:r w:rsidR="00E15E1B">
        <w:t xml:space="preserve"> </w:t>
      </w:r>
      <w:r>
        <w:t>our</w:t>
      </w:r>
      <w:r w:rsidR="00E15E1B">
        <w:t xml:space="preserve"> </w:t>
      </w:r>
      <w:r>
        <w:t>counterparts</w:t>
      </w:r>
      <w:r w:rsidR="00E15E1B">
        <w:t xml:space="preserve"> </w:t>
      </w:r>
      <w:r>
        <w:t>in</w:t>
      </w:r>
      <w:r w:rsidR="00E15E1B">
        <w:t xml:space="preserve"> </w:t>
      </w:r>
      <w:r>
        <w:t>New</w:t>
      </w:r>
      <w:r w:rsidR="00E15E1B">
        <w:t xml:space="preserve"> </w:t>
      </w:r>
      <w:r>
        <w:t>South</w:t>
      </w:r>
      <w:r w:rsidR="00E15E1B">
        <w:t xml:space="preserve"> </w:t>
      </w:r>
      <w:r>
        <w:t>Wales</w:t>
      </w:r>
      <w:r w:rsidR="00E15E1B">
        <w:t xml:space="preserve"> </w:t>
      </w:r>
      <w:r>
        <w:t>and</w:t>
      </w:r>
      <w:r w:rsidR="00E15E1B">
        <w:t xml:space="preserve"> </w:t>
      </w:r>
      <w:r>
        <w:t>Queensland,</w:t>
      </w:r>
      <w:r w:rsidR="00E15E1B">
        <w:t xml:space="preserve"> </w:t>
      </w:r>
      <w:r>
        <w:t>led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seizure</w:t>
      </w:r>
      <w:r w:rsidR="00E15E1B">
        <w:t xml:space="preserve"> </w:t>
      </w:r>
      <w:r>
        <w:t>of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6,500</w:t>
      </w:r>
      <w:r w:rsidR="00E15E1B">
        <w:t xml:space="preserve"> </w:t>
      </w:r>
      <w:r>
        <w:t>non-compliant</w:t>
      </w:r>
      <w:r w:rsidR="00E15E1B">
        <w:t xml:space="preserve"> </w:t>
      </w:r>
      <w:r>
        <w:t>products</w:t>
      </w:r>
      <w:r w:rsidR="00E15E1B">
        <w:t xml:space="preserve"> </w:t>
      </w:r>
      <w:r>
        <w:t>from</w:t>
      </w:r>
      <w:r w:rsidR="00E15E1B">
        <w:t xml:space="preserve"> </w:t>
      </w:r>
      <w:r>
        <w:t>15</w:t>
      </w:r>
      <w:r w:rsidR="00E15E1B">
        <w:t xml:space="preserve"> </w:t>
      </w:r>
      <w:r>
        <w:t>Daiso</w:t>
      </w:r>
      <w:r w:rsidR="00E15E1B">
        <w:t xml:space="preserve"> </w:t>
      </w:r>
      <w:r>
        <w:t>stores,</w:t>
      </w:r>
      <w:r w:rsidR="00E15E1B">
        <w:t xml:space="preserve"> </w:t>
      </w:r>
      <w:r>
        <w:t>including</w:t>
      </w:r>
      <w:r w:rsidR="00E15E1B">
        <w:t xml:space="preserve"> </w:t>
      </w:r>
      <w:r>
        <w:t>seven</w:t>
      </w:r>
      <w:r w:rsidR="00E15E1B">
        <w:t xml:space="preserve"> </w:t>
      </w:r>
      <w:r>
        <w:t>stores</w:t>
      </w:r>
      <w:r w:rsidR="00E15E1B">
        <w:t xml:space="preserve"> </w:t>
      </w:r>
      <w:r>
        <w:t>in</w:t>
      </w:r>
      <w:r w:rsidR="00E15E1B">
        <w:t xml:space="preserve"> </w:t>
      </w:r>
      <w:r>
        <w:t>Victoria.</w:t>
      </w:r>
    </w:p>
    <w:p w:rsidR="00156239" w:rsidRDefault="00156239" w:rsidP="00156239">
      <w:pPr>
        <w:pStyle w:val="Heading4"/>
      </w:pPr>
      <w:r>
        <w:t>Compliance</w:t>
      </w:r>
      <w:r w:rsidR="00E15E1B">
        <w:t xml:space="preserve"> </w:t>
      </w:r>
      <w:r>
        <w:t>monitoring</w:t>
      </w:r>
      <w:r w:rsidR="00E15E1B">
        <w:t xml:space="preserve"> </w:t>
      </w:r>
      <w:r>
        <w:t>framework</w:t>
      </w:r>
      <w:r w:rsidR="00E15E1B">
        <w:t xml:space="preserve"> </w:t>
      </w:r>
      <w:r>
        <w:t>wins</w:t>
      </w:r>
      <w:r w:rsidR="00E15E1B">
        <w:t xml:space="preserve"> </w:t>
      </w:r>
      <w:r>
        <w:t>award</w:t>
      </w:r>
    </w:p>
    <w:p w:rsidR="00156239" w:rsidRDefault="00156239" w:rsidP="00156239">
      <w:pPr>
        <w:pStyle w:val="BodyText"/>
      </w:pPr>
      <w:r>
        <w:t>Our</w:t>
      </w:r>
      <w:r w:rsidR="00E15E1B">
        <w:t xml:space="preserve"> </w:t>
      </w:r>
      <w:r>
        <w:t>commitment</w:t>
      </w:r>
      <w:r w:rsidR="00E15E1B">
        <w:t xml:space="preserve"> </w:t>
      </w:r>
      <w:r>
        <w:t>to</w:t>
      </w:r>
      <w:r w:rsidR="00E15E1B">
        <w:t xml:space="preserve"> </w:t>
      </w:r>
      <w:r>
        <w:t>effective</w:t>
      </w:r>
      <w:r w:rsidR="00E15E1B">
        <w:t xml:space="preserve"> </w:t>
      </w:r>
      <w:r>
        <w:t>compliance</w:t>
      </w:r>
      <w:r w:rsidR="00E15E1B">
        <w:t xml:space="preserve"> </w:t>
      </w:r>
      <w:r>
        <w:t>monitoring</w:t>
      </w:r>
      <w:r w:rsidR="00E15E1B">
        <w:t xml:space="preserve"> </w:t>
      </w:r>
      <w:r>
        <w:t>through</w:t>
      </w:r>
      <w:r w:rsidR="00E15E1B">
        <w:t xml:space="preserve"> </w:t>
      </w:r>
      <w:r>
        <w:t>our</w:t>
      </w:r>
      <w:r w:rsidR="00E15E1B">
        <w:t xml:space="preserve"> </w:t>
      </w:r>
      <w:r>
        <w:t>Project</w:t>
      </w:r>
      <w:r w:rsidR="00E15E1B">
        <w:t xml:space="preserve"> </w:t>
      </w:r>
      <w:r>
        <w:t>Jupiter</w:t>
      </w:r>
      <w:r w:rsidR="00E15E1B">
        <w:t xml:space="preserve"> </w:t>
      </w:r>
      <w:r>
        <w:t>initiative</w:t>
      </w:r>
      <w:r w:rsidR="00E15E1B">
        <w:t xml:space="preserve"> </w:t>
      </w:r>
      <w:r>
        <w:t>was</w:t>
      </w:r>
      <w:r w:rsidR="00E15E1B">
        <w:t xml:space="preserve"> </w:t>
      </w:r>
      <w:r>
        <w:t>rewarded</w:t>
      </w:r>
      <w:r w:rsidR="00E15E1B">
        <w:t xml:space="preserve"> </w:t>
      </w:r>
      <w:r>
        <w:t>this</w:t>
      </w:r>
      <w:r w:rsidR="00E15E1B">
        <w:t xml:space="preserve"> </w:t>
      </w:r>
      <w:r>
        <w:t>year</w:t>
      </w:r>
      <w:r w:rsidR="00E15E1B">
        <w:t xml:space="preserve"> </w:t>
      </w:r>
      <w:r>
        <w:t>at</w:t>
      </w:r>
      <w:r w:rsidR="00E15E1B">
        <w:t xml:space="preserve"> </w:t>
      </w:r>
      <w:r>
        <w:t>the</w:t>
      </w:r>
      <w:r w:rsidR="00E15E1B">
        <w:t xml:space="preserve"> </w:t>
      </w:r>
      <w:r>
        <w:t>Department</w:t>
      </w:r>
      <w:r w:rsidR="00E15E1B">
        <w:t xml:space="preserve"> </w:t>
      </w:r>
      <w:r>
        <w:t>of</w:t>
      </w:r>
      <w:r w:rsidR="00E15E1B">
        <w:t xml:space="preserve"> </w:t>
      </w:r>
      <w:r>
        <w:t>Justice</w:t>
      </w:r>
      <w:r w:rsidR="00E15E1B">
        <w:t xml:space="preserve"> </w:t>
      </w:r>
      <w:r>
        <w:t>and</w:t>
      </w:r>
      <w:r w:rsidR="00E15E1B">
        <w:t xml:space="preserve"> </w:t>
      </w:r>
      <w:r>
        <w:t>Regulation’s</w:t>
      </w:r>
      <w:r w:rsidR="00E15E1B">
        <w:t xml:space="preserve"> </w:t>
      </w:r>
      <w:r>
        <w:t>Risk</w:t>
      </w:r>
      <w:r w:rsidR="00E15E1B">
        <w:t xml:space="preserve"> </w:t>
      </w:r>
      <w:r>
        <w:t>and</w:t>
      </w:r>
      <w:r w:rsidR="00E15E1B">
        <w:t xml:space="preserve"> </w:t>
      </w:r>
      <w:r>
        <w:t>Resilience</w:t>
      </w:r>
      <w:r w:rsidR="00E15E1B">
        <w:t xml:space="preserve"> </w:t>
      </w:r>
      <w:r>
        <w:t>Awards.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awards</w:t>
      </w:r>
      <w:r w:rsidR="00E15E1B">
        <w:t xml:space="preserve"> </w:t>
      </w:r>
      <w:r>
        <w:t>recognise</w:t>
      </w:r>
      <w:r w:rsidR="00E15E1B">
        <w:t xml:space="preserve"> </w:t>
      </w:r>
      <w:r>
        <w:t>projects</w:t>
      </w:r>
      <w:r w:rsidR="00E15E1B">
        <w:t xml:space="preserve"> </w:t>
      </w:r>
      <w:r>
        <w:t>that</w:t>
      </w:r>
      <w:r w:rsidR="00E15E1B">
        <w:t xml:space="preserve"> </w:t>
      </w:r>
      <w:r>
        <w:t>actively</w:t>
      </w:r>
      <w:r w:rsidR="00E15E1B">
        <w:t xml:space="preserve"> </w:t>
      </w:r>
      <w:r>
        <w:t>apply</w:t>
      </w:r>
      <w:r w:rsidR="00E15E1B">
        <w:t xml:space="preserve"> </w:t>
      </w:r>
      <w:r>
        <w:t>best</w:t>
      </w:r>
      <w:r w:rsidR="00E15E1B">
        <w:t xml:space="preserve"> </w:t>
      </w:r>
      <w:r>
        <w:t>practice</w:t>
      </w:r>
      <w:r w:rsidR="00E15E1B">
        <w:t xml:space="preserve"> </w:t>
      </w:r>
      <w:r>
        <w:t>to</w:t>
      </w:r>
      <w:r w:rsidR="00E15E1B">
        <w:t xml:space="preserve"> </w:t>
      </w:r>
      <w:r>
        <w:t>manage</w:t>
      </w:r>
      <w:r w:rsidR="00E15E1B">
        <w:t xml:space="preserve"> </w:t>
      </w:r>
      <w:r>
        <w:t>risk</w:t>
      </w:r>
      <w:r w:rsidR="00E15E1B">
        <w:t xml:space="preserve"> </w:t>
      </w:r>
      <w:r>
        <w:t>or</w:t>
      </w:r>
      <w:r w:rsidR="00E15E1B">
        <w:t xml:space="preserve"> </w:t>
      </w:r>
      <w:r>
        <w:t>increase</w:t>
      </w:r>
      <w:r w:rsidR="00E15E1B">
        <w:t xml:space="preserve"> </w:t>
      </w:r>
      <w:r>
        <w:t>resilience,</w:t>
      </w:r>
      <w:r w:rsidR="00E15E1B">
        <w:t xml:space="preserve"> </w:t>
      </w:r>
      <w:r>
        <w:t>and</w:t>
      </w:r>
      <w:r w:rsidR="00E15E1B">
        <w:t xml:space="preserve"> </w:t>
      </w:r>
      <w:r>
        <w:t>provide</w:t>
      </w:r>
      <w:r w:rsidR="00E15E1B">
        <w:t xml:space="preserve"> </w:t>
      </w:r>
      <w:r>
        <w:t>insights</w:t>
      </w:r>
      <w:r w:rsidR="00E15E1B">
        <w:t xml:space="preserve"> </w:t>
      </w:r>
      <w:r>
        <w:t>into</w:t>
      </w:r>
      <w:r w:rsidR="00E15E1B">
        <w:t xml:space="preserve"> </w:t>
      </w:r>
      <w:r>
        <w:t>practical</w:t>
      </w:r>
      <w:r w:rsidR="00E15E1B">
        <w:t xml:space="preserve"> </w:t>
      </w:r>
      <w:r>
        <w:t>ways</w:t>
      </w:r>
      <w:r w:rsidR="00E15E1B">
        <w:t xml:space="preserve"> </w:t>
      </w:r>
      <w:r>
        <w:t>of</w:t>
      </w:r>
      <w:r w:rsidR="00E15E1B">
        <w:t xml:space="preserve"> </w:t>
      </w:r>
      <w:r>
        <w:t>addressing</w:t>
      </w:r>
      <w:r w:rsidR="00E15E1B">
        <w:t xml:space="preserve"> </w:t>
      </w:r>
      <w:r>
        <w:t>these</w:t>
      </w:r>
      <w:r w:rsidR="00E15E1B">
        <w:t xml:space="preserve"> </w:t>
      </w:r>
      <w:r>
        <w:t>challenges.</w:t>
      </w:r>
      <w:r w:rsidR="00E15E1B">
        <w:t xml:space="preserve"> </w:t>
      </w:r>
      <w:r>
        <w:t>This</w:t>
      </w:r>
      <w:r w:rsidR="00E15E1B">
        <w:t xml:space="preserve"> </w:t>
      </w:r>
      <w:r>
        <w:t>project</w:t>
      </w:r>
      <w:r w:rsidR="00E15E1B">
        <w:t xml:space="preserve"> </w:t>
      </w:r>
      <w:r>
        <w:t>was</w:t>
      </w:r>
      <w:r w:rsidR="00E15E1B">
        <w:t xml:space="preserve"> </w:t>
      </w:r>
      <w:r>
        <w:t>chosen</w:t>
      </w:r>
      <w:r w:rsidR="00E15E1B">
        <w:t xml:space="preserve"> </w:t>
      </w:r>
      <w:r>
        <w:t>from</w:t>
      </w:r>
      <w:r w:rsidR="00E15E1B">
        <w:t xml:space="preserve"> </w:t>
      </w:r>
      <w:r>
        <w:t>a</w:t>
      </w:r>
      <w:r w:rsidR="00E15E1B">
        <w:t xml:space="preserve"> </w:t>
      </w:r>
      <w:r>
        <w:t>competitive</w:t>
      </w:r>
      <w:r w:rsidR="00E15E1B">
        <w:t xml:space="preserve"> </w:t>
      </w:r>
      <w:r>
        <w:t>field</w:t>
      </w:r>
      <w:r w:rsidR="00E15E1B">
        <w:t xml:space="preserve"> </w:t>
      </w:r>
      <w:r>
        <w:t>of</w:t>
      </w:r>
      <w:r w:rsidR="00E15E1B">
        <w:t xml:space="preserve"> </w:t>
      </w:r>
      <w:r>
        <w:t>nominees</w:t>
      </w:r>
      <w:r w:rsidR="00E15E1B">
        <w:t xml:space="preserve"> </w:t>
      </w:r>
      <w:r>
        <w:t>across</w:t>
      </w:r>
      <w:r w:rsidR="00E15E1B">
        <w:t xml:space="preserve"> </w:t>
      </w:r>
      <w:r>
        <w:t>the</w:t>
      </w:r>
      <w:r w:rsidR="00E15E1B">
        <w:t xml:space="preserve"> </w:t>
      </w:r>
      <w:r>
        <w:t>department,</w:t>
      </w:r>
      <w:r w:rsidR="00E15E1B">
        <w:t xml:space="preserve"> </w:t>
      </w:r>
      <w:r>
        <w:t>and</w:t>
      </w:r>
      <w:r w:rsidR="00E15E1B">
        <w:t xml:space="preserve"> </w:t>
      </w:r>
      <w:r>
        <w:t>is</w:t>
      </w:r>
      <w:r w:rsidR="00E15E1B">
        <w:t xml:space="preserve"> </w:t>
      </w:r>
      <w:r>
        <w:t>a</w:t>
      </w:r>
      <w:r w:rsidR="00E15E1B">
        <w:t xml:space="preserve"> </w:t>
      </w:r>
      <w:r>
        <w:t>great</w:t>
      </w:r>
      <w:r w:rsidR="00E15E1B">
        <w:t xml:space="preserve"> </w:t>
      </w:r>
      <w:r>
        <w:t>example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drive</w:t>
      </w:r>
      <w:r w:rsidR="00E15E1B">
        <w:t xml:space="preserve"> </w:t>
      </w:r>
      <w:r>
        <w:t>and</w:t>
      </w:r>
      <w:r w:rsidR="00E15E1B">
        <w:t xml:space="preserve"> </w:t>
      </w:r>
      <w:r>
        <w:t>commitment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staff</w:t>
      </w:r>
      <w:r w:rsidR="00E15E1B">
        <w:t xml:space="preserve"> </w:t>
      </w:r>
      <w:r>
        <w:t>to</w:t>
      </w:r>
      <w:r w:rsidR="00E15E1B">
        <w:t xml:space="preserve"> </w:t>
      </w:r>
      <w:r>
        <w:t>efficiency,</w:t>
      </w:r>
      <w:r w:rsidR="00E15E1B">
        <w:t xml:space="preserve"> </w:t>
      </w:r>
      <w:r>
        <w:t>innovation</w:t>
      </w:r>
      <w:r w:rsidR="00E15E1B">
        <w:t xml:space="preserve"> </w:t>
      </w:r>
      <w:r>
        <w:t>and</w:t>
      </w:r>
      <w:r w:rsidR="00E15E1B">
        <w:t xml:space="preserve"> </w:t>
      </w:r>
      <w:r>
        <w:t>collaboration.</w:t>
      </w:r>
    </w:p>
    <w:p w:rsidR="00156239" w:rsidRDefault="00156239" w:rsidP="00156239">
      <w:pPr>
        <w:pStyle w:val="BodyText"/>
      </w:pPr>
      <w:r>
        <w:t>Through</w:t>
      </w:r>
      <w:r w:rsidR="00E15E1B">
        <w:t xml:space="preserve"> </w:t>
      </w:r>
      <w:r>
        <w:t>Project</w:t>
      </w:r>
      <w:r w:rsidR="00E15E1B">
        <w:t xml:space="preserve"> </w:t>
      </w:r>
      <w:r>
        <w:t>Jupiter,</w:t>
      </w:r>
      <w:r w:rsidR="00E15E1B">
        <w:t xml:space="preserve"> </w:t>
      </w:r>
      <w:r>
        <w:t>we</w:t>
      </w:r>
      <w:r w:rsidR="00E15E1B">
        <w:t xml:space="preserve"> </w:t>
      </w:r>
      <w:r>
        <w:t>established</w:t>
      </w:r>
      <w:r w:rsidR="00E15E1B">
        <w:t xml:space="preserve"> </w:t>
      </w:r>
      <w:r>
        <w:t>a</w:t>
      </w:r>
      <w:r w:rsidR="00E15E1B">
        <w:t xml:space="preserve"> </w:t>
      </w:r>
      <w:r>
        <w:t>robust</w:t>
      </w:r>
      <w:r w:rsidR="00E15E1B">
        <w:t xml:space="preserve"> </w:t>
      </w:r>
      <w:r>
        <w:t>framework</w:t>
      </w:r>
      <w:r w:rsidR="00E15E1B">
        <w:t xml:space="preserve"> </w:t>
      </w:r>
      <w:r>
        <w:t>for</w:t>
      </w:r>
      <w:r w:rsidR="00E15E1B">
        <w:t xml:space="preserve"> </w:t>
      </w:r>
      <w:r>
        <w:t>monitoring</w:t>
      </w:r>
      <w:r w:rsidR="00E15E1B">
        <w:t xml:space="preserve"> </w:t>
      </w:r>
      <w:r>
        <w:t>and</w:t>
      </w:r>
      <w:r w:rsidR="00E15E1B">
        <w:t xml:space="preserve"> </w:t>
      </w:r>
      <w:r>
        <w:t>enforcing</w:t>
      </w:r>
      <w:r w:rsidR="00E15E1B">
        <w:t xml:space="preserve"> </w:t>
      </w:r>
      <w:r>
        <w:t>court</w:t>
      </w:r>
      <w:r w:rsidR="00E15E1B">
        <w:t xml:space="preserve"> </w:t>
      </w:r>
      <w:r>
        <w:t>orders</w:t>
      </w:r>
      <w:r w:rsidR="00E15E1B">
        <w:t xml:space="preserve"> </w:t>
      </w:r>
      <w:r>
        <w:t>against</w:t>
      </w:r>
      <w:r w:rsidR="00E15E1B">
        <w:t xml:space="preserve"> </w:t>
      </w:r>
      <w:r>
        <w:t>and</w:t>
      </w:r>
      <w:r w:rsidR="00E15E1B">
        <w:t xml:space="preserve"> </w:t>
      </w:r>
      <w:r>
        <w:t>undertakings</w:t>
      </w:r>
      <w:r w:rsidR="00E15E1B">
        <w:t xml:space="preserve"> </w:t>
      </w:r>
      <w:r>
        <w:t>by</w:t>
      </w:r>
      <w:r w:rsidR="00E15E1B">
        <w:t xml:space="preserve"> </w:t>
      </w:r>
      <w:r>
        <w:t>businesses</w:t>
      </w:r>
      <w:r w:rsidR="00E15E1B">
        <w:t xml:space="preserve"> </w:t>
      </w:r>
      <w:r>
        <w:t>who</w:t>
      </w:r>
      <w:r w:rsidR="00E15E1B">
        <w:t xml:space="preserve"> </w:t>
      </w:r>
      <w:r>
        <w:t>have</w:t>
      </w:r>
      <w:r w:rsidR="00E15E1B">
        <w:t xml:space="preserve"> </w:t>
      </w:r>
      <w:r>
        <w:t>breached</w:t>
      </w:r>
      <w:r w:rsidR="00E15E1B">
        <w:t xml:space="preserve"> </w:t>
      </w:r>
      <w:r>
        <w:t>consumer</w:t>
      </w:r>
      <w:r w:rsidR="00E15E1B">
        <w:t xml:space="preserve"> </w:t>
      </w:r>
      <w:r>
        <w:t>law.</w:t>
      </w:r>
      <w:r w:rsidR="00E15E1B">
        <w:t xml:space="preserve"> </w:t>
      </w:r>
      <w:r>
        <w:t>An</w:t>
      </w:r>
      <w:r w:rsidR="00E15E1B">
        <w:t xml:space="preserve"> </w:t>
      </w:r>
      <w:r>
        <w:t>enforceable</w:t>
      </w:r>
      <w:r w:rsidR="00E15E1B">
        <w:t xml:space="preserve"> </w:t>
      </w:r>
      <w:r>
        <w:t>undertaking</w:t>
      </w:r>
      <w:r w:rsidR="00E15E1B">
        <w:t xml:space="preserve"> </w:t>
      </w:r>
      <w:r>
        <w:t>is</w:t>
      </w:r>
      <w:r w:rsidR="00E15E1B">
        <w:t xml:space="preserve"> </w:t>
      </w:r>
      <w:r>
        <w:t>a</w:t>
      </w:r>
      <w:r w:rsidR="00E15E1B">
        <w:t xml:space="preserve"> </w:t>
      </w:r>
      <w:r>
        <w:t>written</w:t>
      </w:r>
      <w:r w:rsidR="00E15E1B">
        <w:t xml:space="preserve"> </w:t>
      </w:r>
      <w:r>
        <w:t>undertaking</w:t>
      </w:r>
      <w:r w:rsidR="00E15E1B">
        <w:t xml:space="preserve"> </w:t>
      </w:r>
      <w:r>
        <w:t>offered</w:t>
      </w:r>
      <w:r w:rsidR="00E15E1B">
        <w:t xml:space="preserve"> </w:t>
      </w:r>
      <w:r>
        <w:t>by</w:t>
      </w:r>
      <w:r w:rsidR="00E15E1B">
        <w:t xml:space="preserve"> </w:t>
      </w:r>
      <w:r>
        <w:t>a</w:t>
      </w:r>
      <w:r w:rsidR="00E15E1B">
        <w:t xml:space="preserve"> </w:t>
      </w:r>
      <w:r>
        <w:t>business</w:t>
      </w:r>
      <w:r w:rsidR="00E15E1B">
        <w:t xml:space="preserve"> </w:t>
      </w:r>
      <w:r>
        <w:t>that</w:t>
      </w:r>
      <w:r w:rsidR="00E15E1B">
        <w:t xml:space="preserve"> </w:t>
      </w:r>
      <w:r>
        <w:t>admits</w:t>
      </w:r>
      <w:r w:rsidR="00E15E1B">
        <w:t xml:space="preserve"> </w:t>
      </w:r>
      <w:r>
        <w:t>breaching</w:t>
      </w:r>
      <w:r w:rsidR="00E15E1B">
        <w:t xml:space="preserve"> </w:t>
      </w:r>
      <w:r>
        <w:t>a</w:t>
      </w:r>
      <w:r w:rsidR="00E15E1B">
        <w:t xml:space="preserve"> </w:t>
      </w:r>
      <w:r>
        <w:t>consumer</w:t>
      </w:r>
      <w:r w:rsidR="00E15E1B">
        <w:t xml:space="preserve"> </w:t>
      </w:r>
      <w:r>
        <w:lastRenderedPageBreak/>
        <w:t>protection</w:t>
      </w:r>
      <w:r w:rsidR="00E15E1B">
        <w:t xml:space="preserve"> </w:t>
      </w:r>
      <w:r>
        <w:t>law,</w:t>
      </w:r>
      <w:r w:rsidR="00E15E1B">
        <w:t xml:space="preserve"> </w:t>
      </w:r>
      <w:r>
        <w:t>confirming</w:t>
      </w:r>
      <w:r w:rsidR="00E15E1B">
        <w:t xml:space="preserve"> </w:t>
      </w:r>
      <w:r>
        <w:t>they</w:t>
      </w:r>
      <w:r w:rsidR="00E15E1B">
        <w:t xml:space="preserve"> </w:t>
      </w:r>
      <w:r>
        <w:t>have</w:t>
      </w:r>
      <w:r w:rsidR="00E15E1B">
        <w:t xml:space="preserve"> </w:t>
      </w:r>
      <w:r>
        <w:t>stopped</w:t>
      </w:r>
      <w:r w:rsidR="00E15E1B">
        <w:t xml:space="preserve"> </w:t>
      </w:r>
      <w:r>
        <w:t>and</w:t>
      </w:r>
      <w:r w:rsidR="00E15E1B">
        <w:t xml:space="preserve"> </w:t>
      </w:r>
      <w:r>
        <w:t>will</w:t>
      </w:r>
      <w:r w:rsidR="00E15E1B">
        <w:t xml:space="preserve"> </w:t>
      </w:r>
      <w:r>
        <w:t>not</w:t>
      </w:r>
      <w:r w:rsidR="00E15E1B">
        <w:t xml:space="preserve"> </w:t>
      </w:r>
      <w:r>
        <w:t>repeat</w:t>
      </w:r>
      <w:r w:rsidR="00E15E1B">
        <w:t xml:space="preserve"> </w:t>
      </w:r>
      <w:r>
        <w:t>the</w:t>
      </w:r>
      <w:r w:rsidR="00E15E1B">
        <w:t xml:space="preserve"> </w:t>
      </w:r>
      <w:r>
        <w:t>conduct.</w:t>
      </w:r>
      <w:r w:rsidR="00E15E1B">
        <w:t xml:space="preserve"> </w:t>
      </w:r>
      <w:r>
        <w:t>They</w:t>
      </w:r>
      <w:r w:rsidR="00E15E1B">
        <w:t xml:space="preserve"> </w:t>
      </w:r>
      <w:r>
        <w:t>are</w:t>
      </w:r>
      <w:r w:rsidR="00E15E1B">
        <w:t xml:space="preserve"> </w:t>
      </w:r>
      <w:r>
        <w:t>often</w:t>
      </w:r>
      <w:r w:rsidR="00E15E1B">
        <w:t xml:space="preserve"> </w:t>
      </w:r>
      <w:r>
        <w:t>more</w:t>
      </w:r>
      <w:r w:rsidR="00E15E1B">
        <w:t xml:space="preserve"> </w:t>
      </w:r>
      <w:r>
        <w:t>efficient</w:t>
      </w:r>
      <w:r w:rsidR="00E15E1B">
        <w:t xml:space="preserve"> </w:t>
      </w:r>
      <w:r>
        <w:t>and</w:t>
      </w:r>
      <w:r w:rsidR="00E15E1B">
        <w:t xml:space="preserve"> </w:t>
      </w:r>
      <w:r>
        <w:t>effective</w:t>
      </w:r>
      <w:r w:rsidR="00E15E1B">
        <w:t xml:space="preserve"> </w:t>
      </w:r>
      <w:r>
        <w:t>than</w:t>
      </w:r>
      <w:r w:rsidR="00E15E1B">
        <w:t xml:space="preserve"> </w:t>
      </w:r>
      <w:r>
        <w:t>a</w:t>
      </w:r>
      <w:r w:rsidR="00E15E1B">
        <w:t xml:space="preserve"> </w:t>
      </w:r>
      <w:r>
        <w:t>court</w:t>
      </w:r>
      <w:r w:rsidR="00E15E1B">
        <w:t xml:space="preserve"> </w:t>
      </w:r>
      <w:r>
        <w:t>proceeding.</w:t>
      </w:r>
      <w:r w:rsidR="00E15E1B">
        <w:t xml:space="preserve"> </w:t>
      </w:r>
      <w:r>
        <w:t>We</w:t>
      </w:r>
      <w:r w:rsidR="00E15E1B">
        <w:t xml:space="preserve"> </w:t>
      </w:r>
      <w:r>
        <w:t>have</w:t>
      </w:r>
      <w:r w:rsidR="00E15E1B">
        <w:t xml:space="preserve"> </w:t>
      </w:r>
      <w:r>
        <w:t>now</w:t>
      </w:r>
      <w:r w:rsidR="00E15E1B">
        <w:t xml:space="preserve"> </w:t>
      </w:r>
      <w:r>
        <w:t>embedded</w:t>
      </w:r>
      <w:r w:rsidR="00E15E1B">
        <w:t xml:space="preserve"> </w:t>
      </w:r>
      <w:r>
        <w:t>this</w:t>
      </w:r>
      <w:r w:rsidR="00E15E1B">
        <w:t xml:space="preserve"> </w:t>
      </w:r>
      <w:r>
        <w:t>project</w:t>
      </w:r>
      <w:r w:rsidR="00E15E1B">
        <w:t xml:space="preserve"> </w:t>
      </w:r>
      <w:r>
        <w:t>as</w:t>
      </w:r>
      <w:r w:rsidR="00E15E1B">
        <w:t xml:space="preserve"> </w:t>
      </w:r>
      <w:r>
        <w:t>business</w:t>
      </w:r>
      <w:r w:rsidR="00E15E1B">
        <w:t xml:space="preserve"> </w:t>
      </w:r>
      <w:r>
        <w:t>as</w:t>
      </w:r>
      <w:r w:rsidR="00E15E1B">
        <w:t xml:space="preserve"> </w:t>
      </w:r>
      <w:r>
        <w:t>usual</w:t>
      </w:r>
      <w:r w:rsidR="00E15E1B">
        <w:t xml:space="preserve"> </w:t>
      </w:r>
      <w:r>
        <w:t>and</w:t>
      </w:r>
      <w:r w:rsidR="00E15E1B">
        <w:t xml:space="preserve"> </w:t>
      </w:r>
      <w:r>
        <w:t>included</w:t>
      </w:r>
      <w:r w:rsidR="00E15E1B">
        <w:t xml:space="preserve"> </w:t>
      </w:r>
      <w:r>
        <w:t>voluntary</w:t>
      </w:r>
      <w:r w:rsidR="00E15E1B">
        <w:t xml:space="preserve"> </w:t>
      </w:r>
      <w:r>
        <w:t>undertakings</w:t>
      </w:r>
      <w:r w:rsidR="00E15E1B">
        <w:t xml:space="preserve"> </w:t>
      </w:r>
      <w:r>
        <w:t>in</w:t>
      </w:r>
      <w:r w:rsidR="00E15E1B">
        <w:t xml:space="preserve"> </w:t>
      </w:r>
      <w:r>
        <w:t>our</w:t>
      </w:r>
      <w:r w:rsidR="00E15E1B">
        <w:t xml:space="preserve"> </w:t>
      </w:r>
      <w:r>
        <w:t>monitoring</w:t>
      </w:r>
      <w:r w:rsidR="00E15E1B">
        <w:t xml:space="preserve"> </w:t>
      </w:r>
      <w:r>
        <w:t>framework.</w:t>
      </w:r>
    </w:p>
    <w:p w:rsidR="00156239" w:rsidRDefault="00156239" w:rsidP="00156239">
      <w:pPr>
        <w:pStyle w:val="Heading4"/>
      </w:pPr>
      <w:r>
        <w:t>Enforcement</w:t>
      </w:r>
      <w:r w:rsidR="00E15E1B">
        <w:t xml:space="preserve"> </w:t>
      </w:r>
      <w:r>
        <w:t>actions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took</w:t>
      </w:r>
      <w:r w:rsidR="00E15E1B">
        <w:t xml:space="preserve"> </w:t>
      </w:r>
      <w:r>
        <w:t>a</w:t>
      </w:r>
      <w:r w:rsidR="00E15E1B">
        <w:t xml:space="preserve"> </w:t>
      </w:r>
      <w:r>
        <w:t>range</w:t>
      </w:r>
      <w:r w:rsidR="00E15E1B">
        <w:t xml:space="preserve"> </w:t>
      </w:r>
      <w:r>
        <w:t>of</w:t>
      </w:r>
      <w:r w:rsidR="00E15E1B">
        <w:t xml:space="preserve"> </w:t>
      </w:r>
      <w:r>
        <w:t>enforcement</w:t>
      </w:r>
      <w:r w:rsidR="00E15E1B">
        <w:t xml:space="preserve"> </w:t>
      </w:r>
      <w:r>
        <w:t>actions</w:t>
      </w:r>
      <w:r w:rsidR="00E15E1B">
        <w:t xml:space="preserve"> </w:t>
      </w:r>
      <w:r>
        <w:t>in</w:t>
      </w:r>
      <w:r w:rsidR="00E15E1B">
        <w:t xml:space="preserve"> </w:t>
      </w:r>
      <w:r>
        <w:t>2017–18.</w:t>
      </w:r>
      <w:r w:rsidR="00E15E1B">
        <w:t xml:space="preserve"> </w:t>
      </w:r>
      <w:r>
        <w:t>Actions</w:t>
      </w:r>
      <w:r w:rsidR="00E15E1B">
        <w:t xml:space="preserve"> </w:t>
      </w:r>
      <w:r>
        <w:t>completed</w:t>
      </w:r>
      <w:r w:rsidR="00E15E1B">
        <w:t xml:space="preserve"> </w:t>
      </w:r>
      <w:r>
        <w:t>or</w:t>
      </w:r>
      <w:r w:rsidR="00E15E1B">
        <w:t xml:space="preserve"> </w:t>
      </w:r>
      <w:r>
        <w:t>in</w:t>
      </w:r>
      <w:r w:rsidR="00E15E1B">
        <w:t xml:space="preserve"> </w:t>
      </w:r>
      <w:r>
        <w:t>progress</w:t>
      </w:r>
      <w:r w:rsidR="00E15E1B">
        <w:t xml:space="preserve"> </w:t>
      </w:r>
      <w:r>
        <w:t>at</w:t>
      </w:r>
      <w:r w:rsidR="00E15E1B">
        <w:t xml:space="preserve"> </w:t>
      </w:r>
      <w:r>
        <w:t>30</w:t>
      </w:r>
      <w:r w:rsidR="00E15E1B">
        <w:t xml:space="preserve"> </w:t>
      </w:r>
      <w:r>
        <w:t>June</w:t>
      </w:r>
      <w:r w:rsidR="00E15E1B">
        <w:t xml:space="preserve"> </w:t>
      </w:r>
      <w:r>
        <w:t>2018</w:t>
      </w:r>
      <w:r w:rsidR="00E15E1B">
        <w:t xml:space="preserve"> </w:t>
      </w:r>
      <w:r>
        <w:t>are</w:t>
      </w:r>
      <w:r w:rsidR="00E15E1B">
        <w:t xml:space="preserve"> </w:t>
      </w:r>
      <w:r>
        <w:t>outlined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table</w:t>
      </w:r>
      <w:r w:rsidR="00E15E1B">
        <w:t xml:space="preserve"> </w:t>
      </w:r>
      <w:r>
        <w:t>below.</w:t>
      </w:r>
    </w:p>
    <w:p w:rsidR="00156239" w:rsidRDefault="00156239" w:rsidP="00156239">
      <w:pPr>
        <w:pStyle w:val="Heading5"/>
      </w:pPr>
      <w:r>
        <w:t>Parties</w:t>
      </w:r>
      <w:r w:rsidR="00E15E1B">
        <w:t xml:space="preserve"> </w:t>
      </w:r>
      <w:r>
        <w:t>signed</w:t>
      </w:r>
      <w:r w:rsidR="00E15E1B">
        <w:t xml:space="preserve"> </w:t>
      </w:r>
      <w:r>
        <w:t>to</w:t>
      </w:r>
      <w:r w:rsidR="00E15E1B">
        <w:t xml:space="preserve"> </w:t>
      </w:r>
      <w:r>
        <w:t>enforceable</w:t>
      </w:r>
      <w:r w:rsidR="00E15E1B">
        <w:t xml:space="preserve"> </w:t>
      </w:r>
      <w:r>
        <w:t>undertakings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2675"/>
        <w:gridCol w:w="6397"/>
      </w:tblGrid>
      <w:tr w:rsidR="00156239" w:rsidRPr="00F41A61" w:rsidTr="00104254">
        <w:trPr>
          <w:trHeight w:val="60"/>
          <w:tblHeader/>
        </w:trPr>
        <w:tc>
          <w:tcPr>
            <w:tcW w:w="2835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Legislation</w:t>
            </w:r>
          </w:p>
        </w:tc>
        <w:tc>
          <w:tcPr>
            <w:tcW w:w="6803" w:type="dxa"/>
            <w:tcBorders>
              <w:lef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Parties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Australian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Consumer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Law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(Victoria)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Peleguy</w:t>
            </w:r>
            <w:r w:rsidR="00E15E1B">
              <w:t xml:space="preserve"> </w:t>
            </w:r>
            <w:r>
              <w:t>Distributions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Yaniv</w:t>
            </w:r>
            <w:r w:rsidR="00E15E1B">
              <w:t xml:space="preserve"> </w:t>
            </w:r>
            <w:r>
              <w:t>Peleg</w:t>
            </w:r>
          </w:p>
          <w:p w:rsidR="00156239" w:rsidRDefault="00156239" w:rsidP="00FC025D">
            <w:pPr>
              <w:pStyle w:val="TableText"/>
            </w:pPr>
            <w:r>
              <w:t>Australia</w:t>
            </w:r>
            <w:r w:rsidR="00E15E1B">
              <w:t xml:space="preserve"> </w:t>
            </w:r>
            <w:r>
              <w:t>Manolite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Zhenghong</w:t>
            </w:r>
            <w:r w:rsidR="00E15E1B">
              <w:t xml:space="preserve"> </w:t>
            </w:r>
            <w:r>
              <w:t>Mei</w:t>
            </w:r>
          </w:p>
          <w:p w:rsidR="00156239" w:rsidRDefault="00156239" w:rsidP="00FC025D">
            <w:pPr>
              <w:pStyle w:val="TableText"/>
            </w:pPr>
            <w:r>
              <w:t>Gemwide</w:t>
            </w:r>
            <w:r w:rsidR="00E15E1B">
              <w:t xml:space="preserve"> </w:t>
            </w:r>
            <w:r>
              <w:t>Trading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Wan</w:t>
            </w:r>
            <w:r w:rsidR="00E15E1B">
              <w:t xml:space="preserve"> </w:t>
            </w:r>
            <w:r>
              <w:t>Wing</w:t>
            </w:r>
            <w:r w:rsidR="00E15E1B">
              <w:t xml:space="preserve"> </w:t>
            </w:r>
            <w:r>
              <w:t>Mo</w:t>
            </w:r>
          </w:p>
          <w:p w:rsidR="00156239" w:rsidRDefault="00156239" w:rsidP="00FC025D">
            <w:pPr>
              <w:pStyle w:val="TableText"/>
            </w:pPr>
            <w:r>
              <w:t>JRW</w:t>
            </w:r>
            <w:r w:rsidR="00E15E1B">
              <w:t xml:space="preserve"> </w:t>
            </w:r>
            <w:r>
              <w:t>Property</w:t>
            </w:r>
            <w:r w:rsidR="00E15E1B">
              <w:t xml:space="preserve"> </w:t>
            </w:r>
            <w:r>
              <w:t>International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Dong</w:t>
            </w:r>
            <w:r w:rsidR="00E15E1B">
              <w:t xml:space="preserve"> </w:t>
            </w:r>
            <w:r>
              <w:t>Pei</w:t>
            </w:r>
            <w:r w:rsidR="00E15E1B">
              <w:t xml:space="preserve"> </w:t>
            </w:r>
            <w:r>
              <w:t>Ren</w:t>
            </w:r>
          </w:p>
          <w:p w:rsidR="00156239" w:rsidRDefault="00156239" w:rsidP="00FC025D">
            <w:pPr>
              <w:pStyle w:val="TableText"/>
            </w:pPr>
            <w:r>
              <w:t>Superior</w:t>
            </w:r>
            <w:r w:rsidR="00E15E1B">
              <w:t xml:space="preserve"> </w:t>
            </w:r>
            <w:r>
              <w:t>Realty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Evangelos</w:t>
            </w:r>
            <w:r w:rsidR="00E15E1B">
              <w:t xml:space="preserve"> </w:t>
            </w:r>
            <w:r>
              <w:t>Nestor</w:t>
            </w:r>
          </w:p>
          <w:p w:rsidR="00156239" w:rsidRDefault="00156239" w:rsidP="00FC025D">
            <w:pPr>
              <w:pStyle w:val="TableText"/>
            </w:pPr>
            <w:r>
              <w:t>Fadi</w:t>
            </w:r>
            <w:r w:rsidR="00E15E1B">
              <w:t xml:space="preserve"> </w:t>
            </w:r>
            <w:r>
              <w:t>Khoder</w:t>
            </w:r>
          </w:p>
          <w:p w:rsidR="00156239" w:rsidRDefault="00156239" w:rsidP="00FC025D">
            <w:pPr>
              <w:pStyle w:val="TableText"/>
            </w:pPr>
            <w:r>
              <w:t>MRK</w:t>
            </w:r>
            <w:r w:rsidR="00E15E1B">
              <w:t xml:space="preserve"> </w:t>
            </w:r>
            <w:r>
              <w:t>Distributor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Mounir</w:t>
            </w:r>
            <w:r w:rsidR="00E15E1B">
              <w:t xml:space="preserve"> </w:t>
            </w:r>
            <w:r>
              <w:t>Kassabian</w:t>
            </w:r>
          </w:p>
        </w:tc>
      </w:tr>
    </w:tbl>
    <w:p w:rsidR="00156239" w:rsidRDefault="00156239" w:rsidP="00156239">
      <w:pPr>
        <w:pStyle w:val="Heading5"/>
      </w:pPr>
      <w:r>
        <w:t>Court</w:t>
      </w:r>
      <w:r w:rsidR="00E15E1B">
        <w:t xml:space="preserve"> </w:t>
      </w:r>
      <w:r>
        <w:t>and</w:t>
      </w:r>
      <w:r w:rsidR="00E15E1B">
        <w:t xml:space="preserve"> </w:t>
      </w:r>
      <w:r>
        <w:t>tribunal</w:t>
      </w:r>
      <w:r w:rsidR="00E15E1B">
        <w:t xml:space="preserve"> </w:t>
      </w:r>
      <w:r>
        <w:t>matters</w:t>
      </w:r>
    </w:p>
    <w:p w:rsidR="00156239" w:rsidRDefault="00156239" w:rsidP="00156239">
      <w:pPr>
        <w:pStyle w:val="Heading6"/>
      </w:pPr>
      <w:r>
        <w:t>Prosecutions</w:t>
      </w:r>
      <w:r w:rsidR="00E15E1B">
        <w:t xml:space="preserve"> </w:t>
      </w:r>
      <w:r>
        <w:t>finalised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2675"/>
        <w:gridCol w:w="6397"/>
      </w:tblGrid>
      <w:tr w:rsidR="00156239" w:rsidRPr="00F41A61" w:rsidTr="00104254">
        <w:trPr>
          <w:trHeight w:val="60"/>
          <w:tblHeader/>
        </w:trPr>
        <w:tc>
          <w:tcPr>
            <w:tcW w:w="2835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Legislation</w:t>
            </w:r>
          </w:p>
        </w:tc>
        <w:tc>
          <w:tcPr>
            <w:tcW w:w="6803" w:type="dxa"/>
            <w:tcBorders>
              <w:lef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Parties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Estate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Agents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1980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Melbourne</w:t>
            </w:r>
            <w:r w:rsidR="00E15E1B">
              <w:t xml:space="preserve"> </w:t>
            </w:r>
            <w:r>
              <w:t>Deluxe</w:t>
            </w:r>
            <w:r w:rsidR="00E15E1B">
              <w:t xml:space="preserve"> </w:t>
            </w:r>
            <w:r>
              <w:t>Real</w:t>
            </w:r>
            <w:r w:rsidR="00E15E1B">
              <w:t xml:space="preserve"> </w:t>
            </w:r>
            <w:r>
              <w:t>Estate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Paul</w:t>
            </w:r>
            <w:r w:rsidR="00E15E1B">
              <w:t xml:space="preserve"> </w:t>
            </w:r>
            <w:r>
              <w:t>Pfeiffer</w:t>
            </w:r>
          </w:p>
          <w:p w:rsidR="00156239" w:rsidRDefault="00156239" w:rsidP="00FC025D">
            <w:pPr>
              <w:pStyle w:val="TableText"/>
            </w:pPr>
            <w:r>
              <w:t>Ranelagh</w:t>
            </w:r>
            <w:r w:rsidR="00E15E1B">
              <w:t xml:space="preserve"> </w:t>
            </w:r>
            <w:r>
              <w:t>Realty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Helen</w:t>
            </w:r>
            <w:r w:rsidR="00E15E1B">
              <w:t xml:space="preserve"> </w:t>
            </w:r>
            <w:r>
              <w:t>Sly</w:t>
            </w:r>
          </w:p>
          <w:p w:rsidR="00156239" w:rsidRDefault="00156239" w:rsidP="00FC025D">
            <w:pPr>
              <w:pStyle w:val="TableText"/>
            </w:pPr>
            <w:r>
              <w:t>Tri</w:t>
            </w:r>
            <w:r w:rsidR="00E15E1B">
              <w:t xml:space="preserve"> </w:t>
            </w:r>
            <w:r>
              <w:t>Duc</w:t>
            </w:r>
            <w:r w:rsidR="00E15E1B">
              <w:t xml:space="preserve"> </w:t>
            </w:r>
            <w:r>
              <w:t>Ngo</w:t>
            </w:r>
            <w:r w:rsidR="00E15E1B">
              <w:t xml:space="preserve"> </w:t>
            </w:r>
            <w:r>
              <w:t>(also</w:t>
            </w:r>
            <w:r w:rsidR="00E15E1B">
              <w:t xml:space="preserve"> </w:t>
            </w:r>
            <w:r>
              <w:t>known</w:t>
            </w:r>
            <w:r w:rsidR="00E15E1B">
              <w:t xml:space="preserve"> </w:t>
            </w:r>
            <w:r>
              <w:t>as</w:t>
            </w:r>
            <w:r w:rsidR="00E15E1B">
              <w:t xml:space="preserve"> </w:t>
            </w:r>
            <w:r>
              <w:t>Joseph</w:t>
            </w:r>
            <w:r w:rsidR="00E15E1B">
              <w:t xml:space="preserve"> </w:t>
            </w:r>
            <w:r>
              <w:t>Ngo)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Motor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Car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Traders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1986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Nicholas</w:t>
            </w:r>
            <w:r w:rsidR="00E15E1B">
              <w:t xml:space="preserve"> </w:t>
            </w:r>
            <w:r>
              <w:t>Augerinos</w:t>
            </w:r>
          </w:p>
        </w:tc>
      </w:tr>
    </w:tbl>
    <w:p w:rsidR="00CA2659" w:rsidRPr="00CA2659" w:rsidRDefault="00CA2659" w:rsidP="00CA2659">
      <w:pPr>
        <w:pStyle w:val="BodyText"/>
      </w:pPr>
      <w:r w:rsidRPr="00CA2659">
        <w:br w:type="page"/>
      </w:r>
    </w:p>
    <w:p w:rsidR="00156239" w:rsidRDefault="00156239" w:rsidP="00FC025D">
      <w:pPr>
        <w:pStyle w:val="Heading6"/>
      </w:pPr>
      <w:r>
        <w:lastRenderedPageBreak/>
        <w:t>Civil</w:t>
      </w:r>
      <w:r w:rsidR="00E15E1B">
        <w:t xml:space="preserve"> </w:t>
      </w:r>
      <w:r>
        <w:t>proceedings</w:t>
      </w:r>
      <w:r w:rsidR="00E15E1B">
        <w:t xml:space="preserve"> </w:t>
      </w:r>
      <w:r>
        <w:t>finalised</w:t>
      </w:r>
      <w:r w:rsidR="00E15E1B">
        <w:t xml:space="preserve"> </w:t>
      </w:r>
      <w:r>
        <w:t>(including</w:t>
      </w:r>
      <w:r w:rsidR="00E15E1B">
        <w:t xml:space="preserve"> </w:t>
      </w:r>
      <w:r>
        <w:t>disciplinary</w:t>
      </w:r>
      <w:r w:rsidR="00E15E1B">
        <w:t xml:space="preserve"> </w:t>
      </w:r>
      <w:r>
        <w:t>inquiry</w:t>
      </w:r>
      <w:r w:rsidR="00E15E1B">
        <w:t xml:space="preserve"> </w:t>
      </w:r>
      <w:r>
        <w:t>and</w:t>
      </w:r>
      <w:r w:rsidR="00E15E1B">
        <w:t xml:space="preserve"> </w:t>
      </w:r>
      <w:r>
        <w:t>appeals)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2675"/>
        <w:gridCol w:w="6397"/>
      </w:tblGrid>
      <w:tr w:rsidR="00156239" w:rsidRPr="00F41A61" w:rsidTr="00104254">
        <w:trPr>
          <w:trHeight w:val="60"/>
          <w:tblHeader/>
        </w:trPr>
        <w:tc>
          <w:tcPr>
            <w:tcW w:w="2835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Legislation</w:t>
            </w:r>
          </w:p>
        </w:tc>
        <w:tc>
          <w:tcPr>
            <w:tcW w:w="6803" w:type="dxa"/>
            <w:tcBorders>
              <w:lef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Parties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Estate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Agents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1980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Gull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Company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Peter</w:t>
            </w:r>
            <w:r w:rsidR="00E15E1B">
              <w:t xml:space="preserve"> </w:t>
            </w:r>
            <w:r>
              <w:t>Maxwell</w:t>
            </w:r>
            <w:r w:rsidR="00E15E1B">
              <w:t xml:space="preserve"> </w:t>
            </w:r>
            <w:r>
              <w:t>Simmons</w:t>
            </w:r>
          </w:p>
          <w:p w:rsidR="00156239" w:rsidRDefault="00156239" w:rsidP="00FC025D">
            <w:pPr>
              <w:pStyle w:val="TableText"/>
            </w:pPr>
            <w:r>
              <w:t>Danielle</w:t>
            </w:r>
            <w:r w:rsidR="00E15E1B">
              <w:t xml:space="preserve"> </w:t>
            </w:r>
            <w:r>
              <w:t>Talia</w:t>
            </w:r>
          </w:p>
          <w:p w:rsidR="00156239" w:rsidRDefault="00156239" w:rsidP="00FC025D">
            <w:pPr>
              <w:pStyle w:val="TableText"/>
            </w:pPr>
            <w:r>
              <w:t>Bonds</w:t>
            </w:r>
            <w:r w:rsidR="00E15E1B">
              <w:t xml:space="preserve"> </w:t>
            </w:r>
            <w:r>
              <w:t>Real</w:t>
            </w:r>
            <w:r w:rsidR="00E15E1B">
              <w:t xml:space="preserve"> </w:t>
            </w:r>
            <w:r>
              <w:t>Estate</w:t>
            </w:r>
            <w:r w:rsidR="00E15E1B">
              <w:t xml:space="preserve"> </w:t>
            </w:r>
            <w:r>
              <w:t>Sales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Manningham</w:t>
            </w:r>
            <w:r w:rsidR="00E15E1B">
              <w:t xml:space="preserve"> </w:t>
            </w:r>
            <w:r>
              <w:t>Property</w:t>
            </w:r>
            <w:r w:rsidR="00E15E1B">
              <w:t xml:space="preserve"> </w:t>
            </w:r>
            <w:r>
              <w:t>Group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Joseph</w:t>
            </w:r>
            <w:r w:rsidR="00E15E1B">
              <w:t xml:space="preserve"> </w:t>
            </w:r>
            <w:r>
              <w:t>Ko</w:t>
            </w:r>
          </w:p>
          <w:p w:rsidR="00156239" w:rsidRDefault="00156239" w:rsidP="00FC025D">
            <w:pPr>
              <w:pStyle w:val="TableText"/>
            </w:pPr>
            <w:r>
              <w:t>Peter</w:t>
            </w:r>
            <w:r w:rsidR="00E15E1B">
              <w:t xml:space="preserve"> </w:t>
            </w:r>
            <w:r>
              <w:t>Murray</w:t>
            </w:r>
            <w:r w:rsidR="00E15E1B">
              <w:t xml:space="preserve"> </w:t>
            </w:r>
            <w:r>
              <w:t>Daly</w:t>
            </w:r>
          </w:p>
          <w:p w:rsidR="00156239" w:rsidRDefault="00156239" w:rsidP="00FC025D">
            <w:pPr>
              <w:pStyle w:val="TableText"/>
            </w:pPr>
            <w:r>
              <w:t>Sedinsi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Sex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Work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1994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Josef</w:t>
            </w:r>
            <w:r w:rsidR="00E15E1B">
              <w:t xml:space="preserve"> </w:t>
            </w:r>
            <w:r>
              <w:t>Rutten</w:t>
            </w:r>
          </w:p>
          <w:p w:rsidR="00156239" w:rsidRDefault="00156239" w:rsidP="00FC025D">
            <w:pPr>
              <w:pStyle w:val="TableText"/>
            </w:pPr>
            <w:r>
              <w:t>Zhao</w:t>
            </w:r>
            <w:r w:rsidR="00E15E1B">
              <w:t xml:space="preserve"> </w:t>
            </w:r>
            <w:r>
              <w:t>Yuan</w:t>
            </w:r>
            <w:r w:rsidR="00E15E1B">
              <w:t xml:space="preserve"> </w:t>
            </w:r>
            <w:r>
              <w:t>Pan</w:t>
            </w:r>
          </w:p>
          <w:p w:rsidR="00156239" w:rsidRDefault="00156239" w:rsidP="00FC025D">
            <w:pPr>
              <w:pStyle w:val="TableText"/>
            </w:pPr>
            <w:r>
              <w:t>Joseph</w:t>
            </w:r>
            <w:r w:rsidR="00E15E1B">
              <w:t xml:space="preserve"> </w:t>
            </w:r>
            <w:r>
              <w:t>(Joe</w:t>
            </w:r>
            <w:r w:rsidR="00E15E1B">
              <w:t xml:space="preserve"> </w:t>
            </w:r>
            <w:r>
              <w:t>Paul)</w:t>
            </w:r>
            <w:r w:rsidR="00E15E1B">
              <w:t xml:space="preserve"> </w:t>
            </w:r>
            <w:r>
              <w:t>Molinari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Australian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Consumer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Law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(Victoria)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Annabelle</w:t>
            </w:r>
            <w:r w:rsidR="00E15E1B">
              <w:t xml:space="preserve"> </w:t>
            </w:r>
            <w:r>
              <w:t>Natalie</w:t>
            </w:r>
            <w:r w:rsidR="00E15E1B">
              <w:t xml:space="preserve"> </w:t>
            </w:r>
            <w:r>
              <w:t>Gibson</w:t>
            </w:r>
          </w:p>
          <w:p w:rsidR="00156239" w:rsidRDefault="00156239" w:rsidP="00FC025D">
            <w:pPr>
              <w:pStyle w:val="TableText"/>
            </w:pPr>
            <w:r>
              <w:t>Inkerman</w:t>
            </w:r>
            <w:r w:rsidR="00E15E1B">
              <w:t xml:space="preserve"> </w:t>
            </w:r>
            <w:r>
              <w:t>Road</w:t>
            </w:r>
            <w:r w:rsidR="00E15E1B">
              <w:t xml:space="preserve"> </w:t>
            </w:r>
            <w:r>
              <w:t>Nominees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  <w:r w:rsidR="00E15E1B">
              <w:t xml:space="preserve"> </w:t>
            </w:r>
            <w:r>
              <w:t>(in</w:t>
            </w:r>
            <w:r w:rsidR="00E15E1B">
              <w:t xml:space="preserve"> </w:t>
            </w:r>
            <w:r>
              <w:t>liquidation)</w:t>
            </w:r>
          </w:p>
          <w:p w:rsidR="00156239" w:rsidRDefault="00156239" w:rsidP="00FC025D">
            <w:pPr>
              <w:pStyle w:val="TableText"/>
            </w:pPr>
            <w:r>
              <w:t>Daiso</w:t>
            </w:r>
            <w:r w:rsidR="00E15E1B">
              <w:t xml:space="preserve"> </w:t>
            </w:r>
            <w:r>
              <w:t>Industries</w:t>
            </w:r>
            <w:r w:rsidR="00E15E1B">
              <w:t xml:space="preserve"> </w:t>
            </w:r>
            <w:r>
              <w:t>(Australia)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The</w:t>
            </w:r>
            <w:r w:rsidR="00E15E1B">
              <w:t xml:space="preserve"> </w:t>
            </w:r>
            <w:r>
              <w:t>Reject</w:t>
            </w:r>
            <w:r w:rsidR="00E15E1B">
              <w:t xml:space="preserve"> </w:t>
            </w:r>
            <w:r>
              <w:t>Shop</w:t>
            </w:r>
            <w:r w:rsidR="00E15E1B">
              <w:t xml:space="preserve"> </w:t>
            </w:r>
            <w:r>
              <w:t>Limited</w:t>
            </w:r>
          </w:p>
          <w:p w:rsidR="00156239" w:rsidRDefault="00156239" w:rsidP="00FC025D">
            <w:pPr>
              <w:pStyle w:val="TableText"/>
            </w:pPr>
            <w:r>
              <w:t>Fair</w:t>
            </w:r>
            <w:r w:rsidR="00E15E1B">
              <w:t xml:space="preserve"> </w:t>
            </w:r>
            <w:r>
              <w:t>Group</w:t>
            </w:r>
            <w:r w:rsidR="00E15E1B">
              <w:t xml:space="preserve"> </w:t>
            </w:r>
            <w:r>
              <w:t>Global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Fair</w:t>
            </w:r>
            <w:r w:rsidR="00E15E1B">
              <w:t xml:space="preserve"> </w:t>
            </w:r>
            <w:r>
              <w:t>Financial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Bluebell</w:t>
            </w:r>
            <w:r w:rsidR="00E15E1B">
              <w:t xml:space="preserve"> </w:t>
            </w:r>
            <w:r>
              <w:t>Conveyancing</w:t>
            </w:r>
            <w:r w:rsidR="00E15E1B">
              <w:t xml:space="preserve"> </w:t>
            </w:r>
            <w:r>
              <w:t>Australia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Fletcher</w:t>
            </w:r>
            <w:r w:rsidR="00E15E1B">
              <w:t xml:space="preserve"> </w:t>
            </w:r>
            <w:r>
              <w:t>&amp;</w:t>
            </w:r>
            <w:r w:rsidR="00E15E1B">
              <w:t xml:space="preserve"> </w:t>
            </w:r>
            <w:r>
              <w:t>Parker</w:t>
            </w:r>
            <w:r w:rsidR="00E15E1B">
              <w:t xml:space="preserve"> </w:t>
            </w:r>
            <w:r>
              <w:t>(Balwyn)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Kenneth</w:t>
            </w:r>
            <w:r w:rsidR="00E15E1B">
              <w:t xml:space="preserve"> </w:t>
            </w:r>
            <w:r>
              <w:t>Chappell</w:t>
            </w:r>
          </w:p>
          <w:p w:rsidR="00156239" w:rsidRDefault="00156239" w:rsidP="00FC025D">
            <w:pPr>
              <w:pStyle w:val="TableText"/>
            </w:pPr>
            <w:r>
              <w:t>Anastasios</w:t>
            </w:r>
            <w:r w:rsidR="00E15E1B">
              <w:t xml:space="preserve"> </w:t>
            </w:r>
            <w:r>
              <w:t>Adgemis</w:t>
            </w:r>
          </w:p>
          <w:p w:rsidR="00156239" w:rsidRDefault="00156239" w:rsidP="00FC025D">
            <w:pPr>
              <w:pStyle w:val="TableText"/>
            </w:pPr>
            <w:r>
              <w:t>Manningham</w:t>
            </w:r>
            <w:r w:rsidR="00E15E1B">
              <w:t xml:space="preserve"> </w:t>
            </w:r>
            <w:r>
              <w:t>Property</w:t>
            </w:r>
            <w:r w:rsidR="00E15E1B">
              <w:t xml:space="preserve"> </w:t>
            </w:r>
            <w:r>
              <w:t>Group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  <w:r w:rsidR="00D8797C">
              <w:t xml:space="preserve"> </w:t>
            </w:r>
            <w:r>
              <w:t>(t/a</w:t>
            </w:r>
            <w:r w:rsidR="00E15E1B">
              <w:t xml:space="preserve"> </w:t>
            </w:r>
            <w:r>
              <w:t>Hocking</w:t>
            </w:r>
            <w:r w:rsidR="00E15E1B">
              <w:t xml:space="preserve"> </w:t>
            </w:r>
            <w:r>
              <w:t>Stuart</w:t>
            </w:r>
            <w:r w:rsidR="00E15E1B">
              <w:t xml:space="preserve"> </w:t>
            </w:r>
            <w:r>
              <w:t>Doncaster)</w:t>
            </w:r>
          </w:p>
          <w:p w:rsidR="00156239" w:rsidRDefault="00156239" w:rsidP="00FC025D">
            <w:pPr>
              <w:pStyle w:val="TableText"/>
            </w:pPr>
            <w:r>
              <w:t>Big</w:t>
            </w:r>
            <w:r w:rsidR="00E15E1B">
              <w:t xml:space="preserve"> </w:t>
            </w:r>
            <w:r>
              <w:t>Aussie</w:t>
            </w:r>
            <w:r w:rsidR="00E15E1B">
              <w:t xml:space="preserve"> </w:t>
            </w:r>
            <w:r>
              <w:t>Deals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Steven</w:t>
            </w:r>
            <w:r w:rsidR="00E15E1B">
              <w:t xml:space="preserve"> </w:t>
            </w:r>
            <w:r>
              <w:t>Petrovski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Rooming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House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Operators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2016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Muralietharan</w:t>
            </w:r>
            <w:r w:rsidR="00E15E1B">
              <w:t xml:space="preserve"> </w:t>
            </w:r>
            <w:r>
              <w:t>Varadharajah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Domestic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Building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Contracts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1995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and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Australian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Consumer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Law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(Vic)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Tim</w:t>
            </w:r>
            <w:r w:rsidR="00E15E1B">
              <w:t xml:space="preserve"> </w:t>
            </w:r>
            <w:r>
              <w:t>Phan</w:t>
            </w:r>
          </w:p>
          <w:p w:rsidR="00156239" w:rsidRDefault="00156239" w:rsidP="00FC025D">
            <w:pPr>
              <w:pStyle w:val="TableText"/>
            </w:pPr>
            <w:r>
              <w:t>Walid</w:t>
            </w:r>
            <w:r w:rsidR="00E15E1B">
              <w:t xml:space="preserve"> </w:t>
            </w:r>
            <w:r>
              <w:t>El</w:t>
            </w:r>
            <w:r w:rsidR="00E15E1B">
              <w:t xml:space="preserve"> </w:t>
            </w:r>
            <w:r>
              <w:t>Haouli</w:t>
            </w:r>
          </w:p>
        </w:tc>
      </w:tr>
    </w:tbl>
    <w:p w:rsidR="00156239" w:rsidRDefault="00156239" w:rsidP="00FC025D">
      <w:pPr>
        <w:pStyle w:val="Heading6"/>
      </w:pPr>
      <w:r>
        <w:t>Administrative/judicial</w:t>
      </w:r>
      <w:r w:rsidR="00E15E1B">
        <w:t xml:space="preserve"> </w:t>
      </w:r>
      <w:r>
        <w:t>review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2675"/>
        <w:gridCol w:w="6397"/>
      </w:tblGrid>
      <w:tr w:rsidR="00156239" w:rsidRPr="00F41A61" w:rsidTr="00104254">
        <w:trPr>
          <w:trHeight w:val="60"/>
          <w:tblHeader/>
        </w:trPr>
        <w:tc>
          <w:tcPr>
            <w:tcW w:w="2835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Legislation</w:t>
            </w:r>
          </w:p>
        </w:tc>
        <w:tc>
          <w:tcPr>
            <w:tcW w:w="6803" w:type="dxa"/>
            <w:tcBorders>
              <w:lef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Parties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2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On</w:t>
            </w:r>
            <w:r w:rsidR="00E15E1B">
              <w:t xml:space="preserve"> </w:t>
            </w:r>
            <w:r>
              <w:t>behalf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>
              <w:t>Business</w:t>
            </w:r>
            <w:r w:rsidR="00E15E1B">
              <w:t xml:space="preserve"> </w:t>
            </w:r>
            <w:r>
              <w:t>Licensing</w:t>
            </w:r>
            <w:r w:rsidR="00E15E1B">
              <w:t xml:space="preserve"> </w:t>
            </w:r>
            <w:r>
              <w:t>Authority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Second-Hand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Dealers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and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Pawnbrokers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1989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Sell</w:t>
            </w:r>
            <w:r w:rsidR="00E15E1B">
              <w:t xml:space="preserve"> </w:t>
            </w:r>
            <w:r>
              <w:t>Your</w:t>
            </w:r>
            <w:r w:rsidR="00E15E1B">
              <w:t xml:space="preserve"> </w:t>
            </w:r>
            <w:r>
              <w:t>Gold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Diamonds</w:t>
            </w:r>
            <w:r w:rsidR="00E15E1B">
              <w:t xml:space="preserve"> </w:t>
            </w:r>
            <w:r>
              <w:t>on</w:t>
            </w:r>
            <w:r w:rsidR="00E15E1B">
              <w:t xml:space="preserve"> </w:t>
            </w:r>
            <w:r>
              <w:t>Sale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The</w:t>
            </w:r>
            <w:r w:rsidR="00E15E1B">
              <w:t xml:space="preserve"> </w:t>
            </w:r>
            <w:r>
              <w:t>Gold</w:t>
            </w:r>
            <w:r w:rsidR="00E15E1B">
              <w:t xml:space="preserve"> </w:t>
            </w:r>
            <w:r>
              <w:t>Buying</w:t>
            </w:r>
            <w:r w:rsidR="00E15E1B">
              <w:t xml:space="preserve"> </w:t>
            </w:r>
            <w:r>
              <w:t>Company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Estate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Agents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1980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Minh</w:t>
            </w:r>
            <w:r w:rsidR="00E15E1B">
              <w:t xml:space="preserve"> </w:t>
            </w:r>
            <w:r>
              <w:t>Thai</w:t>
            </w:r>
          </w:p>
          <w:p w:rsidR="00156239" w:rsidRDefault="00156239" w:rsidP="00FC025D">
            <w:pPr>
              <w:pStyle w:val="TableText"/>
            </w:pPr>
            <w:r>
              <w:t>Jessica</w:t>
            </w:r>
            <w:r w:rsidR="00E15E1B">
              <w:t xml:space="preserve"> </w:t>
            </w:r>
            <w:r>
              <w:t>Muphy</w:t>
            </w:r>
          </w:p>
          <w:p w:rsidR="00156239" w:rsidRDefault="00156239" w:rsidP="00FC025D">
            <w:pPr>
              <w:pStyle w:val="TableText"/>
            </w:pPr>
            <w:r>
              <w:t>Khaled</w:t>
            </w:r>
            <w:r w:rsidR="00E15E1B">
              <w:t xml:space="preserve"> </w:t>
            </w:r>
            <w:r>
              <w:t>Khaled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2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On</w:t>
            </w:r>
            <w:r w:rsidR="00E15E1B">
              <w:t xml:space="preserve"> </w:t>
            </w:r>
            <w:r>
              <w:t>behalf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>
              <w:t>Motor</w:t>
            </w:r>
            <w:r w:rsidR="00E15E1B">
              <w:t xml:space="preserve"> </w:t>
            </w:r>
            <w:r>
              <w:t>Car</w:t>
            </w:r>
            <w:r w:rsidR="00E15E1B">
              <w:t xml:space="preserve"> </w:t>
            </w:r>
            <w:r>
              <w:t>Traders</w:t>
            </w:r>
            <w:r w:rsidR="00E15E1B">
              <w:t xml:space="preserve"> </w:t>
            </w:r>
            <w:r>
              <w:t>Claims</w:t>
            </w:r>
            <w:r w:rsidR="00E15E1B">
              <w:t xml:space="preserve"> </w:t>
            </w:r>
            <w:r>
              <w:t>Committee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Motor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Car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Traders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1986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James</w:t>
            </w:r>
            <w:r w:rsidR="00E15E1B">
              <w:t xml:space="preserve"> </w:t>
            </w:r>
            <w:r>
              <w:t>Galea</w:t>
            </w:r>
          </w:p>
          <w:p w:rsidR="00156239" w:rsidRDefault="00156239" w:rsidP="00FC025D">
            <w:pPr>
              <w:pStyle w:val="TableText"/>
            </w:pPr>
            <w:r>
              <w:t>Thannun</w:t>
            </w:r>
            <w:r w:rsidR="00E15E1B">
              <w:t xml:space="preserve"> </w:t>
            </w:r>
            <w:r>
              <w:t>Hussain</w:t>
            </w:r>
          </w:p>
        </w:tc>
      </w:tr>
    </w:tbl>
    <w:p w:rsidR="00CA2659" w:rsidRPr="00CA2659" w:rsidRDefault="00CA2659" w:rsidP="00CA2659">
      <w:pPr>
        <w:pStyle w:val="BodyText"/>
      </w:pPr>
      <w:r w:rsidRPr="00CA2659">
        <w:br w:type="page"/>
      </w:r>
    </w:p>
    <w:p w:rsidR="00156239" w:rsidRDefault="00156239" w:rsidP="00156239">
      <w:pPr>
        <w:pStyle w:val="Heading5"/>
      </w:pPr>
      <w:r>
        <w:lastRenderedPageBreak/>
        <w:t>Ongoing</w:t>
      </w:r>
      <w:r w:rsidR="00E15E1B">
        <w:t xml:space="preserve"> </w:t>
      </w:r>
      <w:r>
        <w:t>court</w:t>
      </w:r>
      <w:r w:rsidR="00E15E1B">
        <w:t xml:space="preserve"> </w:t>
      </w:r>
      <w:r>
        <w:t>matters</w:t>
      </w:r>
      <w:r w:rsidR="00E15E1B">
        <w:t xml:space="preserve"> </w:t>
      </w:r>
      <w:r>
        <w:t>as</w:t>
      </w:r>
      <w:r w:rsidR="00E15E1B">
        <w:t xml:space="preserve"> </w:t>
      </w:r>
      <w:r>
        <w:t>at</w:t>
      </w:r>
      <w:r w:rsidR="00E15E1B">
        <w:t xml:space="preserve"> </w:t>
      </w:r>
      <w:r>
        <w:t>30</w:t>
      </w:r>
      <w:r w:rsidR="00E15E1B">
        <w:t xml:space="preserve"> </w:t>
      </w:r>
      <w:r>
        <w:t>June</w:t>
      </w:r>
      <w:r w:rsidR="00E15E1B">
        <w:t xml:space="preserve"> </w:t>
      </w:r>
      <w:r>
        <w:t>2018</w:t>
      </w:r>
    </w:p>
    <w:p w:rsidR="00156239" w:rsidRDefault="00156239" w:rsidP="00156239">
      <w:pPr>
        <w:pStyle w:val="Heading6"/>
      </w:pPr>
      <w:r>
        <w:t>Criminal</w:t>
      </w:r>
      <w:r w:rsidR="00E15E1B">
        <w:t xml:space="preserve"> </w:t>
      </w:r>
      <w:r>
        <w:t>prosecution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2675"/>
        <w:gridCol w:w="6397"/>
      </w:tblGrid>
      <w:tr w:rsidR="00156239" w:rsidRPr="00F41A61" w:rsidTr="00104254">
        <w:trPr>
          <w:trHeight w:val="60"/>
          <w:tblHeader/>
        </w:trPr>
        <w:tc>
          <w:tcPr>
            <w:tcW w:w="2835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Legislation</w:t>
            </w:r>
          </w:p>
        </w:tc>
        <w:tc>
          <w:tcPr>
            <w:tcW w:w="6803" w:type="dxa"/>
            <w:tcBorders>
              <w:lef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Parties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Estate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Agents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1980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Realestate</w:t>
            </w:r>
            <w:r w:rsidR="00E15E1B">
              <w:t xml:space="preserve"> </w:t>
            </w:r>
            <w:r>
              <w:t>Property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Judy</w:t>
            </w:r>
            <w:r w:rsidR="00E15E1B">
              <w:t xml:space="preserve"> </w:t>
            </w:r>
            <w:r>
              <w:t>Nguyen</w:t>
            </w:r>
          </w:p>
          <w:p w:rsidR="00156239" w:rsidRDefault="00156239" w:rsidP="00FC025D">
            <w:pPr>
              <w:pStyle w:val="TableText"/>
            </w:pPr>
            <w:r>
              <w:t>DMSM</w:t>
            </w:r>
            <w:r w:rsidR="00E15E1B">
              <w:t xml:space="preserve"> </w:t>
            </w:r>
            <w:r>
              <w:t>Real</w:t>
            </w:r>
            <w:r w:rsidR="00E15E1B">
              <w:t xml:space="preserve"> </w:t>
            </w:r>
            <w:r>
              <w:t>Estate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  <w:r w:rsidR="00E15E1B">
              <w:t xml:space="preserve"> </w:t>
            </w:r>
            <w:r>
              <w:t>(in</w:t>
            </w:r>
            <w:r w:rsidR="00E15E1B">
              <w:t xml:space="preserve"> </w:t>
            </w:r>
            <w:r>
              <w:t>liquidation)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Conveyancers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2006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Bonzi</w:t>
            </w:r>
            <w:r w:rsidR="00E15E1B">
              <w:t xml:space="preserve"> </w:t>
            </w:r>
            <w:r>
              <w:t>Group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Meganita</w:t>
            </w:r>
            <w:r w:rsidR="00E15E1B">
              <w:t xml:space="preserve"> </w:t>
            </w:r>
            <w:r>
              <w:t>Marranu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Domestic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Building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Contracts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1995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Cain</w:t>
            </w:r>
            <w:r w:rsidR="00E15E1B">
              <w:t xml:space="preserve"> </w:t>
            </w:r>
            <w:r>
              <w:t>Robert</w:t>
            </w:r>
            <w:r w:rsidR="00E15E1B">
              <w:t xml:space="preserve"> </w:t>
            </w:r>
            <w:r>
              <w:t>Padman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Motor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Car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Traders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1986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Gelzar</w:t>
            </w:r>
            <w:r w:rsidR="00E15E1B">
              <w:t xml:space="preserve"> </w:t>
            </w:r>
            <w:r>
              <w:t>Ali</w:t>
            </w:r>
            <w:r w:rsidR="00E15E1B">
              <w:t xml:space="preserve"> </w:t>
            </w:r>
            <w:r>
              <w:t>Aziz</w:t>
            </w:r>
          </w:p>
        </w:tc>
      </w:tr>
    </w:tbl>
    <w:p w:rsidR="00156239" w:rsidRDefault="00156239" w:rsidP="00FC025D">
      <w:pPr>
        <w:pStyle w:val="Heading6"/>
      </w:pPr>
      <w:r>
        <w:t>Civil</w:t>
      </w:r>
      <w:r w:rsidR="00E15E1B">
        <w:t xml:space="preserve"> </w:t>
      </w:r>
      <w:r>
        <w:t>proceedings</w:t>
      </w:r>
      <w:r w:rsidR="00E15E1B">
        <w:t xml:space="preserve"> </w:t>
      </w:r>
      <w:r>
        <w:t>(including</w:t>
      </w:r>
      <w:r w:rsidR="00E15E1B">
        <w:t xml:space="preserve"> </w:t>
      </w:r>
      <w:r>
        <w:t>disciplinary</w:t>
      </w:r>
      <w:r w:rsidR="00E15E1B">
        <w:t xml:space="preserve"> </w:t>
      </w:r>
      <w:r>
        <w:t>inquiry)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2675"/>
        <w:gridCol w:w="6397"/>
      </w:tblGrid>
      <w:tr w:rsidR="00156239" w:rsidRPr="00F41A61" w:rsidTr="00104254">
        <w:trPr>
          <w:trHeight w:val="60"/>
          <w:tblHeader/>
        </w:trPr>
        <w:tc>
          <w:tcPr>
            <w:tcW w:w="2835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Legislation</w:t>
            </w:r>
          </w:p>
        </w:tc>
        <w:tc>
          <w:tcPr>
            <w:tcW w:w="6803" w:type="dxa"/>
            <w:tcBorders>
              <w:lef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Parties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Estate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Agents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1980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Century</w:t>
            </w:r>
            <w:r w:rsidR="00E15E1B">
              <w:t xml:space="preserve"> </w:t>
            </w:r>
            <w:r>
              <w:t>21</w:t>
            </w:r>
            <w:r w:rsidR="00E15E1B">
              <w:t xml:space="preserve"> </w:t>
            </w:r>
            <w:r>
              <w:t>Australia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Tsun</w:t>
            </w:r>
            <w:r w:rsidR="00E15E1B">
              <w:t xml:space="preserve"> </w:t>
            </w:r>
            <w:r>
              <w:t>Ngai</w:t>
            </w:r>
            <w:r w:rsidR="00E15E1B">
              <w:t xml:space="preserve"> </w:t>
            </w:r>
            <w:r>
              <w:t>Lee</w:t>
            </w:r>
          </w:p>
          <w:p w:rsidR="00156239" w:rsidRDefault="00156239" w:rsidP="00FC025D">
            <w:pPr>
              <w:pStyle w:val="TableText"/>
            </w:pPr>
            <w:r>
              <w:t>Robert</w:t>
            </w:r>
            <w:r w:rsidR="00E15E1B">
              <w:t xml:space="preserve"> </w:t>
            </w:r>
            <w:r>
              <w:t>Pedersen</w:t>
            </w:r>
            <w:r w:rsidR="00E15E1B">
              <w:t xml:space="preserve"> </w:t>
            </w:r>
            <w:r>
              <w:t>Real</w:t>
            </w:r>
            <w:r w:rsidR="00E15E1B">
              <w:t xml:space="preserve"> </w:t>
            </w:r>
            <w:r>
              <w:t>Estate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Robert</w:t>
            </w:r>
            <w:r w:rsidR="00E15E1B">
              <w:t xml:space="preserve"> </w:t>
            </w:r>
            <w:r>
              <w:t>Pedersen</w:t>
            </w:r>
          </w:p>
          <w:p w:rsidR="00156239" w:rsidRDefault="00156239" w:rsidP="00FC025D">
            <w:pPr>
              <w:pStyle w:val="TableText"/>
            </w:pPr>
            <w:r>
              <w:t>Bill</w:t>
            </w:r>
            <w:r w:rsidR="00E15E1B">
              <w:t xml:space="preserve"> </w:t>
            </w:r>
            <w:r>
              <w:t>Kaye</w:t>
            </w:r>
            <w:r w:rsidR="00E15E1B">
              <w:t xml:space="preserve"> </w:t>
            </w:r>
            <w:r>
              <w:t>&amp;</w:t>
            </w:r>
            <w:r w:rsidR="00E15E1B">
              <w:t xml:space="preserve"> </w:t>
            </w:r>
            <w:r>
              <w:t>Co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Vassilios</w:t>
            </w:r>
            <w:r w:rsidR="00E15E1B">
              <w:t xml:space="preserve"> </w:t>
            </w:r>
            <w:r>
              <w:t>Kaimakamis</w:t>
            </w:r>
          </w:p>
          <w:p w:rsidR="00156239" w:rsidRDefault="00156239" w:rsidP="00FC025D">
            <w:pPr>
              <w:pStyle w:val="TableText"/>
            </w:pPr>
            <w:r>
              <w:t>Dean</w:t>
            </w:r>
            <w:r w:rsidR="00E15E1B">
              <w:t xml:space="preserve"> </w:t>
            </w:r>
            <w:r>
              <w:t>Anthony</w:t>
            </w:r>
            <w:r w:rsidR="00E15E1B">
              <w:t xml:space="preserve"> </w:t>
            </w:r>
            <w:r>
              <w:t>Johnson</w:t>
            </w:r>
          </w:p>
          <w:p w:rsidR="00156239" w:rsidRDefault="00156239" w:rsidP="00FC025D">
            <w:pPr>
              <w:pStyle w:val="TableText"/>
            </w:pPr>
            <w:r>
              <w:t>Darren</w:t>
            </w:r>
            <w:r w:rsidR="00E15E1B">
              <w:t xml:space="preserve"> </w:t>
            </w:r>
            <w:r>
              <w:t>James</w:t>
            </w:r>
            <w:r w:rsidR="00E15E1B">
              <w:t xml:space="preserve"> </w:t>
            </w:r>
            <w:r>
              <w:t>Dean</w:t>
            </w:r>
          </w:p>
          <w:p w:rsidR="00156239" w:rsidRDefault="00156239" w:rsidP="00FC025D">
            <w:pPr>
              <w:pStyle w:val="TableText"/>
            </w:pPr>
            <w:r>
              <w:t>Property</w:t>
            </w:r>
            <w:r w:rsidR="00E15E1B">
              <w:t xml:space="preserve"> </w:t>
            </w:r>
            <w:r>
              <w:t>Express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The</w:t>
            </w:r>
            <w:r w:rsidR="00E15E1B">
              <w:t xml:space="preserve"> </w:t>
            </w:r>
            <w:r>
              <w:t>Sarain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Surinder</w:t>
            </w:r>
            <w:r w:rsidR="00E15E1B">
              <w:t xml:space="preserve"> </w:t>
            </w:r>
            <w:r>
              <w:t>Surain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Australian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Consumer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Law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(Victoria)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Melbourne</w:t>
            </w:r>
            <w:r w:rsidR="00E15E1B">
              <w:t xml:space="preserve"> </w:t>
            </w:r>
            <w:r>
              <w:t>South</w:t>
            </w:r>
            <w:r w:rsidR="00E15E1B">
              <w:t xml:space="preserve"> </w:t>
            </w:r>
            <w:r>
              <w:t>Eastern</w:t>
            </w:r>
            <w:r w:rsidR="00E15E1B">
              <w:t xml:space="preserve"> </w:t>
            </w:r>
            <w:r>
              <w:t>Real</w:t>
            </w:r>
            <w:r w:rsidR="00E15E1B">
              <w:t xml:space="preserve"> </w:t>
            </w:r>
            <w:r>
              <w:t>Estate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Domain</w:t>
            </w:r>
            <w:r w:rsidR="00E15E1B">
              <w:t xml:space="preserve"> </w:t>
            </w:r>
            <w:r>
              <w:t>Register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Origo</w:t>
            </w:r>
            <w:r w:rsidR="00E15E1B">
              <w:t xml:space="preserve"> </w:t>
            </w:r>
            <w:r>
              <w:t>&amp;</w:t>
            </w:r>
            <w:r w:rsidR="00E15E1B">
              <w:t xml:space="preserve"> </w:t>
            </w:r>
            <w:r>
              <w:t>Co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Wens</w:t>
            </w:r>
            <w:r w:rsidR="00E15E1B">
              <w:t xml:space="preserve"> </w:t>
            </w:r>
            <w:r>
              <w:t>Bros</w:t>
            </w:r>
            <w:r w:rsidR="00E15E1B">
              <w:t xml:space="preserve"> </w:t>
            </w:r>
            <w:r>
              <w:t>Trading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  <w:p w:rsidR="00156239" w:rsidRDefault="00156239" w:rsidP="00FC025D">
            <w:pPr>
              <w:pStyle w:val="TableText"/>
            </w:pPr>
            <w:r>
              <w:t>Wen</w:t>
            </w:r>
            <w:r w:rsidR="00E15E1B">
              <w:t xml:space="preserve"> </w:t>
            </w:r>
            <w:r>
              <w:t>Hui</w:t>
            </w:r>
            <w:r w:rsidR="00E15E1B">
              <w:t xml:space="preserve"> </w:t>
            </w:r>
            <w:r>
              <w:t>Xu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Sex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Work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1994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Lin</w:t>
            </w:r>
            <w:r w:rsidR="00E15E1B">
              <w:t xml:space="preserve"> </w:t>
            </w:r>
            <w:r>
              <w:t>Gao</w:t>
            </w:r>
          </w:p>
          <w:p w:rsidR="00156239" w:rsidRDefault="00156239" w:rsidP="00FC025D">
            <w:pPr>
              <w:pStyle w:val="TableText"/>
            </w:pPr>
            <w:r>
              <w:t>Xian</w:t>
            </w:r>
            <w:r w:rsidR="00E15E1B">
              <w:t xml:space="preserve"> </w:t>
            </w:r>
            <w:r>
              <w:t>Yan</w:t>
            </w:r>
            <w:r w:rsidR="00E15E1B">
              <w:t xml:space="preserve"> </w:t>
            </w:r>
            <w:r>
              <w:t>Meng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Motor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Car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Traders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1986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James</w:t>
            </w:r>
            <w:r w:rsidR="00E15E1B">
              <w:t xml:space="preserve"> </w:t>
            </w:r>
            <w:r>
              <w:t>Wapshott</w:t>
            </w:r>
          </w:p>
          <w:p w:rsidR="00156239" w:rsidRDefault="00156239" w:rsidP="00FC025D">
            <w:pPr>
              <w:pStyle w:val="TableText"/>
            </w:pPr>
            <w:r>
              <w:t>Wapshott</w:t>
            </w:r>
            <w:r w:rsidR="00E15E1B">
              <w:t xml:space="preserve"> </w:t>
            </w:r>
            <w:r>
              <w:t>Motors</w:t>
            </w:r>
            <w:r w:rsidR="00E15E1B">
              <w:t xml:space="preserve"> </w:t>
            </w:r>
            <w:r>
              <w:t>Pty</w:t>
            </w:r>
            <w:r w:rsidR="00E15E1B">
              <w:t xml:space="preserve"> </w:t>
            </w:r>
            <w:r>
              <w:t>Ltd</w:t>
            </w:r>
          </w:p>
        </w:tc>
      </w:tr>
    </w:tbl>
    <w:p w:rsidR="00156239" w:rsidRDefault="00156239" w:rsidP="00156239">
      <w:pPr>
        <w:pStyle w:val="Heading6"/>
      </w:pPr>
      <w:r>
        <w:t>Administrative</w:t>
      </w:r>
      <w:r w:rsidR="00E15E1B">
        <w:t xml:space="preserve"> </w:t>
      </w:r>
      <w:r>
        <w:t>review</w:t>
      </w:r>
      <w:r w:rsidR="00E15E1B">
        <w:t xml:space="preserve"> </w:t>
      </w:r>
      <w:r>
        <w:t>on</w:t>
      </w:r>
      <w:r w:rsidR="00E15E1B">
        <w:t xml:space="preserve"> </w:t>
      </w:r>
      <w:r>
        <w:t>behalf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Business</w:t>
      </w:r>
      <w:r w:rsidR="00E15E1B">
        <w:t xml:space="preserve"> </w:t>
      </w:r>
      <w:r>
        <w:t>Licensing</w:t>
      </w:r>
      <w:r w:rsidR="00E15E1B">
        <w:t xml:space="preserve"> </w:t>
      </w:r>
      <w:r>
        <w:t>Authority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2675"/>
        <w:gridCol w:w="6397"/>
      </w:tblGrid>
      <w:tr w:rsidR="00156239" w:rsidRPr="00F41A61" w:rsidTr="00104254">
        <w:trPr>
          <w:trHeight w:val="60"/>
          <w:tblHeader/>
        </w:trPr>
        <w:tc>
          <w:tcPr>
            <w:tcW w:w="2835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Legislation</w:t>
            </w:r>
          </w:p>
        </w:tc>
        <w:tc>
          <w:tcPr>
            <w:tcW w:w="6803" w:type="dxa"/>
            <w:tcBorders>
              <w:lef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Parties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Pr="00E96742" w:rsidRDefault="00156239" w:rsidP="00FC025D">
            <w:pPr>
              <w:pStyle w:val="TableText"/>
              <w:rPr>
                <w:rStyle w:val="Emphasis"/>
              </w:rPr>
            </w:pPr>
            <w:r w:rsidRPr="00E96742">
              <w:rPr>
                <w:rStyle w:val="Emphasis"/>
              </w:rPr>
              <w:t>Estate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Agents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1980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Khaled</w:t>
            </w:r>
            <w:r w:rsidR="00E15E1B">
              <w:t xml:space="preserve"> </w:t>
            </w:r>
            <w:r>
              <w:t>Khaled</w:t>
            </w:r>
          </w:p>
        </w:tc>
      </w:tr>
    </w:tbl>
    <w:p w:rsidR="008C5A12" w:rsidRPr="008C5A12" w:rsidRDefault="008C5A12" w:rsidP="008C5A12">
      <w:pPr>
        <w:pStyle w:val="BodyText"/>
      </w:pPr>
      <w:r w:rsidRPr="008C5A12">
        <w:br w:type="page"/>
      </w:r>
    </w:p>
    <w:p w:rsidR="00156239" w:rsidRDefault="00156239" w:rsidP="00FC025D">
      <w:pPr>
        <w:pStyle w:val="Heading6"/>
      </w:pPr>
      <w:r>
        <w:lastRenderedPageBreak/>
        <w:t>Table</w:t>
      </w:r>
      <w:r w:rsidR="00E15E1B">
        <w:t xml:space="preserve"> </w:t>
      </w:r>
      <w:r>
        <w:t>3:</w:t>
      </w:r>
      <w:r w:rsidR="00E15E1B">
        <w:t xml:space="preserve"> </w:t>
      </w:r>
      <w:r>
        <w:t>Registers</w:t>
      </w:r>
      <w:r w:rsidR="00E15E1B">
        <w:t xml:space="preserve"> </w:t>
      </w:r>
      <w:r>
        <w:t>administered</w:t>
      </w:r>
      <w:r w:rsidR="00E15E1B">
        <w:t xml:space="preserve"> </w:t>
      </w:r>
      <w:r>
        <w:t>by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Victoria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913"/>
        <w:gridCol w:w="912"/>
        <w:gridCol w:w="911"/>
        <w:gridCol w:w="912"/>
        <w:gridCol w:w="912"/>
        <w:gridCol w:w="912"/>
      </w:tblGrid>
      <w:tr w:rsidR="00156239" w:rsidRPr="00625180" w:rsidTr="00104254">
        <w:trPr>
          <w:trHeight w:val="68"/>
          <w:tblHeader/>
        </w:trPr>
        <w:tc>
          <w:tcPr>
            <w:tcW w:w="3855" w:type="dxa"/>
            <w:vMerge w:val="restart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Pr="00625180" w:rsidRDefault="00156239" w:rsidP="008C5A12">
            <w:pPr>
              <w:pStyle w:val="TableColHead"/>
            </w:pPr>
          </w:p>
        </w:tc>
        <w:tc>
          <w:tcPr>
            <w:tcW w:w="289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New</w:t>
            </w:r>
            <w:r w:rsidR="00E15E1B">
              <w:t xml:space="preserve"> </w:t>
            </w:r>
            <w:r>
              <w:t>applications</w:t>
            </w:r>
            <w:r w:rsidR="00E15E1B">
              <w:t xml:space="preserve"> </w:t>
            </w:r>
            <w:r>
              <w:t>lodged</w:t>
            </w:r>
          </w:p>
        </w:tc>
        <w:tc>
          <w:tcPr>
            <w:tcW w:w="2892" w:type="dxa"/>
            <w:gridSpan w:val="3"/>
            <w:tcBorders>
              <w:lef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Total</w:t>
            </w:r>
            <w:r w:rsidR="00E15E1B">
              <w:t xml:space="preserve"> </w:t>
            </w:r>
            <w:r>
              <w:t>on</w:t>
            </w:r>
            <w:r w:rsidR="00E15E1B">
              <w:t xml:space="preserve"> </w:t>
            </w:r>
            <w:r>
              <w:t>register</w:t>
            </w:r>
          </w:p>
        </w:tc>
      </w:tr>
      <w:tr w:rsidR="00156239" w:rsidRPr="00625180" w:rsidTr="00104254">
        <w:trPr>
          <w:trHeight w:val="68"/>
          <w:tblHeader/>
        </w:trPr>
        <w:tc>
          <w:tcPr>
            <w:tcW w:w="3855" w:type="dxa"/>
            <w:vMerge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Pr="00625180" w:rsidRDefault="00156239" w:rsidP="00FC025D">
            <w:pPr>
              <w:pStyle w:val="TableText"/>
            </w:pPr>
          </w:p>
        </w:tc>
        <w:tc>
          <w:tcPr>
            <w:tcW w:w="9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156239" w:rsidRDefault="00156239" w:rsidP="00FC025D">
            <w:pPr>
              <w:pStyle w:val="TableColHeadRight"/>
            </w:pPr>
            <w:r>
              <w:t>2015–16</w:t>
            </w:r>
          </w:p>
        </w:tc>
        <w:tc>
          <w:tcPr>
            <w:tcW w:w="9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156239" w:rsidRDefault="00156239" w:rsidP="00FC025D">
            <w:pPr>
              <w:pStyle w:val="TableColHeadRight"/>
            </w:pPr>
            <w:r>
              <w:t>2016–17</w:t>
            </w:r>
          </w:p>
        </w:tc>
        <w:tc>
          <w:tcPr>
            <w:tcW w:w="9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156239" w:rsidRDefault="00156239" w:rsidP="00FC025D">
            <w:pPr>
              <w:pStyle w:val="TableColHeadRight"/>
            </w:pPr>
            <w:r>
              <w:t>2017–18</w:t>
            </w:r>
          </w:p>
        </w:tc>
        <w:tc>
          <w:tcPr>
            <w:tcW w:w="9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156239" w:rsidRDefault="00156239" w:rsidP="00FC025D">
            <w:pPr>
              <w:pStyle w:val="TableColHeadRight"/>
            </w:pPr>
            <w:r>
              <w:t>2015–16</w:t>
            </w:r>
          </w:p>
        </w:tc>
        <w:tc>
          <w:tcPr>
            <w:tcW w:w="9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156239" w:rsidRDefault="00156239" w:rsidP="00FC025D">
            <w:pPr>
              <w:pStyle w:val="TableColHeadRight"/>
            </w:pPr>
            <w:r>
              <w:t>2016–17</w:t>
            </w:r>
          </w:p>
        </w:tc>
        <w:tc>
          <w:tcPr>
            <w:tcW w:w="964" w:type="dxa"/>
            <w:tcBorders>
              <w:lef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156239" w:rsidRDefault="00156239" w:rsidP="00FC025D">
            <w:pPr>
              <w:pStyle w:val="TableColHeadRight"/>
            </w:pPr>
            <w:r>
              <w:t>2017–18</w:t>
            </w:r>
          </w:p>
        </w:tc>
      </w:tr>
      <w:tr w:rsidR="00156239" w:rsidRPr="00F41A61" w:rsidTr="00104254">
        <w:trPr>
          <w:trHeight w:val="68"/>
        </w:trPr>
        <w:tc>
          <w:tcPr>
            <w:tcW w:w="38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Estate</w:t>
            </w:r>
            <w:r w:rsidR="00E15E1B">
              <w:t xml:space="preserve"> </w:t>
            </w:r>
            <w:r>
              <w:t>agents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1,582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1,581</w:t>
            </w:r>
          </w:p>
        </w:tc>
        <w:tc>
          <w:tcPr>
            <w:tcW w:w="963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1,800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12,458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13,230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14,133</w:t>
            </w:r>
          </w:p>
        </w:tc>
      </w:tr>
      <w:tr w:rsidR="00156239" w:rsidRPr="00F41A61" w:rsidTr="00104254">
        <w:trPr>
          <w:trHeight w:val="68"/>
        </w:trPr>
        <w:tc>
          <w:tcPr>
            <w:tcW w:w="38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Motor</w:t>
            </w:r>
            <w:r w:rsidR="00E15E1B">
              <w:t xml:space="preserve"> </w:t>
            </w:r>
            <w:r>
              <w:t>car</w:t>
            </w:r>
            <w:r w:rsidR="00E15E1B">
              <w:t xml:space="preserve"> </w:t>
            </w:r>
            <w:r>
              <w:t>traders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154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158</w:t>
            </w:r>
          </w:p>
        </w:tc>
        <w:tc>
          <w:tcPr>
            <w:tcW w:w="963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143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2,111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2,056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2,008</w:t>
            </w:r>
          </w:p>
        </w:tc>
      </w:tr>
      <w:tr w:rsidR="00156239" w:rsidRPr="00F41A61" w:rsidTr="00104254">
        <w:trPr>
          <w:trHeight w:val="68"/>
        </w:trPr>
        <w:tc>
          <w:tcPr>
            <w:tcW w:w="38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Incorporated</w:t>
            </w:r>
            <w:r w:rsidR="00E15E1B">
              <w:t xml:space="preserve"> </w:t>
            </w:r>
            <w:r>
              <w:t>associations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2,126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1,837</w:t>
            </w:r>
          </w:p>
        </w:tc>
        <w:tc>
          <w:tcPr>
            <w:tcW w:w="963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2,006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40,577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41,212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41,296</w:t>
            </w:r>
          </w:p>
        </w:tc>
      </w:tr>
      <w:tr w:rsidR="00156239" w:rsidRPr="00F41A61" w:rsidTr="00104254">
        <w:trPr>
          <w:trHeight w:val="68"/>
        </w:trPr>
        <w:tc>
          <w:tcPr>
            <w:tcW w:w="38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Co-operatives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23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25</w:t>
            </w:r>
          </w:p>
        </w:tc>
        <w:tc>
          <w:tcPr>
            <w:tcW w:w="963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33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573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540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577</w:t>
            </w:r>
          </w:p>
        </w:tc>
      </w:tr>
      <w:tr w:rsidR="00156239" w:rsidRPr="00F41A61" w:rsidTr="00104254">
        <w:trPr>
          <w:trHeight w:val="68"/>
        </w:trPr>
        <w:tc>
          <w:tcPr>
            <w:tcW w:w="38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Fundraisers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980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631</w:t>
            </w:r>
          </w:p>
        </w:tc>
        <w:tc>
          <w:tcPr>
            <w:tcW w:w="963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778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2,091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2,029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1,953</w:t>
            </w:r>
          </w:p>
        </w:tc>
      </w:tr>
      <w:tr w:rsidR="00156239" w:rsidRPr="00F41A61" w:rsidTr="00104254">
        <w:trPr>
          <w:trHeight w:val="68"/>
        </w:trPr>
        <w:tc>
          <w:tcPr>
            <w:tcW w:w="38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Second-hand</w:t>
            </w:r>
            <w:r w:rsidR="00E15E1B">
              <w:t xml:space="preserve"> </w:t>
            </w:r>
            <w:r>
              <w:t>dealers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pawnbrokers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331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348</w:t>
            </w:r>
          </w:p>
        </w:tc>
        <w:tc>
          <w:tcPr>
            <w:tcW w:w="963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346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3,865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3,723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3,650</w:t>
            </w:r>
          </w:p>
        </w:tc>
      </w:tr>
      <w:tr w:rsidR="00156239" w:rsidRPr="00F41A61" w:rsidTr="00104254">
        <w:trPr>
          <w:trHeight w:val="68"/>
        </w:trPr>
        <w:tc>
          <w:tcPr>
            <w:tcW w:w="38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Patriotic</w:t>
            </w:r>
            <w:r w:rsidR="00E15E1B">
              <w:t xml:space="preserve"> </w:t>
            </w:r>
            <w:r>
              <w:t>funds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0</w:t>
            </w:r>
          </w:p>
        </w:tc>
        <w:tc>
          <w:tcPr>
            <w:tcW w:w="963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591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563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550</w:t>
            </w:r>
          </w:p>
        </w:tc>
      </w:tr>
      <w:tr w:rsidR="00156239" w:rsidRPr="00F41A61" w:rsidTr="00104254">
        <w:trPr>
          <w:trHeight w:val="68"/>
        </w:trPr>
        <w:tc>
          <w:tcPr>
            <w:tcW w:w="38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Limited</w:t>
            </w:r>
            <w:r w:rsidR="00E15E1B">
              <w:t xml:space="preserve"> </w:t>
            </w:r>
            <w:r>
              <w:t>partnerships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55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38</w:t>
            </w:r>
          </w:p>
        </w:tc>
        <w:tc>
          <w:tcPr>
            <w:tcW w:w="963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31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342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366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384</w:t>
            </w:r>
          </w:p>
        </w:tc>
      </w:tr>
      <w:tr w:rsidR="00156239" w:rsidRPr="00F41A61" w:rsidTr="00104254">
        <w:trPr>
          <w:trHeight w:val="68"/>
        </w:trPr>
        <w:tc>
          <w:tcPr>
            <w:tcW w:w="38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Conveyancers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99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92</w:t>
            </w:r>
          </w:p>
        </w:tc>
        <w:tc>
          <w:tcPr>
            <w:tcW w:w="963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136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820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877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961</w:t>
            </w:r>
          </w:p>
        </w:tc>
      </w:tr>
      <w:tr w:rsidR="00156239" w:rsidRPr="00F41A61" w:rsidTr="00104254">
        <w:trPr>
          <w:trHeight w:val="68"/>
        </w:trPr>
        <w:tc>
          <w:tcPr>
            <w:tcW w:w="38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Owners</w:t>
            </w:r>
            <w:r w:rsidR="00E15E1B">
              <w:t xml:space="preserve"> </w:t>
            </w:r>
            <w:r>
              <w:t>corporation</w:t>
            </w:r>
            <w:r w:rsidR="00E15E1B">
              <w:t xml:space="preserve"> </w:t>
            </w:r>
            <w:r>
              <w:t>managers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80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79</w:t>
            </w:r>
          </w:p>
        </w:tc>
        <w:tc>
          <w:tcPr>
            <w:tcW w:w="963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80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638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659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673</w:t>
            </w:r>
          </w:p>
        </w:tc>
      </w:tr>
      <w:tr w:rsidR="00156239" w:rsidRPr="00F41A61" w:rsidTr="00104254">
        <w:trPr>
          <w:trHeight w:val="68"/>
        </w:trPr>
        <w:tc>
          <w:tcPr>
            <w:tcW w:w="38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Retirement</w:t>
            </w:r>
            <w:r w:rsidR="00E15E1B">
              <w:t xml:space="preserve"> </w:t>
            </w:r>
            <w:r>
              <w:t>villages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14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13</w:t>
            </w:r>
          </w:p>
        </w:tc>
        <w:tc>
          <w:tcPr>
            <w:tcW w:w="963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14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439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447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453</w:t>
            </w:r>
          </w:p>
        </w:tc>
      </w:tr>
      <w:tr w:rsidR="00156239" w:rsidRPr="00F41A61" w:rsidTr="00104254">
        <w:trPr>
          <w:trHeight w:val="68"/>
        </w:trPr>
        <w:tc>
          <w:tcPr>
            <w:tcW w:w="38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Funeral</w:t>
            </w:r>
            <w:r w:rsidR="00E15E1B">
              <w:t xml:space="preserve"> </w:t>
            </w:r>
            <w:r>
              <w:t>service</w:t>
            </w:r>
            <w:r w:rsidR="00E15E1B">
              <w:t xml:space="preserve"> </w:t>
            </w:r>
            <w:r>
              <w:t>providers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10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14</w:t>
            </w:r>
          </w:p>
        </w:tc>
        <w:tc>
          <w:tcPr>
            <w:tcW w:w="963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434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448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453</w:t>
            </w:r>
          </w:p>
        </w:tc>
      </w:tr>
      <w:tr w:rsidR="00156239" w:rsidRPr="00F41A61" w:rsidTr="00104254">
        <w:trPr>
          <w:trHeight w:val="68"/>
        </w:trPr>
        <w:tc>
          <w:tcPr>
            <w:tcW w:w="38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Sex</w:t>
            </w:r>
            <w:r w:rsidR="00E15E1B">
              <w:t xml:space="preserve"> </w:t>
            </w:r>
            <w:r>
              <w:t>work</w:t>
            </w:r>
            <w:r w:rsidR="00E15E1B">
              <w:t xml:space="preserve"> </w:t>
            </w:r>
            <w:r>
              <w:t>service</w:t>
            </w:r>
            <w:r w:rsidR="00E15E1B">
              <w:t xml:space="preserve"> </w:t>
            </w:r>
            <w:r>
              <w:t>providers</w:t>
            </w:r>
            <w:r w:rsidR="00E15E1B">
              <w:t xml:space="preserve"> </w:t>
            </w:r>
            <w:r>
              <w:t>(licensees)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13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15</w:t>
            </w:r>
          </w:p>
        </w:tc>
        <w:tc>
          <w:tcPr>
            <w:tcW w:w="963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125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125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121</w:t>
            </w:r>
          </w:p>
        </w:tc>
      </w:tr>
      <w:tr w:rsidR="00156239" w:rsidRPr="00F41A61" w:rsidTr="00104254">
        <w:trPr>
          <w:trHeight w:val="68"/>
        </w:trPr>
        <w:tc>
          <w:tcPr>
            <w:tcW w:w="38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Sex</w:t>
            </w:r>
            <w:r w:rsidR="00E15E1B">
              <w:t xml:space="preserve"> </w:t>
            </w:r>
            <w:r>
              <w:t>work</w:t>
            </w:r>
            <w:r w:rsidR="00E15E1B">
              <w:t xml:space="preserve"> </w:t>
            </w:r>
            <w:r>
              <w:t>brothel</w:t>
            </w:r>
            <w:r w:rsidR="00E15E1B">
              <w:t xml:space="preserve"> </w:t>
            </w:r>
            <w:r>
              <w:t>managers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179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167</w:t>
            </w:r>
          </w:p>
        </w:tc>
        <w:tc>
          <w:tcPr>
            <w:tcW w:w="963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192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702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675</w:t>
            </w:r>
          </w:p>
        </w:tc>
        <w:tc>
          <w:tcPr>
            <w:tcW w:w="96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656</w:t>
            </w:r>
          </w:p>
        </w:tc>
      </w:tr>
    </w:tbl>
    <w:p w:rsidR="00AD429A" w:rsidRPr="00AD429A" w:rsidRDefault="00AD429A" w:rsidP="00AD429A">
      <w:pPr>
        <w:pStyle w:val="BodyText"/>
      </w:pPr>
      <w:r w:rsidRPr="00AD429A">
        <w:br w:type="page"/>
      </w:r>
    </w:p>
    <w:p w:rsidR="00156239" w:rsidRDefault="00156239" w:rsidP="00156239">
      <w:pPr>
        <w:pStyle w:val="Heading3"/>
      </w:pPr>
      <w:bookmarkStart w:id="13" w:name="_Toc525132663"/>
      <w:r>
        <w:lastRenderedPageBreak/>
        <w:t>Goal</w:t>
      </w:r>
      <w:r w:rsidR="00E15E1B">
        <w:t xml:space="preserve"> </w:t>
      </w:r>
      <w:r>
        <w:t>2:</w:t>
      </w:r>
      <w:r w:rsidR="00E15E1B">
        <w:t xml:space="preserve"> </w:t>
      </w:r>
      <w:r>
        <w:t>Victorians</w:t>
      </w:r>
      <w:r w:rsidR="00E15E1B">
        <w:t xml:space="preserve"> </w:t>
      </w:r>
      <w:r>
        <w:t>exercise</w:t>
      </w:r>
      <w:r w:rsidR="00E15E1B">
        <w:t xml:space="preserve"> </w:t>
      </w:r>
      <w:r>
        <w:t>their</w:t>
      </w:r>
      <w:r w:rsidR="00E15E1B">
        <w:t xml:space="preserve"> </w:t>
      </w:r>
      <w:r>
        <w:t>consumer</w:t>
      </w:r>
      <w:r w:rsidR="00E15E1B">
        <w:t xml:space="preserve"> </w:t>
      </w:r>
      <w:r>
        <w:t>rights</w:t>
      </w:r>
      <w:bookmarkEnd w:id="13"/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empower</w:t>
      </w:r>
      <w:r w:rsidR="00E15E1B">
        <w:t xml:space="preserve"> </w:t>
      </w:r>
      <w:r>
        <w:t>Victorians</w:t>
      </w:r>
      <w:r w:rsidR="00E15E1B">
        <w:t xml:space="preserve"> </w:t>
      </w:r>
      <w:r>
        <w:t>to</w:t>
      </w:r>
      <w:r w:rsidR="00E15E1B">
        <w:t xml:space="preserve"> </w:t>
      </w:r>
      <w:r>
        <w:t>exercise</w:t>
      </w:r>
      <w:r w:rsidR="00E15E1B">
        <w:t xml:space="preserve"> </w:t>
      </w:r>
      <w:r>
        <w:t>their</w:t>
      </w:r>
      <w:r w:rsidR="00E15E1B">
        <w:t xml:space="preserve"> </w:t>
      </w:r>
      <w:r>
        <w:t>consumer</w:t>
      </w:r>
      <w:r w:rsidR="00E15E1B">
        <w:t xml:space="preserve"> </w:t>
      </w:r>
      <w:r>
        <w:t>rights</w:t>
      </w:r>
      <w:r w:rsidR="00E15E1B">
        <w:t xml:space="preserve"> </w:t>
      </w:r>
      <w:r>
        <w:t>by</w:t>
      </w:r>
      <w:r w:rsidR="00E15E1B">
        <w:t xml:space="preserve"> </w:t>
      </w:r>
      <w:r>
        <w:t>providing</w:t>
      </w:r>
      <w:r w:rsidR="00E15E1B">
        <w:t xml:space="preserve"> </w:t>
      </w:r>
      <w:r>
        <w:t>them</w:t>
      </w:r>
      <w:r w:rsidR="00E15E1B">
        <w:t xml:space="preserve"> </w:t>
      </w:r>
      <w:r>
        <w:t>with</w:t>
      </w:r>
      <w:r w:rsidR="00E15E1B">
        <w:t xml:space="preserve"> </w:t>
      </w:r>
      <w:r>
        <w:t>information</w:t>
      </w:r>
      <w:r w:rsidR="00E15E1B">
        <w:t xml:space="preserve"> </w:t>
      </w:r>
      <w:r>
        <w:t>and</w:t>
      </w:r>
      <w:r w:rsidR="00E15E1B">
        <w:t xml:space="preserve"> </w:t>
      </w:r>
      <w:r>
        <w:t>support.</w:t>
      </w:r>
      <w:r w:rsidR="00E15E1B">
        <w:t xml:space="preserve"> </w:t>
      </w:r>
      <w:r>
        <w:t>We</w:t>
      </w:r>
      <w:r w:rsidR="00E15E1B">
        <w:t xml:space="preserve"> </w:t>
      </w:r>
      <w:r>
        <w:t>continue</w:t>
      </w:r>
      <w:r w:rsidR="00E15E1B">
        <w:t xml:space="preserve"> </w:t>
      </w:r>
      <w:r>
        <w:t>to</w:t>
      </w:r>
      <w:r w:rsidR="00E15E1B">
        <w:t xml:space="preserve"> </w:t>
      </w:r>
      <w:r>
        <w:t>work</w:t>
      </w:r>
      <w:r w:rsidR="00E15E1B">
        <w:t xml:space="preserve"> </w:t>
      </w:r>
      <w:r>
        <w:t>with</w:t>
      </w:r>
      <w:r w:rsidR="00E15E1B">
        <w:t xml:space="preserve"> </w:t>
      </w:r>
      <w:r>
        <w:t>partner</w:t>
      </w:r>
      <w:r w:rsidR="00E15E1B">
        <w:t xml:space="preserve"> </w:t>
      </w:r>
      <w:r>
        <w:t>organisations</w:t>
      </w:r>
      <w:r w:rsidR="00E15E1B">
        <w:t xml:space="preserve"> </w:t>
      </w:r>
      <w:r>
        <w:t>to</w:t>
      </w:r>
      <w:r w:rsidR="00E15E1B">
        <w:t xml:space="preserve"> </w:t>
      </w:r>
      <w:r>
        <w:t>improve</w:t>
      </w:r>
      <w:r w:rsidR="00E15E1B">
        <w:t xml:space="preserve"> </w:t>
      </w:r>
      <w:r>
        <w:t>the</w:t>
      </w:r>
      <w:r w:rsidR="00E15E1B">
        <w:t xml:space="preserve"> </w:t>
      </w:r>
      <w:r>
        <w:t>information</w:t>
      </w:r>
      <w:r w:rsidR="00E15E1B">
        <w:t xml:space="preserve"> </w:t>
      </w:r>
      <w:r>
        <w:t>we</w:t>
      </w:r>
      <w:r w:rsidR="00E15E1B">
        <w:t xml:space="preserve"> </w:t>
      </w:r>
      <w:r>
        <w:t>provide,</w:t>
      </w:r>
      <w:r w:rsidR="00E15E1B">
        <w:t xml:space="preserve"> </w:t>
      </w:r>
      <w:r>
        <w:t>and</w:t>
      </w:r>
      <w:r w:rsidR="00E15E1B">
        <w:t xml:space="preserve"> </w:t>
      </w:r>
      <w:r>
        <w:t>to</w:t>
      </w:r>
      <w:r w:rsidR="00E15E1B">
        <w:t xml:space="preserve"> </w:t>
      </w:r>
      <w:r>
        <w:t>target</w:t>
      </w:r>
      <w:r w:rsidR="00E15E1B">
        <w:t xml:space="preserve"> </w:t>
      </w:r>
      <w:r>
        <w:t>groups</w:t>
      </w:r>
      <w:r w:rsidR="00E15E1B">
        <w:t xml:space="preserve"> </w:t>
      </w:r>
      <w:r>
        <w:t>with</w:t>
      </w:r>
      <w:r w:rsidR="00E15E1B">
        <w:t xml:space="preserve"> </w:t>
      </w:r>
      <w:r>
        <w:t>specialised</w:t>
      </w:r>
      <w:r w:rsidR="00E15E1B">
        <w:t xml:space="preserve"> </w:t>
      </w:r>
      <w:r>
        <w:t>information</w:t>
      </w:r>
      <w:r w:rsidR="00E15E1B">
        <w:t xml:space="preserve"> </w:t>
      </w:r>
      <w:r>
        <w:t>needs.</w:t>
      </w:r>
    </w:p>
    <w:p w:rsidR="00156239" w:rsidRDefault="00156239" w:rsidP="00156239">
      <w:pPr>
        <w:pStyle w:val="Heading4"/>
      </w:pPr>
      <w:r>
        <w:t>Highlights</w:t>
      </w:r>
    </w:p>
    <w:p w:rsidR="00156239" w:rsidRDefault="00156239" w:rsidP="00156239">
      <w:pPr>
        <w:pStyle w:val="BodyText"/>
      </w:pPr>
      <w:r>
        <w:t>In</w:t>
      </w:r>
      <w:r w:rsidR="00E15E1B">
        <w:t xml:space="preserve"> </w:t>
      </w:r>
      <w:r>
        <w:t>2017–18,</w:t>
      </w:r>
      <w:r w:rsidR="00E15E1B">
        <w:t xml:space="preserve"> </w:t>
      </w:r>
      <w:r>
        <w:t>we</w:t>
      </w:r>
      <w:r w:rsidR="00E15E1B">
        <w:t xml:space="preserve"> </w:t>
      </w:r>
      <w:r>
        <w:t>provided</w:t>
      </w:r>
      <w:r w:rsidR="00E15E1B">
        <w:t xml:space="preserve"> </w:t>
      </w:r>
      <w:r>
        <w:t>information</w:t>
      </w:r>
      <w:r w:rsidR="00E15E1B">
        <w:t xml:space="preserve"> </w:t>
      </w:r>
      <w:r>
        <w:t>and</w:t>
      </w:r>
      <w:r w:rsidR="00E15E1B">
        <w:t xml:space="preserve"> </w:t>
      </w:r>
      <w:r>
        <w:t>advice</w:t>
      </w:r>
      <w:r w:rsidR="00E15E1B">
        <w:t xml:space="preserve"> </w:t>
      </w:r>
      <w:r>
        <w:t>to</w:t>
      </w:r>
      <w:r w:rsidR="00E15E1B">
        <w:t xml:space="preserve"> </w:t>
      </w:r>
      <w:r>
        <w:t>over</w:t>
      </w:r>
      <w:r w:rsidR="00E15E1B">
        <w:t xml:space="preserve"> </w:t>
      </w:r>
      <w:r>
        <w:t>304,000</w:t>
      </w:r>
      <w:r w:rsidR="00E15E1B">
        <w:t xml:space="preserve"> </w:t>
      </w:r>
      <w:r>
        <w:t>callers</w:t>
      </w:r>
      <w:r w:rsidR="00E15E1B">
        <w:t xml:space="preserve"> </w:t>
      </w:r>
      <w:r>
        <w:t>to</w:t>
      </w:r>
      <w:r w:rsidR="00E15E1B">
        <w:t xml:space="preserve"> </w:t>
      </w:r>
      <w:r>
        <w:t>our</w:t>
      </w:r>
      <w:r w:rsidR="00E15E1B">
        <w:t xml:space="preserve"> </w:t>
      </w:r>
      <w:r>
        <w:t>telephone</w:t>
      </w:r>
      <w:r w:rsidR="00E15E1B">
        <w:t xml:space="preserve"> </w:t>
      </w:r>
      <w:r>
        <w:t>service</w:t>
      </w:r>
      <w:r w:rsidR="00E15E1B">
        <w:t xml:space="preserve"> </w:t>
      </w:r>
      <w:r>
        <w:t>and</w:t>
      </w:r>
      <w:r w:rsidR="00E15E1B">
        <w:t xml:space="preserve"> </w:t>
      </w:r>
      <w:r>
        <w:t>responded</w:t>
      </w:r>
      <w:r w:rsidR="00E15E1B">
        <w:t xml:space="preserve"> </w:t>
      </w:r>
      <w:r>
        <w:t>to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65,000</w:t>
      </w:r>
      <w:r w:rsidR="00E15E1B">
        <w:t xml:space="preserve"> </w:t>
      </w:r>
      <w:r>
        <w:t>written</w:t>
      </w:r>
      <w:r w:rsidR="00E15E1B">
        <w:t xml:space="preserve"> </w:t>
      </w:r>
      <w:r>
        <w:t>and</w:t>
      </w:r>
      <w:r w:rsidR="00E15E1B">
        <w:t xml:space="preserve"> </w:t>
      </w:r>
      <w:r>
        <w:t>online</w:t>
      </w:r>
      <w:r w:rsidR="00E15E1B">
        <w:t xml:space="preserve"> </w:t>
      </w:r>
      <w:r>
        <w:t>queries.</w:t>
      </w:r>
      <w:r w:rsidR="00E15E1B">
        <w:t xml:space="preserve"> </w:t>
      </w:r>
      <w:r>
        <w:t>Our</w:t>
      </w:r>
      <w:r w:rsidR="00E15E1B">
        <w:t xml:space="preserve"> </w:t>
      </w:r>
      <w:r>
        <w:t>social</w:t>
      </w:r>
      <w:r w:rsidR="00E15E1B">
        <w:t xml:space="preserve"> </w:t>
      </w:r>
      <w:r>
        <w:t>media</w:t>
      </w:r>
      <w:r w:rsidR="00E15E1B">
        <w:t xml:space="preserve"> </w:t>
      </w:r>
      <w:r>
        <w:t>presence</w:t>
      </w:r>
      <w:r w:rsidR="00E15E1B">
        <w:t xml:space="preserve"> </w:t>
      </w:r>
      <w:r>
        <w:t>continues</w:t>
      </w:r>
      <w:r w:rsidR="00E15E1B">
        <w:t xml:space="preserve"> </w:t>
      </w:r>
      <w:r>
        <w:t>to</w:t>
      </w:r>
      <w:r w:rsidR="00E15E1B">
        <w:t xml:space="preserve"> </w:t>
      </w:r>
      <w:r>
        <w:t>grow</w:t>
      </w:r>
      <w:r w:rsidR="00E15E1B">
        <w:t xml:space="preserve"> </w:t>
      </w:r>
      <w:r>
        <w:t>with</w:t>
      </w:r>
      <w:r w:rsidR="00E15E1B">
        <w:t xml:space="preserve"> </w:t>
      </w:r>
      <w:r>
        <w:t>42,600</w:t>
      </w:r>
      <w:r w:rsidR="00E15E1B">
        <w:t xml:space="preserve"> </w:t>
      </w:r>
      <w:r>
        <w:t>Facebook</w:t>
      </w:r>
      <w:r w:rsidR="00E15E1B">
        <w:t xml:space="preserve"> </w:t>
      </w:r>
      <w:r>
        <w:t>likes</w:t>
      </w:r>
      <w:r w:rsidR="00E15E1B">
        <w:t xml:space="preserve"> </w:t>
      </w:r>
      <w:r>
        <w:t>and</w:t>
      </w:r>
      <w:r w:rsidR="00E15E1B">
        <w:t xml:space="preserve"> </w:t>
      </w:r>
      <w:r>
        <w:t>10,175</w:t>
      </w:r>
      <w:r w:rsidR="00E15E1B">
        <w:t xml:space="preserve"> </w:t>
      </w:r>
      <w:r>
        <w:t>Twitter</w:t>
      </w:r>
      <w:r w:rsidR="00E15E1B">
        <w:t xml:space="preserve"> </w:t>
      </w:r>
      <w:r>
        <w:t>followers.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received</w:t>
      </w:r>
      <w:r w:rsidR="00E15E1B">
        <w:t xml:space="preserve"> </w:t>
      </w:r>
      <w:r>
        <w:t>3.6</w:t>
      </w:r>
      <w:r w:rsidR="00E15E1B">
        <w:t xml:space="preserve"> </w:t>
      </w:r>
      <w:r>
        <w:t>million</w:t>
      </w:r>
      <w:r w:rsidR="00E15E1B">
        <w:t xml:space="preserve"> </w:t>
      </w:r>
      <w:r>
        <w:t>visits</w:t>
      </w:r>
      <w:r w:rsidR="00E15E1B">
        <w:t xml:space="preserve"> </w:t>
      </w:r>
      <w:r>
        <w:t>to</w:t>
      </w:r>
      <w:r w:rsidR="00E15E1B">
        <w:t xml:space="preserve"> </w:t>
      </w:r>
      <w:r>
        <w:t>our</w:t>
      </w:r>
      <w:r w:rsidR="00E15E1B">
        <w:t xml:space="preserve"> </w:t>
      </w:r>
      <w:r>
        <w:t>website,</w:t>
      </w:r>
      <w:r w:rsidR="00E15E1B">
        <w:t xml:space="preserve"> </w:t>
      </w:r>
      <w:r>
        <w:t>which</w:t>
      </w:r>
      <w:r w:rsidR="00E15E1B">
        <w:t xml:space="preserve"> </w:t>
      </w:r>
      <w:r>
        <w:t>provides</w:t>
      </w:r>
      <w:r w:rsidR="00E15E1B">
        <w:t xml:space="preserve"> </w:t>
      </w:r>
      <w:r>
        <w:t>education,</w:t>
      </w:r>
      <w:r w:rsidR="00E15E1B">
        <w:t xml:space="preserve"> </w:t>
      </w:r>
      <w:r>
        <w:t>advice</w:t>
      </w:r>
      <w:r w:rsidR="00E15E1B">
        <w:t xml:space="preserve"> </w:t>
      </w:r>
      <w:r>
        <w:t>and</w:t>
      </w:r>
      <w:r w:rsidR="00E15E1B">
        <w:t xml:space="preserve"> </w:t>
      </w:r>
      <w:r>
        <w:t>self-help</w:t>
      </w:r>
      <w:r w:rsidR="00E15E1B">
        <w:t xml:space="preserve"> </w:t>
      </w:r>
      <w:r>
        <w:t>resources</w:t>
      </w:r>
      <w:r w:rsidR="00E15E1B">
        <w:t xml:space="preserve"> </w:t>
      </w:r>
      <w:r>
        <w:t>in</w:t>
      </w:r>
      <w:r w:rsidR="00E15E1B">
        <w:t xml:space="preserve"> </w:t>
      </w:r>
      <w:r>
        <w:t>a</w:t>
      </w:r>
      <w:r w:rsidR="00E15E1B">
        <w:t xml:space="preserve"> </w:t>
      </w:r>
      <w:r>
        <w:t>range</w:t>
      </w:r>
      <w:r w:rsidR="00E15E1B">
        <w:t xml:space="preserve"> </w:t>
      </w:r>
      <w:r>
        <w:t>of</w:t>
      </w:r>
      <w:r w:rsidR="00E15E1B">
        <w:t xml:space="preserve"> </w:t>
      </w:r>
      <w:r>
        <w:t>formats</w:t>
      </w:r>
      <w:r w:rsidR="00E15E1B">
        <w:t xml:space="preserve"> </w:t>
      </w:r>
      <w:r>
        <w:t>that</w:t>
      </w:r>
      <w:r w:rsidR="00E15E1B">
        <w:t xml:space="preserve"> </w:t>
      </w:r>
      <w:r>
        <w:t>are</w:t>
      </w:r>
      <w:r w:rsidR="00E15E1B">
        <w:t xml:space="preserve"> </w:t>
      </w:r>
      <w:r>
        <w:t>easy</w:t>
      </w:r>
      <w:r w:rsidR="00E15E1B">
        <w:t xml:space="preserve"> </w:t>
      </w:r>
      <w:r>
        <w:t>to</w:t>
      </w:r>
      <w:r w:rsidR="00E15E1B">
        <w:t xml:space="preserve"> </w:t>
      </w:r>
      <w:r>
        <w:t>find,</w:t>
      </w:r>
      <w:r w:rsidR="00E15E1B">
        <w:t xml:space="preserve"> </w:t>
      </w:r>
      <w:r>
        <w:t>understand</w:t>
      </w:r>
      <w:r w:rsidR="00E15E1B">
        <w:t xml:space="preserve"> </w:t>
      </w:r>
      <w:r>
        <w:t>and</w:t>
      </w:r>
      <w:r w:rsidR="00E15E1B">
        <w:t xml:space="preserve"> </w:t>
      </w:r>
      <w:r>
        <w:t>act</w:t>
      </w:r>
      <w:r w:rsidR="00E15E1B">
        <w:t xml:space="preserve"> </w:t>
      </w:r>
      <w:r>
        <w:t>on.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continued</w:t>
      </w:r>
      <w:r w:rsidR="00E15E1B">
        <w:t xml:space="preserve"> </w:t>
      </w:r>
      <w:r>
        <w:t>to</w:t>
      </w:r>
      <w:r w:rsidR="00E15E1B">
        <w:t xml:space="preserve"> </w:t>
      </w:r>
      <w:r>
        <w:t>focus</w:t>
      </w:r>
      <w:r w:rsidR="00E15E1B">
        <w:t xml:space="preserve"> </w:t>
      </w:r>
      <w:r>
        <w:t>on</w:t>
      </w:r>
      <w:r w:rsidR="00E15E1B">
        <w:t xml:space="preserve"> </w:t>
      </w:r>
      <w:r>
        <w:t>promoting</w:t>
      </w:r>
      <w:r w:rsidR="00E15E1B">
        <w:t xml:space="preserve"> </w:t>
      </w:r>
      <w:r>
        <w:t>scams</w:t>
      </w:r>
      <w:r w:rsidR="00E15E1B">
        <w:t xml:space="preserve"> </w:t>
      </w:r>
      <w:r>
        <w:t>awareness,</w:t>
      </w:r>
      <w:r w:rsidR="00E15E1B">
        <w:t xml:space="preserve"> </w:t>
      </w:r>
      <w:r>
        <w:t>with</w:t>
      </w:r>
      <w:r w:rsidR="00E15E1B">
        <w:t xml:space="preserve"> </w:t>
      </w:r>
      <w:r>
        <w:t>targeted</w:t>
      </w:r>
      <w:r w:rsidR="00E15E1B">
        <w:t xml:space="preserve"> </w:t>
      </w:r>
      <w:r>
        <w:t>campaigns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community</w:t>
      </w:r>
      <w:r w:rsidR="00E15E1B">
        <w:t xml:space="preserve"> </w:t>
      </w:r>
      <w:r>
        <w:t>to</w:t>
      </w:r>
      <w:r w:rsidR="00E15E1B">
        <w:t xml:space="preserve"> </w:t>
      </w:r>
      <w:r>
        <w:t>help</w:t>
      </w:r>
      <w:r w:rsidR="00E15E1B">
        <w:t xml:space="preserve"> </w:t>
      </w:r>
      <w:r>
        <w:t>reduce</w:t>
      </w:r>
      <w:r w:rsidR="00E15E1B">
        <w:t xml:space="preserve"> </w:t>
      </w:r>
      <w:r>
        <w:t>detriment</w:t>
      </w:r>
      <w:r w:rsidR="00E15E1B">
        <w:t xml:space="preserve"> </w:t>
      </w:r>
      <w:r>
        <w:t>and</w:t>
      </w:r>
      <w:r w:rsidR="00E15E1B">
        <w:t xml:space="preserve"> </w:t>
      </w:r>
      <w:r>
        <w:t>harm.</w:t>
      </w:r>
    </w:p>
    <w:p w:rsidR="00156239" w:rsidRDefault="00156239" w:rsidP="00156239">
      <w:pPr>
        <w:pStyle w:val="BodyText"/>
      </w:pPr>
      <w:r>
        <w:t>In</w:t>
      </w:r>
      <w:r w:rsidR="00E15E1B">
        <w:t xml:space="preserve"> </w:t>
      </w:r>
      <w:r>
        <w:t>response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recommendations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Family</w:t>
      </w:r>
      <w:r w:rsidR="00E15E1B">
        <w:t xml:space="preserve"> </w:t>
      </w:r>
      <w:r>
        <w:t>Violence</w:t>
      </w:r>
      <w:r w:rsidR="00E15E1B">
        <w:t xml:space="preserve"> </w:t>
      </w:r>
      <w:r>
        <w:t>Royal</w:t>
      </w:r>
      <w:r w:rsidR="00E15E1B">
        <w:t xml:space="preserve"> </w:t>
      </w:r>
      <w:r>
        <w:t>Commission</w:t>
      </w:r>
      <w:r w:rsidR="00E15E1B">
        <w:t xml:space="preserve"> </w:t>
      </w:r>
      <w:r>
        <w:t>we</w:t>
      </w:r>
      <w:r w:rsidR="00E15E1B">
        <w:t xml:space="preserve"> </w:t>
      </w:r>
      <w:r>
        <w:t>enabled</w:t>
      </w:r>
      <w:r w:rsidR="00E15E1B">
        <w:t xml:space="preserve"> </w:t>
      </w:r>
      <w:r>
        <w:t>family</w:t>
      </w:r>
      <w:r w:rsidR="00E15E1B">
        <w:t xml:space="preserve"> </w:t>
      </w:r>
      <w:r>
        <w:t>violence</w:t>
      </w:r>
      <w:r w:rsidR="00E15E1B">
        <w:t xml:space="preserve"> </w:t>
      </w:r>
      <w:r>
        <w:t>training</w:t>
      </w:r>
      <w:r w:rsidR="00E15E1B">
        <w:t xml:space="preserve"> </w:t>
      </w:r>
      <w:r>
        <w:t>to</w:t>
      </w:r>
      <w:r w:rsidR="00E15E1B">
        <w:t xml:space="preserve"> </w:t>
      </w:r>
      <w:r>
        <w:t>over</w:t>
      </w:r>
      <w:r w:rsidR="00E15E1B">
        <w:t xml:space="preserve"> </w:t>
      </w:r>
      <w:r>
        <w:t>200</w:t>
      </w:r>
      <w:r w:rsidR="00E15E1B">
        <w:t xml:space="preserve"> </w:t>
      </w:r>
      <w:r>
        <w:t>financial</w:t>
      </w:r>
      <w:r w:rsidR="00E15E1B">
        <w:t xml:space="preserve"> </w:t>
      </w:r>
      <w:r>
        <w:t>counsellors</w:t>
      </w:r>
      <w:r w:rsidR="00E15E1B">
        <w:t xml:space="preserve"> </w:t>
      </w:r>
      <w:r>
        <w:t>across</w:t>
      </w:r>
      <w:r w:rsidR="00E15E1B">
        <w:t xml:space="preserve"> </w:t>
      </w:r>
      <w:r>
        <w:t>Victoria.</w:t>
      </w:r>
      <w:r w:rsidR="00E15E1B">
        <w:t xml:space="preserve"> </w:t>
      </w:r>
      <w:r>
        <w:t>Almost</w:t>
      </w:r>
      <w:r w:rsidR="00E15E1B">
        <w:t xml:space="preserve"> </w:t>
      </w:r>
      <w:r>
        <w:t>33,000</w:t>
      </w:r>
      <w:r w:rsidR="00E15E1B">
        <w:t xml:space="preserve"> </w:t>
      </w:r>
      <w:r>
        <w:t>Victorians</w:t>
      </w:r>
      <w:r w:rsidR="00E15E1B">
        <w:t xml:space="preserve"> </w:t>
      </w:r>
      <w:r>
        <w:t>used</w:t>
      </w:r>
      <w:r w:rsidR="00E15E1B">
        <w:t xml:space="preserve"> </w:t>
      </w:r>
      <w:r>
        <w:t>our</w:t>
      </w:r>
      <w:r w:rsidR="00E15E1B">
        <w:t xml:space="preserve"> </w:t>
      </w:r>
      <w:r>
        <w:t>financial</w:t>
      </w:r>
      <w:r w:rsidR="00E15E1B">
        <w:t xml:space="preserve"> </w:t>
      </w:r>
      <w:r>
        <w:t>counselling</w:t>
      </w:r>
      <w:r w:rsidR="00E15E1B">
        <w:t xml:space="preserve"> </w:t>
      </w:r>
      <w:r>
        <w:t>service</w:t>
      </w:r>
      <w:r w:rsidR="00E15E1B">
        <w:t xml:space="preserve"> </w:t>
      </w:r>
      <w:r>
        <w:t>this</w:t>
      </w:r>
      <w:r w:rsidR="00E15E1B">
        <w:t xml:space="preserve"> </w:t>
      </w:r>
      <w:r>
        <w:t>year,</w:t>
      </w:r>
      <w:r w:rsidR="00E15E1B">
        <w:t xml:space="preserve"> </w:t>
      </w:r>
      <w:r>
        <w:t>including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2,400</w:t>
      </w:r>
      <w:r w:rsidR="00E15E1B">
        <w:t xml:space="preserve"> </w:t>
      </w:r>
      <w:r>
        <w:t>victims</w:t>
      </w:r>
      <w:r w:rsidR="00E15E1B">
        <w:t xml:space="preserve"> </w:t>
      </w:r>
      <w:r>
        <w:t>of</w:t>
      </w:r>
      <w:r w:rsidR="00E15E1B">
        <w:t xml:space="preserve"> </w:t>
      </w:r>
      <w:r>
        <w:t>family</w:t>
      </w:r>
      <w:r w:rsidR="00E15E1B">
        <w:t xml:space="preserve"> </w:t>
      </w:r>
      <w:r>
        <w:t>violence</w:t>
      </w:r>
      <w:r w:rsidR="00E15E1B">
        <w:t xml:space="preserve"> </w:t>
      </w:r>
      <w:r>
        <w:t>through</w:t>
      </w:r>
      <w:r w:rsidR="00E15E1B">
        <w:t xml:space="preserve"> </w:t>
      </w:r>
      <w:r>
        <w:t>our</w:t>
      </w:r>
      <w:r w:rsidR="00E15E1B">
        <w:t xml:space="preserve"> </w:t>
      </w:r>
      <w:r>
        <w:t>specialist</w:t>
      </w:r>
      <w:r w:rsidR="00E15E1B">
        <w:t xml:space="preserve"> </w:t>
      </w:r>
      <w:r>
        <w:t>family</w:t>
      </w:r>
      <w:r w:rsidR="00E15E1B">
        <w:t xml:space="preserve"> </w:t>
      </w:r>
      <w:r>
        <w:t>violence</w:t>
      </w:r>
      <w:r w:rsidR="00E15E1B">
        <w:t xml:space="preserve"> </w:t>
      </w:r>
      <w:r>
        <w:t>financial</w:t>
      </w:r>
      <w:r w:rsidR="00E15E1B">
        <w:t xml:space="preserve"> </w:t>
      </w:r>
      <w:r>
        <w:t>counselling</w:t>
      </w:r>
      <w:r w:rsidR="00E15E1B">
        <w:t xml:space="preserve"> </w:t>
      </w:r>
      <w:r>
        <w:t>program.</w:t>
      </w:r>
    </w:p>
    <w:p w:rsidR="00156239" w:rsidRDefault="00156239" w:rsidP="00156239">
      <w:pPr>
        <w:pStyle w:val="BodyText"/>
      </w:pPr>
      <w:r>
        <w:t>Partnerships</w:t>
      </w:r>
      <w:r w:rsidR="00E15E1B">
        <w:t xml:space="preserve"> </w:t>
      </w:r>
      <w:r>
        <w:t>are</w:t>
      </w:r>
      <w:r w:rsidR="00E15E1B">
        <w:t xml:space="preserve"> </w:t>
      </w:r>
      <w:r>
        <w:t>important</w:t>
      </w:r>
      <w:r w:rsidR="00E15E1B">
        <w:t xml:space="preserve"> </w:t>
      </w:r>
      <w:r>
        <w:t>to</w:t>
      </w:r>
      <w:r w:rsidR="00E15E1B">
        <w:t xml:space="preserve"> </w:t>
      </w:r>
      <w:r>
        <w:t>us.</w:t>
      </w:r>
      <w:r w:rsidR="00E15E1B">
        <w:t xml:space="preserve"> </w:t>
      </w:r>
      <w:r>
        <w:t>We</w:t>
      </w:r>
      <w:r w:rsidR="00E15E1B">
        <w:t xml:space="preserve"> </w:t>
      </w:r>
      <w:r>
        <w:t>worked</w:t>
      </w:r>
      <w:r w:rsidR="00E15E1B">
        <w:t xml:space="preserve"> </w:t>
      </w:r>
      <w:r>
        <w:t>closely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Dispute</w:t>
      </w:r>
      <w:r w:rsidR="00E15E1B">
        <w:t xml:space="preserve"> </w:t>
      </w:r>
      <w:r>
        <w:t>Settlement</w:t>
      </w:r>
      <w:r w:rsidR="00E15E1B">
        <w:t xml:space="preserve"> </w:t>
      </w:r>
      <w:r>
        <w:t>Centre</w:t>
      </w:r>
      <w:r w:rsidR="00E15E1B">
        <w:t xml:space="preserve"> </w:t>
      </w:r>
      <w:r>
        <w:t>of</w:t>
      </w:r>
      <w:r w:rsidR="00E15E1B">
        <w:t xml:space="preserve"> </w:t>
      </w:r>
      <w:r>
        <w:t>Victoria,</w:t>
      </w:r>
      <w:r w:rsidR="00E15E1B">
        <w:t xml:space="preserve"> </w:t>
      </w:r>
      <w:r>
        <w:t>transferring</w:t>
      </w:r>
      <w:r w:rsidR="00E15E1B">
        <w:t xml:space="preserve"> </w:t>
      </w:r>
      <w:r>
        <w:t>some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relationship-based</w:t>
      </w:r>
      <w:r w:rsidR="00E15E1B">
        <w:t xml:space="preserve"> </w:t>
      </w:r>
      <w:r>
        <w:t>dispute</w:t>
      </w:r>
      <w:r w:rsidR="00E15E1B">
        <w:t xml:space="preserve"> </w:t>
      </w:r>
      <w:r>
        <w:t>resolution</w:t>
      </w:r>
      <w:r w:rsidR="00E15E1B">
        <w:t xml:space="preserve"> </w:t>
      </w:r>
      <w:r>
        <w:t>services</w:t>
      </w:r>
      <w:r w:rsidR="00E15E1B">
        <w:t xml:space="preserve"> </w:t>
      </w:r>
      <w:r>
        <w:t>to</w:t>
      </w:r>
      <w:r w:rsidR="00E15E1B">
        <w:t xml:space="preserve"> </w:t>
      </w:r>
      <w:r>
        <w:t>this</w:t>
      </w:r>
      <w:r w:rsidR="00E15E1B">
        <w:t xml:space="preserve"> </w:t>
      </w:r>
      <w:r>
        <w:t>team,</w:t>
      </w:r>
      <w:r w:rsidR="00E15E1B">
        <w:t xml:space="preserve"> </w:t>
      </w:r>
      <w:r>
        <w:t>and</w:t>
      </w:r>
      <w:r w:rsidR="00E15E1B">
        <w:t xml:space="preserve"> </w:t>
      </w:r>
      <w:r>
        <w:t>provided</w:t>
      </w:r>
      <w:r w:rsidR="00E15E1B">
        <w:t xml:space="preserve"> </w:t>
      </w:r>
      <w:r>
        <w:t>support</w:t>
      </w:r>
      <w:r w:rsidR="00E15E1B">
        <w:t xml:space="preserve"> </w:t>
      </w:r>
      <w:r>
        <w:t>to</w:t>
      </w:r>
      <w:r w:rsidR="00E15E1B">
        <w:t xml:space="preserve"> </w:t>
      </w:r>
      <w:r>
        <w:t>Domestic</w:t>
      </w:r>
      <w:r w:rsidR="00E15E1B">
        <w:t xml:space="preserve"> </w:t>
      </w:r>
      <w:r>
        <w:t>Building</w:t>
      </w:r>
      <w:r w:rsidR="00E15E1B">
        <w:t xml:space="preserve"> </w:t>
      </w:r>
      <w:r>
        <w:t>Dispute</w:t>
      </w:r>
      <w:r w:rsidR="00E15E1B">
        <w:t xml:space="preserve"> </w:t>
      </w:r>
      <w:r>
        <w:t>Resolution</w:t>
      </w:r>
      <w:r w:rsidR="00E15E1B">
        <w:t xml:space="preserve"> </w:t>
      </w:r>
      <w:r>
        <w:t>Victoria</w:t>
      </w:r>
      <w:r w:rsidR="00E15E1B">
        <w:t xml:space="preserve"> </w:t>
      </w:r>
      <w:r>
        <w:t>during</w:t>
      </w:r>
      <w:r w:rsidR="00E15E1B">
        <w:t xml:space="preserve"> </w:t>
      </w:r>
      <w:r>
        <w:t>a</w:t>
      </w:r>
      <w:r w:rsidR="00E15E1B">
        <w:t xml:space="preserve"> </w:t>
      </w:r>
      <w:r>
        <w:t>year</w:t>
      </w:r>
      <w:r w:rsidR="00E15E1B">
        <w:t xml:space="preserve"> </w:t>
      </w:r>
      <w:r>
        <w:t>of</w:t>
      </w:r>
      <w:r w:rsidR="00E15E1B">
        <w:t xml:space="preserve"> </w:t>
      </w:r>
      <w:r>
        <w:t>high</w:t>
      </w:r>
      <w:r w:rsidR="00E15E1B">
        <w:t xml:space="preserve"> </w:t>
      </w:r>
      <w:r>
        <w:t>demand</w:t>
      </w:r>
      <w:r w:rsidR="00E15E1B">
        <w:t xml:space="preserve"> </w:t>
      </w:r>
      <w:r>
        <w:t>for</w:t>
      </w:r>
      <w:r w:rsidR="00E15E1B">
        <w:t xml:space="preserve"> </w:t>
      </w:r>
      <w:r>
        <w:t>its</w:t>
      </w:r>
      <w:r w:rsidR="00E15E1B">
        <w:t xml:space="preserve"> </w:t>
      </w:r>
      <w:r>
        <w:t>services.</w:t>
      </w:r>
    </w:p>
    <w:p w:rsidR="0084359B" w:rsidRDefault="0084359B" w:rsidP="0084359B">
      <w:pPr>
        <w:pStyle w:val="BodyText"/>
        <w:rPr>
          <w:szCs w:val="20"/>
        </w:rPr>
      </w:pPr>
      <w:r>
        <w:br w:type="page"/>
      </w:r>
    </w:p>
    <w:p w:rsidR="00156239" w:rsidRDefault="00156239" w:rsidP="00156239">
      <w:pPr>
        <w:pStyle w:val="Caption"/>
      </w:pPr>
      <w:r>
        <w:lastRenderedPageBreak/>
        <w:t>Table</w:t>
      </w:r>
      <w:r w:rsidR="00E15E1B">
        <w:t xml:space="preserve"> </w:t>
      </w:r>
      <w:r>
        <w:t>4:</w:t>
      </w:r>
      <w:r w:rsidR="00E15E1B">
        <w:t xml:space="preserve"> </w:t>
      </w:r>
      <w:r>
        <w:t>Information,</w:t>
      </w:r>
      <w:r w:rsidR="00E15E1B">
        <w:t xml:space="preserve"> </w:t>
      </w:r>
      <w:r>
        <w:t>advice</w:t>
      </w:r>
      <w:r w:rsidR="00E15E1B">
        <w:t xml:space="preserve"> </w:t>
      </w:r>
      <w:r>
        <w:t>and</w:t>
      </w:r>
      <w:r w:rsidR="00E15E1B">
        <w:t xml:space="preserve"> </w:t>
      </w:r>
      <w:r>
        <w:t>assistance</w:t>
      </w:r>
      <w:r w:rsidR="00E15E1B">
        <w:t xml:space="preserve"> </w:t>
      </w:r>
      <w:r>
        <w:t>provided</w:t>
      </w:r>
      <w:r w:rsidR="00E15E1B">
        <w:t xml:space="preserve"> </w:t>
      </w:r>
      <w:r>
        <w:t>to</w:t>
      </w:r>
      <w:r w:rsidR="00E15E1B">
        <w:t xml:space="preserve"> </w:t>
      </w:r>
      <w:r>
        <w:t>consumers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5844"/>
        <w:gridCol w:w="1076"/>
        <w:gridCol w:w="1076"/>
        <w:gridCol w:w="1076"/>
      </w:tblGrid>
      <w:tr w:rsidR="00156239" w:rsidRPr="00625180" w:rsidTr="00104254">
        <w:trPr>
          <w:trHeight w:val="60"/>
          <w:tblHeader/>
        </w:trPr>
        <w:tc>
          <w:tcPr>
            <w:tcW w:w="6236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Pr="00625180" w:rsidRDefault="00156239" w:rsidP="0083734C">
            <w:pPr>
              <w:pStyle w:val="TableColHead"/>
            </w:pP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41A61">
            <w:pPr>
              <w:pStyle w:val="TableColHeadRight"/>
            </w:pPr>
            <w:r>
              <w:t>2015–16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41A61">
            <w:pPr>
              <w:pStyle w:val="TableColHeadRight"/>
            </w:pPr>
            <w:r>
              <w:t>2016–17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41A61">
            <w:pPr>
              <w:pStyle w:val="TableColHeadRight"/>
            </w:pPr>
            <w:r>
              <w:t>2017–18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4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Information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advice</w:t>
            </w:r>
          </w:p>
        </w:tc>
      </w:tr>
      <w:tr w:rsidR="00156239" w:rsidRPr="00F41A61" w:rsidTr="00104254">
        <w:trPr>
          <w:trHeight w:val="398"/>
        </w:trPr>
        <w:tc>
          <w:tcPr>
            <w:tcW w:w="623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Calls</w:t>
            </w:r>
            <w:r w:rsidR="00E15E1B">
              <w:t xml:space="preserve"> </w:t>
            </w:r>
            <w:r>
              <w:t>answered</w:t>
            </w:r>
            <w:r>
              <w:rPr>
                <w:rStyle w:val="Superscript"/>
              </w:rPr>
              <w:t>1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349,985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325,773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304,048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4"/>
            <w:shd w:val="clear" w:color="auto" w:fill="EBF4FB"/>
          </w:tcPr>
          <w:p w:rsidR="00156239" w:rsidRDefault="00156239" w:rsidP="00FC025D">
            <w:pPr>
              <w:pStyle w:val="TableTextBold"/>
            </w:pPr>
            <w:r>
              <w:t>Advice</w:t>
            </w:r>
            <w:r w:rsidR="00E15E1B">
              <w:t xml:space="preserve"> </w:t>
            </w:r>
            <w:r>
              <w:t>provided</w:t>
            </w:r>
            <w:r w:rsidR="00E15E1B">
              <w:t xml:space="preserve"> </w:t>
            </w:r>
            <w:r>
              <w:t>to</w:t>
            </w:r>
            <w:r w:rsidR="00E15E1B">
              <w:t xml:space="preserve"> </w:t>
            </w:r>
            <w:r>
              <w:t>resolve</w:t>
            </w:r>
            <w:r w:rsidR="00E15E1B">
              <w:t xml:space="preserve"> </w:t>
            </w:r>
            <w:r>
              <w:t>disputes</w:t>
            </w:r>
          </w:p>
        </w:tc>
      </w:tr>
      <w:tr w:rsidR="00156239" w:rsidRPr="00F41A61" w:rsidTr="00104254">
        <w:trPr>
          <w:trHeight w:val="60"/>
        </w:trPr>
        <w:tc>
          <w:tcPr>
            <w:tcW w:w="623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Disputes</w:t>
            </w:r>
            <w:r w:rsidR="00E15E1B">
              <w:t xml:space="preserve"> </w:t>
            </w:r>
            <w:r>
              <w:t>finalised</w:t>
            </w:r>
            <w:r>
              <w:rPr>
                <w:rStyle w:val="Superscript"/>
              </w:rPr>
              <w:t>2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8,409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8,656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6,827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4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Digital</w:t>
            </w:r>
          </w:p>
        </w:tc>
      </w:tr>
      <w:tr w:rsidR="00156239" w:rsidRPr="00F41A61" w:rsidTr="00104254">
        <w:trPr>
          <w:trHeight w:val="60"/>
        </w:trPr>
        <w:tc>
          <w:tcPr>
            <w:tcW w:w="623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Website</w:t>
            </w:r>
            <w:r w:rsidR="00E15E1B">
              <w:t xml:space="preserve"> </w:t>
            </w:r>
            <w:r>
              <w:t>visits</w:t>
            </w:r>
            <w:r>
              <w:rPr>
                <w:rStyle w:val="Superscript"/>
              </w:rPr>
              <w:t>3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2,920,107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3,425,370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3,603,610</w:t>
            </w:r>
          </w:p>
        </w:tc>
      </w:tr>
      <w:tr w:rsidR="00156239" w:rsidRPr="00F41A61" w:rsidTr="00104254">
        <w:trPr>
          <w:trHeight w:val="60"/>
        </w:trPr>
        <w:tc>
          <w:tcPr>
            <w:tcW w:w="623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Letters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email</w:t>
            </w:r>
            <w:r w:rsidR="00E15E1B">
              <w:t xml:space="preserve"> </w:t>
            </w:r>
            <w:r>
              <w:t>contacts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62,669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59,525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65,378</w:t>
            </w:r>
          </w:p>
        </w:tc>
      </w:tr>
      <w:tr w:rsidR="00156239" w:rsidRPr="00F41A61" w:rsidTr="00104254">
        <w:trPr>
          <w:trHeight w:val="60"/>
        </w:trPr>
        <w:tc>
          <w:tcPr>
            <w:tcW w:w="623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Twitter</w:t>
            </w:r>
            <w:r w:rsidR="00E15E1B">
              <w:t xml:space="preserve"> </w:t>
            </w:r>
            <w:r>
              <w:t>followers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8,120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9,487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10,175</w:t>
            </w:r>
          </w:p>
        </w:tc>
      </w:tr>
      <w:tr w:rsidR="00156239" w:rsidRPr="00F41A61" w:rsidTr="00104254">
        <w:trPr>
          <w:trHeight w:val="60"/>
        </w:trPr>
        <w:tc>
          <w:tcPr>
            <w:tcW w:w="623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Facebook</w:t>
            </w:r>
            <w:r w:rsidR="00E15E1B">
              <w:t xml:space="preserve"> </w:t>
            </w:r>
            <w:r>
              <w:t>page</w:t>
            </w:r>
            <w:r w:rsidR="00E15E1B">
              <w:t xml:space="preserve"> </w:t>
            </w:r>
            <w:r>
              <w:t>likes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28,548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36,555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42,600</w:t>
            </w:r>
          </w:p>
        </w:tc>
      </w:tr>
      <w:tr w:rsidR="00156239" w:rsidRPr="00F41A61" w:rsidTr="00104254">
        <w:trPr>
          <w:trHeight w:val="60"/>
        </w:trPr>
        <w:tc>
          <w:tcPr>
            <w:tcW w:w="623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YouTube</w:t>
            </w:r>
            <w:r w:rsidR="00E15E1B">
              <w:t xml:space="preserve"> </w:t>
            </w:r>
            <w:r>
              <w:t>video</w:t>
            </w:r>
            <w:r w:rsidR="00E15E1B">
              <w:t xml:space="preserve"> </w:t>
            </w:r>
            <w:r>
              <w:t>views</w:t>
            </w:r>
            <w:r>
              <w:rPr>
                <w:rStyle w:val="Superscript"/>
              </w:rPr>
              <w:t>4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52,526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72,488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371,759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4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Community</w:t>
            </w:r>
            <w:r w:rsidR="00E15E1B">
              <w:t xml:space="preserve"> </w:t>
            </w:r>
            <w:r>
              <w:t>information</w:t>
            </w:r>
          </w:p>
        </w:tc>
      </w:tr>
      <w:tr w:rsidR="00156239" w:rsidRPr="00F41A61" w:rsidTr="00104254">
        <w:trPr>
          <w:trHeight w:val="60"/>
        </w:trPr>
        <w:tc>
          <w:tcPr>
            <w:tcW w:w="623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Information</w:t>
            </w:r>
            <w:r w:rsidR="00E15E1B">
              <w:t xml:space="preserve"> </w:t>
            </w:r>
            <w:r>
              <w:t>sessions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831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946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936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4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Face-to-face</w:t>
            </w:r>
            <w:r w:rsidR="00E15E1B">
              <w:t xml:space="preserve"> </w:t>
            </w:r>
            <w:r>
              <w:t>or</w:t>
            </w:r>
            <w:r w:rsidR="00E15E1B">
              <w:t xml:space="preserve"> </w:t>
            </w:r>
            <w:r>
              <w:t>intensive</w:t>
            </w:r>
            <w:r w:rsidR="00E15E1B">
              <w:t xml:space="preserve"> </w:t>
            </w:r>
            <w:r>
              <w:t>assistance</w:t>
            </w:r>
            <w:r w:rsidR="00E15E1B">
              <w:t xml:space="preserve"> </w:t>
            </w:r>
            <w:r>
              <w:t>(funded</w:t>
            </w:r>
            <w:r w:rsidR="00E15E1B">
              <w:t xml:space="preserve"> </w:t>
            </w:r>
            <w:r>
              <w:t>community</w:t>
            </w:r>
            <w:r w:rsidR="00E15E1B">
              <w:t xml:space="preserve"> </w:t>
            </w:r>
            <w:r>
              <w:t>services)</w:t>
            </w:r>
          </w:p>
        </w:tc>
      </w:tr>
      <w:tr w:rsidR="00156239" w:rsidRPr="00F41A61" w:rsidTr="00104254">
        <w:trPr>
          <w:trHeight w:val="60"/>
        </w:trPr>
        <w:tc>
          <w:tcPr>
            <w:tcW w:w="623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Victorians</w:t>
            </w:r>
            <w:r w:rsidR="00E15E1B">
              <w:t xml:space="preserve"> </w:t>
            </w:r>
            <w:r>
              <w:t>assisted</w:t>
            </w:r>
            <w:r w:rsidR="00E15E1B">
              <w:t xml:space="preserve"> </w:t>
            </w:r>
            <w:r>
              <w:t>under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>
              <w:t>Consumer</w:t>
            </w:r>
            <w:r w:rsidR="00E15E1B">
              <w:t xml:space="preserve"> </w:t>
            </w:r>
            <w:r>
              <w:t>Assistance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Advocacy</w:t>
            </w:r>
            <w:r w:rsidR="00E15E1B">
              <w:t xml:space="preserve"> </w:t>
            </w:r>
            <w:r>
              <w:t>Program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429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430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618</w:t>
            </w:r>
          </w:p>
        </w:tc>
      </w:tr>
      <w:tr w:rsidR="00156239" w:rsidRPr="00F41A61" w:rsidTr="00104254">
        <w:trPr>
          <w:trHeight w:val="60"/>
        </w:trPr>
        <w:tc>
          <w:tcPr>
            <w:tcW w:w="623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Clients</w:t>
            </w:r>
            <w:r w:rsidR="00E15E1B">
              <w:t xml:space="preserve"> </w:t>
            </w:r>
            <w:r>
              <w:t>assisted</w:t>
            </w:r>
            <w:r w:rsidR="00E15E1B">
              <w:t xml:space="preserve"> </w:t>
            </w:r>
            <w:r>
              <w:t>with</w:t>
            </w:r>
            <w:r w:rsidR="00E15E1B">
              <w:t xml:space="preserve"> </w:t>
            </w:r>
            <w:r>
              <w:t>financial</w:t>
            </w:r>
            <w:r w:rsidR="00E15E1B">
              <w:t xml:space="preserve"> </w:t>
            </w:r>
            <w:r>
              <w:t>counselling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34,139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31,106</w:t>
            </w:r>
          </w:p>
        </w:tc>
        <w:tc>
          <w:tcPr>
            <w:tcW w:w="1134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32,839</w:t>
            </w:r>
          </w:p>
        </w:tc>
      </w:tr>
    </w:tbl>
    <w:p w:rsidR="00156239" w:rsidRDefault="00156239" w:rsidP="00156239">
      <w:pPr>
        <w:pStyle w:val="TableFootnote"/>
      </w:pPr>
      <w:r>
        <w:t>1</w:t>
      </w:r>
      <w:r>
        <w:tab/>
        <w:t>An</w:t>
      </w:r>
      <w:r w:rsidR="00E15E1B">
        <w:t xml:space="preserve"> </w:t>
      </w:r>
      <w:r>
        <w:t>increase</w:t>
      </w:r>
      <w:r w:rsidR="00E15E1B">
        <w:t xml:space="preserve"> </w:t>
      </w:r>
      <w:r>
        <w:t>in</w:t>
      </w:r>
      <w:r w:rsidR="00E15E1B">
        <w:t xml:space="preserve"> </w:t>
      </w:r>
      <w:r>
        <w:t>uptake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digital</w:t>
      </w:r>
      <w:r w:rsidR="00E15E1B">
        <w:t xml:space="preserve"> </w:t>
      </w:r>
      <w:r>
        <w:t>services</w:t>
      </w:r>
      <w:r w:rsidR="00E15E1B">
        <w:t xml:space="preserve"> </w:t>
      </w:r>
      <w:r>
        <w:t>resulted</w:t>
      </w:r>
      <w:r w:rsidR="00E15E1B">
        <w:t xml:space="preserve"> </w:t>
      </w:r>
      <w:r>
        <w:t>in</w:t>
      </w:r>
      <w:r w:rsidR="00E15E1B">
        <w:t xml:space="preserve"> </w:t>
      </w:r>
      <w:r>
        <w:t>a</w:t>
      </w:r>
      <w:r w:rsidR="00E15E1B">
        <w:t xml:space="preserve"> </w:t>
      </w:r>
      <w:r>
        <w:t>reduced</w:t>
      </w:r>
      <w:r w:rsidR="00E15E1B">
        <w:t xml:space="preserve"> </w:t>
      </w:r>
      <w:r>
        <w:t>need</w:t>
      </w:r>
      <w:r w:rsidR="00E15E1B">
        <w:t xml:space="preserve"> </w:t>
      </w:r>
      <w:r>
        <w:t>for</w:t>
      </w:r>
      <w:r w:rsidR="00E15E1B">
        <w:t xml:space="preserve"> </w:t>
      </w:r>
      <w:r>
        <w:t>further</w:t>
      </w:r>
      <w:r w:rsidR="00E15E1B">
        <w:t xml:space="preserve"> </w:t>
      </w:r>
      <w:r>
        <w:t>telephone</w:t>
      </w:r>
      <w:r w:rsidR="00E15E1B">
        <w:t xml:space="preserve"> </w:t>
      </w:r>
      <w:r>
        <w:t>assistance.</w:t>
      </w:r>
    </w:p>
    <w:p w:rsidR="00156239" w:rsidRDefault="00156239" w:rsidP="00156239">
      <w:pPr>
        <w:pStyle w:val="TableFootnote"/>
      </w:pPr>
      <w:r>
        <w:t>2</w:t>
      </w:r>
      <w:r>
        <w:tab/>
        <w:t>A</w:t>
      </w:r>
      <w:r w:rsidR="00E15E1B">
        <w:t xml:space="preserve"> </w:t>
      </w:r>
      <w:r>
        <w:t>new</w:t>
      </w:r>
      <w:r w:rsidR="00E15E1B">
        <w:t xml:space="preserve"> </w:t>
      </w:r>
      <w:r>
        <w:t>model</w:t>
      </w:r>
      <w:r w:rsidR="00E15E1B">
        <w:t xml:space="preserve"> </w:t>
      </w:r>
      <w:r>
        <w:t>of</w:t>
      </w:r>
      <w:r w:rsidR="00E15E1B">
        <w:t xml:space="preserve"> </w:t>
      </w:r>
      <w:r>
        <w:t>dispute</w:t>
      </w:r>
      <w:r w:rsidR="00E15E1B">
        <w:t xml:space="preserve"> </w:t>
      </w:r>
      <w:r>
        <w:t>resolution</w:t>
      </w:r>
      <w:r w:rsidR="00E15E1B">
        <w:t xml:space="preserve"> </w:t>
      </w:r>
      <w:r>
        <w:t>focused</w:t>
      </w:r>
      <w:r w:rsidR="00E15E1B">
        <w:t xml:space="preserve"> </w:t>
      </w:r>
      <w:r>
        <w:t>on</w:t>
      </w:r>
      <w:r w:rsidR="00E15E1B">
        <w:t xml:space="preserve"> </w:t>
      </w:r>
      <w:r>
        <w:t>front-line</w:t>
      </w:r>
      <w:r w:rsidR="00E15E1B">
        <w:t xml:space="preserve"> </w:t>
      </w:r>
      <w:r>
        <w:t>compliance</w:t>
      </w:r>
      <w:r w:rsidR="00E15E1B">
        <w:t xml:space="preserve"> </w:t>
      </w:r>
      <w:r>
        <w:t>and</w:t>
      </w:r>
      <w:r w:rsidR="00E15E1B">
        <w:t xml:space="preserve"> </w:t>
      </w:r>
      <w:r>
        <w:t>resolution,</w:t>
      </w:r>
      <w:r w:rsidR="00E15E1B">
        <w:t xml:space="preserve"> </w:t>
      </w:r>
      <w:r>
        <w:t>together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establishment</w:t>
      </w:r>
      <w:r w:rsidR="00E15E1B">
        <w:t xml:space="preserve"> </w:t>
      </w:r>
      <w:r>
        <w:t>of</w:t>
      </w:r>
      <w:r w:rsidR="00E15E1B">
        <w:t xml:space="preserve"> </w:t>
      </w:r>
      <w:r>
        <w:t>Domestic</w:t>
      </w:r>
      <w:r w:rsidR="00E15E1B">
        <w:t xml:space="preserve"> </w:t>
      </w:r>
      <w:r>
        <w:t>Building</w:t>
      </w:r>
      <w:r w:rsidR="00E15E1B">
        <w:t xml:space="preserve"> </w:t>
      </w:r>
      <w:r>
        <w:t>Dispute</w:t>
      </w:r>
      <w:r w:rsidR="00E15E1B">
        <w:t xml:space="preserve"> </w:t>
      </w:r>
      <w:r>
        <w:t>Resolution</w:t>
      </w:r>
      <w:r w:rsidR="00E15E1B">
        <w:t xml:space="preserve"> </w:t>
      </w:r>
      <w:r>
        <w:t>Victoria</w:t>
      </w:r>
      <w:r w:rsidR="00E15E1B">
        <w:t xml:space="preserve"> </w:t>
      </w:r>
      <w:r>
        <w:t>and</w:t>
      </w:r>
      <w:r w:rsidR="00E15E1B">
        <w:t xml:space="preserve"> </w:t>
      </w:r>
      <w:r>
        <w:t>website</w:t>
      </w:r>
      <w:r w:rsidR="00E15E1B">
        <w:t xml:space="preserve"> </w:t>
      </w:r>
      <w:r>
        <w:t>improvements,</w:t>
      </w:r>
      <w:r w:rsidR="00E15E1B">
        <w:t xml:space="preserve"> </w:t>
      </w:r>
      <w:r>
        <w:t>have</w:t>
      </w:r>
      <w:r w:rsidR="00E15E1B">
        <w:t xml:space="preserve"> </w:t>
      </w:r>
      <w:r>
        <w:t>resulted</w:t>
      </w:r>
      <w:r w:rsidR="00E15E1B">
        <w:t xml:space="preserve"> </w:t>
      </w:r>
      <w:r>
        <w:t>in</w:t>
      </w:r>
      <w:r w:rsidR="00E15E1B">
        <w:t xml:space="preserve"> </w:t>
      </w:r>
      <w:r>
        <w:t>a</w:t>
      </w:r>
      <w:r w:rsidR="00E15E1B">
        <w:t xml:space="preserve"> </w:t>
      </w:r>
      <w:r>
        <w:t>decrease</w:t>
      </w:r>
      <w:r w:rsidR="00E15E1B">
        <w:t xml:space="preserve"> </w:t>
      </w:r>
      <w:r>
        <w:t>in</w:t>
      </w:r>
      <w:r w:rsidR="00E15E1B">
        <w:t xml:space="preserve"> </w:t>
      </w:r>
      <w:r>
        <w:t>disputes</w:t>
      </w:r>
      <w:r w:rsidR="00E15E1B">
        <w:t xml:space="preserve"> </w:t>
      </w:r>
      <w:r>
        <w:t>finalised.</w:t>
      </w:r>
    </w:p>
    <w:p w:rsidR="00156239" w:rsidRDefault="00156239" w:rsidP="00156239">
      <w:pPr>
        <w:pStyle w:val="TableFootnote"/>
      </w:pPr>
      <w:r>
        <w:t>3</w:t>
      </w:r>
      <w:r>
        <w:tab/>
        <w:t>CAV</w:t>
      </w:r>
      <w:r w:rsidR="00E15E1B">
        <w:t xml:space="preserve"> </w:t>
      </w:r>
      <w:r>
        <w:t>website</w:t>
      </w:r>
      <w:r w:rsidR="00E15E1B">
        <w:t xml:space="preserve"> </w:t>
      </w:r>
      <w:r>
        <w:t>visits</w:t>
      </w:r>
      <w:r w:rsidR="00E15E1B">
        <w:t xml:space="preserve"> </w:t>
      </w:r>
      <w:r>
        <w:t>for</w:t>
      </w:r>
      <w:r w:rsidR="00E15E1B">
        <w:t xml:space="preserve"> </w:t>
      </w:r>
      <w:r>
        <w:t>2015–16</w:t>
      </w:r>
      <w:r w:rsidR="00E15E1B">
        <w:t xml:space="preserve"> </w:t>
      </w:r>
      <w:r>
        <w:t>and</w:t>
      </w:r>
      <w:r w:rsidR="00E15E1B">
        <w:t xml:space="preserve"> </w:t>
      </w:r>
      <w:r>
        <w:t>2016–17</w:t>
      </w:r>
      <w:r w:rsidR="00E15E1B">
        <w:t xml:space="preserve"> </w:t>
      </w:r>
      <w:r>
        <w:t>have</w:t>
      </w:r>
      <w:r w:rsidR="00E15E1B">
        <w:t xml:space="preserve"> </w:t>
      </w:r>
      <w:r>
        <w:t>been</w:t>
      </w:r>
      <w:r w:rsidR="00E15E1B">
        <w:t xml:space="preserve"> </w:t>
      </w:r>
      <w:r>
        <w:t>adjusted</w:t>
      </w:r>
      <w:r w:rsidR="00E15E1B">
        <w:t xml:space="preserve"> </w:t>
      </w:r>
      <w:r>
        <w:t>to</w:t>
      </w:r>
      <w:r w:rsidR="00E15E1B">
        <w:t xml:space="preserve"> </w:t>
      </w:r>
      <w:r>
        <w:t>remove</w:t>
      </w:r>
      <w:r w:rsidR="00E15E1B">
        <w:t xml:space="preserve"> </w:t>
      </w:r>
      <w:r>
        <w:t>previously</w:t>
      </w:r>
      <w:r w:rsidR="00E15E1B">
        <w:t xml:space="preserve"> </w:t>
      </w:r>
      <w:r>
        <w:t>reported</w:t>
      </w:r>
      <w:r w:rsidR="00E15E1B">
        <w:t xml:space="preserve"> </w:t>
      </w:r>
      <w:r>
        <w:t>sessions</w:t>
      </w:r>
      <w:r w:rsidR="00E15E1B">
        <w:t xml:space="preserve"> </w:t>
      </w:r>
      <w:r>
        <w:t>attributed</w:t>
      </w:r>
      <w:r w:rsidR="00E15E1B">
        <w:t xml:space="preserve"> </w:t>
      </w:r>
      <w:r>
        <w:t>to</w:t>
      </w:r>
      <w:r w:rsidR="00E15E1B">
        <w:t xml:space="preserve"> </w:t>
      </w:r>
      <w:r>
        <w:t>uptime</w:t>
      </w:r>
      <w:r w:rsidR="00E15E1B">
        <w:t xml:space="preserve"> </w:t>
      </w:r>
      <w:r>
        <w:t>monitoring.</w:t>
      </w:r>
    </w:p>
    <w:p w:rsidR="00156239" w:rsidRDefault="00156239" w:rsidP="00156239">
      <w:pPr>
        <w:pStyle w:val="TableFootnote"/>
      </w:pPr>
      <w:r>
        <w:t>4</w:t>
      </w:r>
      <w:r>
        <w:tab/>
        <w:t>The</w:t>
      </w:r>
      <w:r w:rsidR="00E15E1B">
        <w:t xml:space="preserve"> </w:t>
      </w:r>
      <w:r>
        <w:t>release</w:t>
      </w:r>
      <w:r w:rsidR="00E15E1B">
        <w:t xml:space="preserve"> </w:t>
      </w:r>
      <w:r>
        <w:t>of</w:t>
      </w:r>
      <w:r w:rsidR="00E15E1B">
        <w:t xml:space="preserve"> </w:t>
      </w:r>
      <w:r>
        <w:t>three</w:t>
      </w:r>
      <w:r w:rsidR="00E15E1B">
        <w:t xml:space="preserve"> </w:t>
      </w:r>
      <w:r>
        <w:t>scam</w:t>
      </w:r>
      <w:r w:rsidR="00E15E1B">
        <w:t xml:space="preserve"> </w:t>
      </w:r>
      <w:r>
        <w:t>videos</w:t>
      </w:r>
      <w:r w:rsidR="00E15E1B">
        <w:t xml:space="preserve"> </w:t>
      </w:r>
      <w:r>
        <w:t>in</w:t>
      </w:r>
      <w:r w:rsidR="00E15E1B">
        <w:t xml:space="preserve"> </w:t>
      </w:r>
      <w:r>
        <w:t>May</w:t>
      </w:r>
      <w:r w:rsidR="00E15E1B">
        <w:t xml:space="preserve"> </w:t>
      </w:r>
      <w:r>
        <w:t>2018</w:t>
      </w:r>
      <w:r w:rsidR="00E15E1B">
        <w:t xml:space="preserve"> </w:t>
      </w:r>
      <w:r>
        <w:t>largely</w:t>
      </w:r>
      <w:r w:rsidR="00E15E1B">
        <w:t xml:space="preserve"> </w:t>
      </w:r>
      <w:r>
        <w:t>influenced</w:t>
      </w:r>
      <w:r w:rsidR="00E15E1B">
        <w:t xml:space="preserve"> </w:t>
      </w:r>
      <w:r>
        <w:t>the</w:t>
      </w:r>
      <w:r w:rsidR="00E15E1B">
        <w:t xml:space="preserve"> </w:t>
      </w:r>
      <w:r>
        <w:t>increase</w:t>
      </w:r>
      <w:r w:rsidR="00E15E1B">
        <w:t xml:space="preserve"> </w:t>
      </w:r>
      <w:r>
        <w:t>in</w:t>
      </w:r>
      <w:r w:rsidR="00E15E1B">
        <w:t xml:space="preserve"> </w:t>
      </w:r>
      <w:r>
        <w:t>YouTube</w:t>
      </w:r>
      <w:r w:rsidR="00E15E1B">
        <w:t xml:space="preserve"> </w:t>
      </w:r>
      <w:r>
        <w:t>video</w:t>
      </w:r>
      <w:r w:rsidR="00E15E1B">
        <w:t xml:space="preserve"> </w:t>
      </w:r>
      <w:r>
        <w:t>views.</w:t>
      </w:r>
    </w:p>
    <w:p w:rsidR="00156239" w:rsidRDefault="00156239" w:rsidP="00156239">
      <w:pPr>
        <w:pStyle w:val="Heading4"/>
      </w:pPr>
      <w:r>
        <w:t>Family</w:t>
      </w:r>
      <w:r w:rsidR="00E15E1B">
        <w:t xml:space="preserve"> </w:t>
      </w:r>
      <w:r>
        <w:t>violence</w:t>
      </w:r>
      <w:r w:rsidR="00E15E1B">
        <w:t xml:space="preserve"> </w:t>
      </w:r>
      <w:r>
        <w:t>training</w:t>
      </w:r>
      <w:r w:rsidR="00E15E1B">
        <w:t xml:space="preserve"> </w:t>
      </w:r>
      <w:r>
        <w:t>to</w:t>
      </w:r>
      <w:r w:rsidR="00E15E1B">
        <w:t xml:space="preserve"> </w:t>
      </w:r>
      <w:r>
        <w:t>tackle</w:t>
      </w:r>
      <w:r w:rsidR="00E15E1B">
        <w:t xml:space="preserve"> </w:t>
      </w:r>
      <w:r>
        <w:t>economic</w:t>
      </w:r>
      <w:r w:rsidR="00E15E1B">
        <w:t xml:space="preserve"> </w:t>
      </w:r>
      <w:r>
        <w:t>abuse</w:t>
      </w:r>
    </w:p>
    <w:p w:rsidR="00156239" w:rsidRDefault="00156239" w:rsidP="00156239">
      <w:pPr>
        <w:pStyle w:val="BodyText"/>
      </w:pPr>
      <w:r>
        <w:t>To</w:t>
      </w:r>
      <w:r w:rsidR="00E15E1B">
        <w:t xml:space="preserve"> </w:t>
      </w:r>
      <w:r>
        <w:t>support</w:t>
      </w:r>
      <w:r w:rsidR="00E15E1B">
        <w:t xml:space="preserve"> </w:t>
      </w:r>
      <w:r>
        <w:t>victims</w:t>
      </w:r>
      <w:r w:rsidR="00E15E1B">
        <w:t xml:space="preserve"> </w:t>
      </w:r>
      <w:r>
        <w:t>of</w:t>
      </w:r>
      <w:r w:rsidR="00E15E1B">
        <w:t xml:space="preserve"> </w:t>
      </w:r>
      <w:r>
        <w:t>family</w:t>
      </w:r>
      <w:r w:rsidR="00E15E1B">
        <w:t xml:space="preserve"> </w:t>
      </w:r>
      <w:r>
        <w:t>violence,</w:t>
      </w:r>
      <w:r w:rsidR="00E15E1B">
        <w:t xml:space="preserve"> </w:t>
      </w:r>
      <w:r>
        <w:t>we</w:t>
      </w:r>
      <w:r w:rsidR="00E15E1B">
        <w:t xml:space="preserve"> </w:t>
      </w:r>
      <w:r>
        <w:t>arranged</w:t>
      </w:r>
      <w:r w:rsidR="00E15E1B">
        <w:t xml:space="preserve"> </w:t>
      </w:r>
      <w:r>
        <w:t>training</w:t>
      </w:r>
      <w:r w:rsidR="00E15E1B">
        <w:t xml:space="preserve"> </w:t>
      </w:r>
      <w:r>
        <w:t>to</w:t>
      </w:r>
      <w:r w:rsidR="00E15E1B">
        <w:t xml:space="preserve"> </w:t>
      </w:r>
      <w:r>
        <w:t>almost</w:t>
      </w:r>
      <w:r w:rsidR="00E15E1B">
        <w:t xml:space="preserve"> </w:t>
      </w:r>
      <w:r>
        <w:t>200</w:t>
      </w:r>
      <w:r w:rsidR="00E15E1B">
        <w:t xml:space="preserve"> </w:t>
      </w:r>
      <w:r>
        <w:t>financial</w:t>
      </w:r>
      <w:r w:rsidR="00E15E1B">
        <w:t xml:space="preserve"> </w:t>
      </w:r>
      <w:r>
        <w:t>counsellors</w:t>
      </w:r>
      <w:r w:rsidR="00E15E1B">
        <w:t xml:space="preserve"> </w:t>
      </w:r>
      <w:r>
        <w:t>across</w:t>
      </w:r>
      <w:r w:rsidR="00E15E1B">
        <w:t xml:space="preserve"> </w:t>
      </w:r>
      <w:r>
        <w:t>Victoria</w:t>
      </w:r>
      <w:r w:rsidR="00E15E1B">
        <w:t xml:space="preserve"> </w:t>
      </w:r>
      <w:r>
        <w:t>to</w:t>
      </w:r>
      <w:r w:rsidR="00E15E1B">
        <w:t xml:space="preserve"> </w:t>
      </w:r>
      <w:r>
        <w:t>respond</w:t>
      </w:r>
      <w:r w:rsidR="00E15E1B">
        <w:t xml:space="preserve"> </w:t>
      </w:r>
      <w:r>
        <w:t>to</w:t>
      </w:r>
      <w:r w:rsidR="00E15E1B">
        <w:t xml:space="preserve"> </w:t>
      </w:r>
      <w:r>
        <w:t>economic</w:t>
      </w:r>
      <w:r w:rsidR="00E15E1B">
        <w:t xml:space="preserve"> </w:t>
      </w:r>
      <w:r>
        <w:t>abuse.</w:t>
      </w:r>
      <w:r w:rsidR="00E15E1B">
        <w:t xml:space="preserve"> </w:t>
      </w:r>
      <w:r>
        <w:t>The</w:t>
      </w:r>
      <w:r w:rsidR="00E15E1B">
        <w:t xml:space="preserve"> </w:t>
      </w:r>
      <w:r>
        <w:t>training</w:t>
      </w:r>
      <w:r w:rsidR="00E15E1B">
        <w:t xml:space="preserve"> </w:t>
      </w:r>
      <w:r>
        <w:t>was</w:t>
      </w:r>
      <w:r w:rsidR="00E15E1B">
        <w:t xml:space="preserve"> </w:t>
      </w:r>
      <w:r>
        <w:t>delivered</w:t>
      </w:r>
      <w:r w:rsidR="00E15E1B">
        <w:t xml:space="preserve"> </w:t>
      </w:r>
      <w:r>
        <w:t>by</w:t>
      </w:r>
      <w:r w:rsidR="00E15E1B">
        <w:t xml:space="preserve"> </w:t>
      </w:r>
      <w:r>
        <w:t>Women’s</w:t>
      </w:r>
      <w:r w:rsidR="00E15E1B">
        <w:t xml:space="preserve"> </w:t>
      </w:r>
      <w:r>
        <w:t>Legal</w:t>
      </w:r>
      <w:r w:rsidR="00E15E1B">
        <w:t xml:space="preserve"> </w:t>
      </w:r>
      <w:r>
        <w:t>Service</w:t>
      </w:r>
      <w:r w:rsidR="00E15E1B">
        <w:t xml:space="preserve"> </w:t>
      </w:r>
      <w:r>
        <w:t>Victoria,</w:t>
      </w:r>
      <w:r w:rsidR="00E15E1B">
        <w:t xml:space="preserve"> </w:t>
      </w:r>
      <w:r>
        <w:t>in</w:t>
      </w:r>
      <w:r w:rsidR="00E15E1B">
        <w:t xml:space="preserve"> </w:t>
      </w:r>
      <w:r>
        <w:t>partnership</w:t>
      </w:r>
      <w:r w:rsidR="00E15E1B">
        <w:t xml:space="preserve"> </w:t>
      </w:r>
      <w:r>
        <w:t>with</w:t>
      </w:r>
      <w:r w:rsidR="00E15E1B">
        <w:t xml:space="preserve"> </w:t>
      </w:r>
      <w:r>
        <w:t>Women’s</w:t>
      </w:r>
      <w:r w:rsidR="00E15E1B">
        <w:t xml:space="preserve"> </w:t>
      </w:r>
      <w:r>
        <w:t>Information</w:t>
      </w:r>
      <w:r w:rsidR="00E15E1B">
        <w:t xml:space="preserve"> </w:t>
      </w:r>
      <w:r>
        <w:t>Referral</w:t>
      </w:r>
      <w:r w:rsidR="00E15E1B">
        <w:t xml:space="preserve"> </w:t>
      </w:r>
      <w:r>
        <w:t>Exchange,</w:t>
      </w:r>
      <w:r w:rsidR="00E15E1B">
        <w:t xml:space="preserve"> </w:t>
      </w:r>
      <w:r>
        <w:t>across</w:t>
      </w:r>
      <w:r w:rsidR="00E15E1B">
        <w:t xml:space="preserve"> </w:t>
      </w:r>
      <w:r>
        <w:t>10</w:t>
      </w:r>
      <w:r w:rsidR="00E15E1B">
        <w:t xml:space="preserve"> </w:t>
      </w:r>
      <w:r>
        <w:t>metropolitan</w:t>
      </w:r>
      <w:r w:rsidR="00E15E1B">
        <w:t xml:space="preserve"> </w:t>
      </w:r>
      <w:r>
        <w:t>and</w:t>
      </w:r>
      <w:r w:rsidR="00E15E1B">
        <w:t xml:space="preserve"> </w:t>
      </w:r>
      <w:r>
        <w:t>four</w:t>
      </w:r>
      <w:r w:rsidR="00E15E1B">
        <w:t xml:space="preserve"> </w:t>
      </w:r>
      <w:r>
        <w:t>regional</w:t>
      </w:r>
      <w:r w:rsidR="00E15E1B">
        <w:t xml:space="preserve"> </w:t>
      </w:r>
      <w:r>
        <w:t>locations.</w:t>
      </w:r>
    </w:p>
    <w:p w:rsidR="00156239" w:rsidRDefault="00156239" w:rsidP="00156239">
      <w:pPr>
        <w:pStyle w:val="BodyText"/>
      </w:pPr>
      <w:r>
        <w:t>Financial</w:t>
      </w:r>
      <w:r w:rsidR="00E15E1B">
        <w:t xml:space="preserve"> </w:t>
      </w:r>
      <w:r>
        <w:t>counsellors</w:t>
      </w:r>
      <w:r w:rsidR="00E15E1B">
        <w:t xml:space="preserve"> </w:t>
      </w:r>
      <w:r>
        <w:t>can</w:t>
      </w:r>
      <w:r w:rsidR="00E15E1B">
        <w:t xml:space="preserve"> </w:t>
      </w:r>
      <w:r>
        <w:t>assist</w:t>
      </w:r>
      <w:r w:rsidR="00E15E1B">
        <w:t xml:space="preserve"> </w:t>
      </w:r>
      <w:r>
        <w:t>vulnerable</w:t>
      </w:r>
      <w:r w:rsidR="00E15E1B">
        <w:t xml:space="preserve"> </w:t>
      </w:r>
      <w:r>
        <w:t>women</w:t>
      </w:r>
      <w:r w:rsidR="00E15E1B">
        <w:t xml:space="preserve"> </w:t>
      </w:r>
      <w:r>
        <w:t>who</w:t>
      </w:r>
      <w:r w:rsidR="00E15E1B">
        <w:t xml:space="preserve"> </w:t>
      </w:r>
      <w:r>
        <w:t>have</w:t>
      </w:r>
      <w:r w:rsidR="00E15E1B">
        <w:t xml:space="preserve"> </w:t>
      </w:r>
      <w:r>
        <w:t>experienced</w:t>
      </w:r>
      <w:r w:rsidR="00E15E1B">
        <w:t xml:space="preserve"> </w:t>
      </w:r>
      <w:r>
        <w:t>economic</w:t>
      </w:r>
      <w:r w:rsidR="00E15E1B">
        <w:t xml:space="preserve"> </w:t>
      </w:r>
      <w:r>
        <w:t>abuse</w:t>
      </w:r>
      <w:r w:rsidR="00E15E1B">
        <w:t xml:space="preserve"> </w:t>
      </w:r>
      <w:r>
        <w:t>to</w:t>
      </w:r>
      <w:r w:rsidR="00E15E1B">
        <w:t xml:space="preserve"> </w:t>
      </w:r>
      <w:r>
        <w:t>access</w:t>
      </w:r>
      <w:r w:rsidR="00E15E1B">
        <w:t xml:space="preserve"> </w:t>
      </w:r>
      <w:r>
        <w:t>financial</w:t>
      </w:r>
      <w:r w:rsidR="00E15E1B">
        <w:t xml:space="preserve"> </w:t>
      </w:r>
      <w:r>
        <w:t>hardship</w:t>
      </w:r>
      <w:r w:rsidR="00E15E1B">
        <w:t xml:space="preserve"> </w:t>
      </w:r>
      <w:r>
        <w:t>programs</w:t>
      </w:r>
      <w:r w:rsidR="00E15E1B">
        <w:t xml:space="preserve"> </w:t>
      </w:r>
      <w:r>
        <w:t>and</w:t>
      </w:r>
      <w:r w:rsidR="00E15E1B">
        <w:t xml:space="preserve"> </w:t>
      </w:r>
      <w:r>
        <w:t>negotiate</w:t>
      </w:r>
      <w:r w:rsidR="00E15E1B">
        <w:t xml:space="preserve"> </w:t>
      </w:r>
      <w:r>
        <w:t>with</w:t>
      </w:r>
      <w:r w:rsidR="00E15E1B">
        <w:t xml:space="preserve"> </w:t>
      </w:r>
      <w:r>
        <w:t>creditors</w:t>
      </w:r>
      <w:r w:rsidR="00E15E1B">
        <w:t xml:space="preserve"> </w:t>
      </w:r>
      <w:r>
        <w:t>and</w:t>
      </w:r>
      <w:r w:rsidR="00E15E1B">
        <w:t xml:space="preserve"> </w:t>
      </w:r>
      <w:r>
        <w:t>debt</w:t>
      </w:r>
      <w:r w:rsidR="00E15E1B">
        <w:t xml:space="preserve"> </w:t>
      </w:r>
      <w:r>
        <w:t>collectors</w:t>
      </w:r>
      <w:r w:rsidR="00E15E1B">
        <w:t xml:space="preserve"> </w:t>
      </w:r>
      <w:r>
        <w:t>to</w:t>
      </w:r>
      <w:r w:rsidR="00E15E1B">
        <w:t xml:space="preserve"> </w:t>
      </w:r>
      <w:r>
        <w:t>protect</w:t>
      </w:r>
      <w:r w:rsidR="00E15E1B">
        <w:t xml:space="preserve"> </w:t>
      </w:r>
      <w:r>
        <w:t>assets</w:t>
      </w:r>
      <w:r w:rsidR="00E15E1B">
        <w:t xml:space="preserve"> </w:t>
      </w:r>
      <w:r>
        <w:t>from</w:t>
      </w:r>
      <w:r w:rsidR="00E15E1B">
        <w:t xml:space="preserve"> </w:t>
      </w:r>
      <w:r>
        <w:t>repossession.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</w:t>
      </w:r>
      <w:r w:rsidR="00E15E1B">
        <w:t xml:space="preserve"> </w:t>
      </w:r>
      <w:r>
        <w:t>provided</w:t>
      </w:r>
      <w:r w:rsidR="00E15E1B">
        <w:t xml:space="preserve"> </w:t>
      </w:r>
      <w:r>
        <w:t>$1.5</w:t>
      </w:r>
      <w:r w:rsidR="00E15E1B">
        <w:t xml:space="preserve"> </w:t>
      </w:r>
      <w:r>
        <w:t>million</w:t>
      </w:r>
      <w:r w:rsidR="00E15E1B">
        <w:t xml:space="preserve"> </w:t>
      </w:r>
      <w:r>
        <w:t>for</w:t>
      </w:r>
      <w:r w:rsidR="00E15E1B">
        <w:t xml:space="preserve"> </w:t>
      </w:r>
      <w:r>
        <w:t>a</w:t>
      </w:r>
      <w:r w:rsidR="00E15E1B">
        <w:t xml:space="preserve"> </w:t>
      </w:r>
      <w:r>
        <w:t>specialist</w:t>
      </w:r>
      <w:r w:rsidR="00E15E1B">
        <w:t xml:space="preserve"> </w:t>
      </w:r>
      <w:r>
        <w:t>family</w:t>
      </w:r>
      <w:r w:rsidR="00E15E1B">
        <w:t xml:space="preserve"> </w:t>
      </w:r>
      <w:r>
        <w:t>violence</w:t>
      </w:r>
      <w:r w:rsidR="00E15E1B">
        <w:t xml:space="preserve"> </w:t>
      </w:r>
      <w:r>
        <w:t>financial</w:t>
      </w:r>
      <w:r w:rsidR="00E15E1B">
        <w:t xml:space="preserve"> </w:t>
      </w:r>
      <w:r>
        <w:t>counselling</w:t>
      </w:r>
      <w:r w:rsidR="00E15E1B">
        <w:t xml:space="preserve"> </w:t>
      </w:r>
      <w:r>
        <w:t>service</w:t>
      </w:r>
      <w:r w:rsidR="00E15E1B">
        <w:t xml:space="preserve"> </w:t>
      </w:r>
      <w:r>
        <w:t>this</w:t>
      </w:r>
      <w:r w:rsidR="00E15E1B">
        <w:t xml:space="preserve"> </w:t>
      </w:r>
      <w:r>
        <w:t>financial</w:t>
      </w:r>
      <w:r w:rsidR="00E15E1B">
        <w:t xml:space="preserve"> </w:t>
      </w:r>
      <w:r>
        <w:t>year,</w:t>
      </w:r>
      <w:r w:rsidR="00E15E1B">
        <w:t xml:space="preserve"> </w:t>
      </w:r>
      <w:r>
        <w:t>in</w:t>
      </w:r>
      <w:r w:rsidR="00E15E1B">
        <w:t xml:space="preserve"> </w:t>
      </w:r>
      <w:r>
        <w:t>response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recommendations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Family</w:t>
      </w:r>
      <w:r w:rsidR="00E15E1B">
        <w:t xml:space="preserve"> </w:t>
      </w:r>
      <w:r>
        <w:t>Violence</w:t>
      </w:r>
      <w:r w:rsidR="00E15E1B">
        <w:t xml:space="preserve"> </w:t>
      </w:r>
      <w:r>
        <w:t>Royal</w:t>
      </w:r>
      <w:r w:rsidR="00E15E1B">
        <w:t xml:space="preserve"> </w:t>
      </w:r>
      <w:r>
        <w:t>Commission.</w:t>
      </w:r>
      <w:r w:rsidR="00E15E1B">
        <w:t xml:space="preserve"> </w:t>
      </w:r>
      <w:r>
        <w:t>The</w:t>
      </w:r>
      <w:r w:rsidR="00E15E1B">
        <w:t xml:space="preserve"> </w:t>
      </w:r>
      <w:r>
        <w:t>funding</w:t>
      </w:r>
      <w:r w:rsidR="00E15E1B">
        <w:t xml:space="preserve"> </w:t>
      </w:r>
      <w:r>
        <w:t>provides</w:t>
      </w:r>
      <w:r w:rsidR="00E15E1B">
        <w:t xml:space="preserve"> </w:t>
      </w:r>
      <w:r>
        <w:t>for</w:t>
      </w:r>
      <w:r w:rsidR="00E15E1B">
        <w:t xml:space="preserve"> </w:t>
      </w:r>
      <w:r>
        <w:t>10.6</w:t>
      </w:r>
      <w:r w:rsidR="00E15E1B">
        <w:t xml:space="preserve"> </w:t>
      </w:r>
      <w:r>
        <w:t>full-time</w:t>
      </w:r>
      <w:r w:rsidR="00E15E1B">
        <w:t xml:space="preserve"> </w:t>
      </w:r>
      <w:r>
        <w:t>equivalent</w:t>
      </w:r>
      <w:r w:rsidR="00E15E1B">
        <w:t xml:space="preserve"> </w:t>
      </w:r>
      <w:r>
        <w:t>family</w:t>
      </w:r>
      <w:r w:rsidR="00E15E1B">
        <w:t xml:space="preserve"> </w:t>
      </w:r>
      <w:r>
        <w:t>violence</w:t>
      </w:r>
      <w:r w:rsidR="00E15E1B">
        <w:t xml:space="preserve"> </w:t>
      </w:r>
      <w:r>
        <w:t>financial</w:t>
      </w:r>
      <w:r w:rsidR="00E15E1B">
        <w:t xml:space="preserve"> </w:t>
      </w:r>
      <w:r>
        <w:t>counsellors</w:t>
      </w:r>
      <w:r w:rsidR="00E15E1B">
        <w:t xml:space="preserve"> </w:t>
      </w:r>
      <w:r>
        <w:t>across</w:t>
      </w:r>
      <w:r w:rsidR="00E15E1B">
        <w:t xml:space="preserve"> </w:t>
      </w:r>
      <w:r>
        <w:t>the</w:t>
      </w:r>
      <w:r w:rsidR="00E15E1B">
        <w:t xml:space="preserve"> </w:t>
      </w:r>
      <w:r>
        <w:t>state.</w:t>
      </w:r>
      <w:r w:rsidR="00E15E1B">
        <w:t xml:space="preserve"> </w:t>
      </w:r>
      <w:r>
        <w:t>These</w:t>
      </w:r>
      <w:r w:rsidR="00E15E1B">
        <w:t xml:space="preserve"> </w:t>
      </w:r>
      <w:r>
        <w:t>specialist</w:t>
      </w:r>
      <w:r w:rsidR="00E15E1B">
        <w:t xml:space="preserve"> </w:t>
      </w:r>
      <w:r>
        <w:t>staff</w:t>
      </w:r>
      <w:r w:rsidR="00E15E1B">
        <w:t xml:space="preserve"> </w:t>
      </w:r>
      <w:r>
        <w:t>have</w:t>
      </w:r>
      <w:r w:rsidR="00E15E1B">
        <w:t xml:space="preserve"> </w:t>
      </w:r>
      <w:r>
        <w:t>provided</w:t>
      </w:r>
      <w:r w:rsidR="00E15E1B">
        <w:t xml:space="preserve"> </w:t>
      </w:r>
      <w:r>
        <w:t>services</w:t>
      </w:r>
      <w:r w:rsidR="00E15E1B">
        <w:t xml:space="preserve"> </w:t>
      </w:r>
      <w:r>
        <w:t>to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4,100</w:t>
      </w:r>
      <w:r w:rsidR="00E15E1B">
        <w:t xml:space="preserve"> </w:t>
      </w:r>
      <w:r>
        <w:t>clients</w:t>
      </w:r>
      <w:r w:rsidR="00E15E1B">
        <w:t xml:space="preserve"> </w:t>
      </w:r>
      <w:r>
        <w:t>since</w:t>
      </w:r>
      <w:r w:rsidR="00E15E1B">
        <w:t xml:space="preserve"> </w:t>
      </w:r>
      <w:r>
        <w:t>October</w:t>
      </w:r>
      <w:r w:rsidR="00E15E1B">
        <w:t xml:space="preserve"> </w:t>
      </w:r>
      <w:r>
        <w:t>2016.</w:t>
      </w:r>
    </w:p>
    <w:p w:rsidR="00156239" w:rsidRDefault="00156239" w:rsidP="00156239">
      <w:pPr>
        <w:pStyle w:val="BodyText"/>
      </w:pPr>
      <w:r>
        <w:t>This</w:t>
      </w:r>
      <w:r w:rsidR="00E15E1B">
        <w:t xml:space="preserve"> </w:t>
      </w:r>
      <w:r>
        <w:t>specialist</w:t>
      </w:r>
      <w:r w:rsidR="00E15E1B">
        <w:t xml:space="preserve"> </w:t>
      </w:r>
      <w:r>
        <w:t>service</w:t>
      </w:r>
      <w:r w:rsidR="00E15E1B">
        <w:t xml:space="preserve"> </w:t>
      </w:r>
      <w:r>
        <w:t>is</w:t>
      </w:r>
      <w:r w:rsidR="00E15E1B">
        <w:t xml:space="preserve"> </w:t>
      </w:r>
      <w:r>
        <w:t>an</w:t>
      </w:r>
      <w:r w:rsidR="00E15E1B">
        <w:t xml:space="preserve"> </w:t>
      </w:r>
      <w:r>
        <w:t>extension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existing</w:t>
      </w:r>
      <w:r w:rsidR="00E15E1B">
        <w:t xml:space="preserve"> </w:t>
      </w:r>
      <w:r>
        <w:t>Financial</w:t>
      </w:r>
      <w:r w:rsidR="00E15E1B">
        <w:t xml:space="preserve"> </w:t>
      </w:r>
      <w:r>
        <w:t>Counselling</w:t>
      </w:r>
      <w:r w:rsidR="00E15E1B">
        <w:t xml:space="preserve"> </w:t>
      </w:r>
      <w:r>
        <w:t>Program.</w:t>
      </w:r>
      <w:r w:rsidR="00E15E1B">
        <w:t xml:space="preserve"> </w:t>
      </w:r>
      <w:r>
        <w:t>The</w:t>
      </w:r>
      <w:r w:rsidR="00E15E1B">
        <w:t xml:space="preserve"> </w:t>
      </w:r>
      <w:r>
        <w:t>program</w:t>
      </w:r>
      <w:r w:rsidR="00E15E1B">
        <w:t xml:space="preserve"> </w:t>
      </w:r>
      <w:r>
        <w:t>provides</w:t>
      </w:r>
      <w:r w:rsidR="00E15E1B">
        <w:t xml:space="preserve"> </w:t>
      </w:r>
      <w:r>
        <w:t>free,</w:t>
      </w:r>
      <w:r w:rsidR="00E15E1B">
        <w:t xml:space="preserve"> </w:t>
      </w:r>
      <w:r>
        <w:t>independent</w:t>
      </w:r>
      <w:r w:rsidR="00E15E1B">
        <w:t xml:space="preserve"> </w:t>
      </w:r>
      <w:r>
        <w:t>and</w:t>
      </w:r>
      <w:r w:rsidR="00E15E1B">
        <w:t xml:space="preserve"> </w:t>
      </w:r>
      <w:r>
        <w:t>confidential</w:t>
      </w:r>
      <w:r w:rsidR="00E15E1B">
        <w:t xml:space="preserve"> </w:t>
      </w:r>
      <w:r>
        <w:t>telephone</w:t>
      </w:r>
      <w:r w:rsidR="00E15E1B">
        <w:t xml:space="preserve"> </w:t>
      </w:r>
      <w:r>
        <w:t>or</w:t>
      </w:r>
      <w:r w:rsidR="00E15E1B">
        <w:t xml:space="preserve"> </w:t>
      </w:r>
      <w:r>
        <w:t>face-to-face</w:t>
      </w:r>
      <w:r w:rsidR="00E15E1B">
        <w:t xml:space="preserve"> </w:t>
      </w:r>
      <w:r>
        <w:t>counselling</w:t>
      </w:r>
      <w:r w:rsidR="00E15E1B">
        <w:t xml:space="preserve"> </w:t>
      </w:r>
      <w:r>
        <w:t>sessions</w:t>
      </w:r>
      <w:r w:rsidR="00E15E1B">
        <w:t xml:space="preserve"> </w:t>
      </w:r>
      <w:r>
        <w:t>delivered</w:t>
      </w:r>
      <w:r w:rsidR="00E15E1B">
        <w:t xml:space="preserve"> </w:t>
      </w:r>
      <w:r>
        <w:t>by</w:t>
      </w:r>
      <w:r w:rsidR="00E15E1B">
        <w:t xml:space="preserve"> </w:t>
      </w:r>
      <w:r>
        <w:t>community</w:t>
      </w:r>
      <w:r w:rsidR="00E15E1B">
        <w:t xml:space="preserve"> </w:t>
      </w:r>
      <w:r>
        <w:t>agencies</w:t>
      </w:r>
      <w:r w:rsidR="00E15E1B">
        <w:t xml:space="preserve"> </w:t>
      </w:r>
      <w:r>
        <w:t>across</w:t>
      </w:r>
      <w:r w:rsidR="00E15E1B">
        <w:t xml:space="preserve"> </w:t>
      </w:r>
      <w:r>
        <w:t>Victoria.</w:t>
      </w:r>
      <w:r w:rsidR="00E15E1B">
        <w:t xml:space="preserve"> </w:t>
      </w:r>
      <w:r>
        <w:t>Almost</w:t>
      </w:r>
      <w:r w:rsidR="00E15E1B">
        <w:t xml:space="preserve"> </w:t>
      </w:r>
      <w:r>
        <w:t>33,000</w:t>
      </w:r>
      <w:r w:rsidR="00E15E1B">
        <w:t xml:space="preserve"> </w:t>
      </w:r>
      <w:r>
        <w:t>Victorians</w:t>
      </w:r>
      <w:r w:rsidR="00E15E1B">
        <w:t xml:space="preserve"> </w:t>
      </w:r>
      <w:r>
        <w:t>were</w:t>
      </w:r>
      <w:r w:rsidR="00E15E1B">
        <w:t xml:space="preserve"> </w:t>
      </w:r>
      <w:r>
        <w:t>assisted</w:t>
      </w:r>
      <w:r w:rsidR="00E15E1B">
        <w:t xml:space="preserve"> </w:t>
      </w:r>
      <w:r>
        <w:t>with</w:t>
      </w:r>
      <w:r w:rsidR="00E15E1B">
        <w:t xml:space="preserve"> </w:t>
      </w:r>
      <w:r>
        <w:t>financial</w:t>
      </w:r>
      <w:r w:rsidR="00E15E1B">
        <w:t xml:space="preserve"> </w:t>
      </w:r>
      <w:r>
        <w:t>counselling</w:t>
      </w:r>
      <w:r w:rsidR="00E15E1B">
        <w:t xml:space="preserve"> </w:t>
      </w:r>
      <w:r>
        <w:t>in</w:t>
      </w:r>
      <w:r w:rsidR="00E15E1B">
        <w:t xml:space="preserve"> </w:t>
      </w:r>
      <w:r>
        <w:t>2017–18.</w:t>
      </w:r>
    </w:p>
    <w:p w:rsidR="00156239" w:rsidRDefault="00156239" w:rsidP="00156239">
      <w:pPr>
        <w:pStyle w:val="Heading4"/>
      </w:pPr>
      <w:r>
        <w:lastRenderedPageBreak/>
        <w:t>New</w:t>
      </w:r>
      <w:r w:rsidR="00E15E1B">
        <w:t xml:space="preserve"> </w:t>
      </w:r>
      <w:r>
        <w:t>campaign</w:t>
      </w:r>
      <w:r w:rsidR="00E15E1B">
        <w:t xml:space="preserve"> </w:t>
      </w:r>
      <w:r>
        <w:t>to</w:t>
      </w:r>
      <w:r w:rsidR="00E15E1B">
        <w:t xml:space="preserve"> </w:t>
      </w:r>
      <w:r>
        <w:t>stop</w:t>
      </w:r>
      <w:r w:rsidR="00E15E1B">
        <w:t xml:space="preserve"> </w:t>
      </w:r>
      <w:r>
        <w:t>Victorians</w:t>
      </w:r>
      <w:r w:rsidR="00E15E1B">
        <w:t xml:space="preserve"> </w:t>
      </w:r>
      <w:r>
        <w:t>getting</w:t>
      </w:r>
      <w:r w:rsidR="00E15E1B">
        <w:t xml:space="preserve"> </w:t>
      </w:r>
      <w:r>
        <w:t>scammed</w:t>
      </w:r>
    </w:p>
    <w:p w:rsidR="00156239" w:rsidRDefault="00156239" w:rsidP="00156239">
      <w:pPr>
        <w:pStyle w:val="BodyText"/>
      </w:pPr>
      <w:r>
        <w:t>Scams</w:t>
      </w:r>
      <w:r w:rsidR="00E15E1B">
        <w:t xml:space="preserve"> </w:t>
      </w:r>
      <w:r>
        <w:t>continue</w:t>
      </w:r>
      <w:r w:rsidR="00E15E1B">
        <w:t xml:space="preserve"> </w:t>
      </w:r>
      <w:r>
        <w:t>to</w:t>
      </w:r>
      <w:r w:rsidR="00E15E1B">
        <w:t xml:space="preserve"> </w:t>
      </w:r>
      <w:r>
        <w:t>pose</w:t>
      </w:r>
      <w:r w:rsidR="00E15E1B">
        <w:t xml:space="preserve"> </w:t>
      </w:r>
      <w:r>
        <w:t>a</w:t>
      </w:r>
      <w:r w:rsidR="00E15E1B">
        <w:t xml:space="preserve"> </w:t>
      </w:r>
      <w:r>
        <w:t>risk</w:t>
      </w:r>
      <w:r w:rsidR="00E15E1B">
        <w:t xml:space="preserve"> </w:t>
      </w:r>
      <w:r>
        <w:t>to</w:t>
      </w:r>
      <w:r w:rsidR="00E15E1B">
        <w:t xml:space="preserve"> </w:t>
      </w:r>
      <w:r>
        <w:t>our</w:t>
      </w:r>
      <w:r w:rsidR="00E15E1B">
        <w:t xml:space="preserve"> </w:t>
      </w:r>
      <w:r>
        <w:t>community,</w:t>
      </w:r>
      <w:r w:rsidR="00E15E1B">
        <w:t xml:space="preserve"> </w:t>
      </w:r>
      <w:r>
        <w:t>especially</w:t>
      </w:r>
      <w:r w:rsidR="00E15E1B">
        <w:t xml:space="preserve"> </w:t>
      </w:r>
      <w:r>
        <w:t>older</w:t>
      </w:r>
      <w:r w:rsidR="00E15E1B">
        <w:t xml:space="preserve"> </w:t>
      </w:r>
      <w:r>
        <w:t>Victorians.</w:t>
      </w:r>
      <w:r w:rsidR="00E15E1B">
        <w:t xml:space="preserve"> </w:t>
      </w:r>
      <w:r>
        <w:t>Awareness</w:t>
      </w:r>
      <w:r w:rsidR="00E15E1B">
        <w:t xml:space="preserve"> </w:t>
      </w:r>
      <w:r>
        <w:t>is</w:t>
      </w:r>
      <w:r w:rsidR="00E15E1B">
        <w:t xml:space="preserve"> </w:t>
      </w:r>
      <w:r>
        <w:t>the</w:t>
      </w:r>
      <w:r w:rsidR="00E15E1B">
        <w:t xml:space="preserve"> </w:t>
      </w:r>
      <w:r>
        <w:t>best</w:t>
      </w:r>
      <w:r w:rsidR="00E15E1B">
        <w:t xml:space="preserve"> </w:t>
      </w:r>
      <w:r>
        <w:t>protection.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Australian</w:t>
      </w:r>
      <w:r w:rsidR="00E15E1B">
        <w:t xml:space="preserve"> </w:t>
      </w:r>
      <w:r>
        <w:t>Competition</w:t>
      </w:r>
      <w:r w:rsidR="00E15E1B">
        <w:t xml:space="preserve"> </w:t>
      </w:r>
      <w:r>
        <w:t>and</w:t>
      </w:r>
      <w:r w:rsidR="00E15E1B">
        <w:t xml:space="preserve"> </w:t>
      </w:r>
      <w:r>
        <w:t>Consumer</w:t>
      </w:r>
      <w:r w:rsidR="00E15E1B">
        <w:t xml:space="preserve"> </w:t>
      </w:r>
      <w:r>
        <w:t>Commissioner</w:t>
      </w:r>
      <w:r w:rsidR="00E15E1B">
        <w:t xml:space="preserve"> </w:t>
      </w:r>
      <w:r>
        <w:t>(ACCC)</w:t>
      </w:r>
      <w:r w:rsidR="00E15E1B">
        <w:t xml:space="preserve"> </w:t>
      </w:r>
      <w:r>
        <w:t>reported</w:t>
      </w:r>
      <w:r w:rsidR="00E15E1B">
        <w:t xml:space="preserve"> </w:t>
      </w:r>
      <w:r>
        <w:t>that</w:t>
      </w:r>
      <w:r w:rsidR="00E15E1B">
        <w:t xml:space="preserve"> </w:t>
      </w:r>
      <w:r>
        <w:t>in</w:t>
      </w:r>
      <w:r w:rsidR="00E15E1B">
        <w:t xml:space="preserve"> </w:t>
      </w:r>
      <w:r>
        <w:t>2017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33,000</w:t>
      </w:r>
      <w:r w:rsidR="00E15E1B">
        <w:t xml:space="preserve"> </w:t>
      </w:r>
      <w:r>
        <w:t>scam</w:t>
      </w:r>
      <w:r w:rsidR="00E15E1B">
        <w:t xml:space="preserve"> </w:t>
      </w:r>
      <w:r>
        <w:t>reports</w:t>
      </w:r>
      <w:r w:rsidR="00E15E1B">
        <w:t xml:space="preserve"> </w:t>
      </w:r>
      <w:r>
        <w:t>were</w:t>
      </w:r>
      <w:r w:rsidR="00E15E1B">
        <w:t xml:space="preserve"> </w:t>
      </w:r>
      <w:r>
        <w:t>made</w:t>
      </w:r>
      <w:r w:rsidR="00E15E1B">
        <w:t xml:space="preserve"> </w:t>
      </w:r>
      <w:r>
        <w:t>by</w:t>
      </w:r>
      <w:r w:rsidR="00E15E1B">
        <w:t xml:space="preserve"> </w:t>
      </w:r>
      <w:r>
        <w:t>Victorians,</w:t>
      </w:r>
      <w:r w:rsidR="00E15E1B">
        <w:t xml:space="preserve"> </w:t>
      </w:r>
      <w:r>
        <w:t>accounting</w:t>
      </w:r>
      <w:r w:rsidR="00E15E1B">
        <w:t xml:space="preserve"> </w:t>
      </w:r>
      <w:r>
        <w:t>for</w:t>
      </w:r>
      <w:r w:rsidR="00E15E1B">
        <w:t xml:space="preserve"> </w:t>
      </w:r>
      <w:r>
        <w:t>$22.9</w:t>
      </w:r>
      <w:r w:rsidR="00E15E1B">
        <w:t xml:space="preserve"> </w:t>
      </w:r>
      <w:r>
        <w:t>million</w:t>
      </w:r>
      <w:r w:rsidR="00E15E1B">
        <w:t xml:space="preserve"> </w:t>
      </w:r>
      <w:r>
        <w:t>in</w:t>
      </w:r>
      <w:r w:rsidR="00E15E1B">
        <w:t xml:space="preserve"> </w:t>
      </w:r>
      <w:r>
        <w:t>losses</w:t>
      </w:r>
      <w:r w:rsidR="00E15E1B">
        <w:t xml:space="preserve"> </w:t>
      </w:r>
      <w:r>
        <w:t>-</w:t>
      </w:r>
      <w:r w:rsidR="00E15E1B">
        <w:t xml:space="preserve"> </w:t>
      </w:r>
      <w:r>
        <w:t>an</w:t>
      </w:r>
      <w:r w:rsidR="00E15E1B">
        <w:t xml:space="preserve"> </w:t>
      </w:r>
      <w:r>
        <w:t>increase</w:t>
      </w:r>
      <w:r w:rsidR="00E15E1B">
        <w:t xml:space="preserve"> </w:t>
      </w:r>
      <w:r>
        <w:t>of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$4</w:t>
      </w:r>
      <w:r w:rsidR="00E15E1B">
        <w:t xml:space="preserve"> </w:t>
      </w:r>
      <w:r>
        <w:t>million</w:t>
      </w:r>
      <w:r w:rsidR="00E15E1B">
        <w:t xml:space="preserve"> </w:t>
      </w:r>
      <w:r>
        <w:t>on</w:t>
      </w:r>
      <w:r w:rsidR="00E15E1B">
        <w:t xml:space="preserve"> </w:t>
      </w:r>
      <w:r>
        <w:t>the</w:t>
      </w:r>
      <w:r w:rsidR="00E15E1B">
        <w:t xml:space="preserve"> </w:t>
      </w:r>
      <w:r>
        <w:t>previous</w:t>
      </w:r>
      <w:r w:rsidR="00E15E1B">
        <w:t xml:space="preserve"> </w:t>
      </w:r>
      <w:r>
        <w:t>year.</w:t>
      </w:r>
    </w:p>
    <w:p w:rsidR="00156239" w:rsidRDefault="00156239" w:rsidP="00156239">
      <w:pPr>
        <w:pStyle w:val="BodyText"/>
      </w:pPr>
      <w:r>
        <w:t>Scammers</w:t>
      </w:r>
      <w:r w:rsidR="00E15E1B">
        <w:t xml:space="preserve"> </w:t>
      </w:r>
      <w:r>
        <w:t>most</w:t>
      </w:r>
      <w:r w:rsidR="00E15E1B">
        <w:t xml:space="preserve"> </w:t>
      </w:r>
      <w:r>
        <w:t>commonly</w:t>
      </w:r>
      <w:r w:rsidR="00E15E1B">
        <w:t xml:space="preserve"> </w:t>
      </w:r>
      <w:r>
        <w:t>reach</w:t>
      </w:r>
      <w:r w:rsidR="00E15E1B">
        <w:t xml:space="preserve"> </w:t>
      </w:r>
      <w:r>
        <w:t>victims</w:t>
      </w:r>
      <w:r w:rsidR="00E15E1B">
        <w:t xml:space="preserve"> </w:t>
      </w:r>
      <w:r>
        <w:t>over</w:t>
      </w:r>
      <w:r w:rsidR="00E15E1B">
        <w:t xml:space="preserve"> </w:t>
      </w:r>
      <w:r>
        <w:t>the</w:t>
      </w:r>
      <w:r w:rsidR="00E15E1B">
        <w:t xml:space="preserve"> </w:t>
      </w:r>
      <w:r>
        <w:t>telephone</w:t>
      </w:r>
      <w:r w:rsidR="00E15E1B">
        <w:t xml:space="preserve"> </w:t>
      </w:r>
      <w:r>
        <w:t>and</w:t>
      </w:r>
      <w:r w:rsidR="00E15E1B">
        <w:t xml:space="preserve"> </w:t>
      </w:r>
      <w:r>
        <w:t>online:</w:t>
      </w:r>
      <w:r w:rsidR="00E15E1B">
        <w:t xml:space="preserve"> </w:t>
      </w:r>
      <w:r>
        <w:t>telephone,</w:t>
      </w:r>
      <w:r w:rsidR="00E15E1B">
        <w:t xml:space="preserve"> </w:t>
      </w:r>
      <w:r>
        <w:t>email,</w:t>
      </w:r>
      <w:r w:rsidR="00E15E1B">
        <w:t xml:space="preserve"> </w:t>
      </w:r>
      <w:r>
        <w:t>social</w:t>
      </w:r>
      <w:r w:rsidR="00E15E1B">
        <w:t xml:space="preserve"> </w:t>
      </w:r>
      <w:r>
        <w:t>networking</w:t>
      </w:r>
      <w:r w:rsidR="00E15E1B">
        <w:t xml:space="preserve"> </w:t>
      </w:r>
      <w:r>
        <w:t>and</w:t>
      </w:r>
      <w:r w:rsidR="00E15E1B">
        <w:t xml:space="preserve"> </w:t>
      </w:r>
      <w:r>
        <w:t>internet</w:t>
      </w:r>
      <w:r w:rsidR="00E15E1B">
        <w:t xml:space="preserve"> </w:t>
      </w:r>
      <w:r>
        <w:t>scams</w:t>
      </w:r>
      <w:r w:rsidR="00E15E1B">
        <w:t xml:space="preserve"> </w:t>
      </w:r>
      <w:r>
        <w:t>accounted</w:t>
      </w:r>
      <w:r w:rsidR="00E15E1B">
        <w:t xml:space="preserve"> </w:t>
      </w:r>
      <w:r>
        <w:t>for</w:t>
      </w:r>
      <w:r w:rsidR="00E15E1B">
        <w:t xml:space="preserve"> </w:t>
      </w:r>
      <w:r>
        <w:t>85</w:t>
      </w:r>
      <w:r w:rsidR="00E15E1B">
        <w:t xml:space="preserve"> </w:t>
      </w:r>
      <w:r>
        <w:t>per</w:t>
      </w:r>
      <w:r w:rsidR="00E15E1B">
        <w:t xml:space="preserve"> </w:t>
      </w:r>
      <w:r>
        <w:t>cent</w:t>
      </w:r>
      <w:r w:rsidR="00E15E1B">
        <w:t xml:space="preserve"> </w:t>
      </w:r>
      <w:r>
        <w:t>of</w:t>
      </w:r>
      <w:r w:rsidR="00E15E1B">
        <w:t xml:space="preserve"> </w:t>
      </w:r>
      <w:r>
        <w:t>losses</w:t>
      </w:r>
      <w:r w:rsidR="00E15E1B">
        <w:t xml:space="preserve"> </w:t>
      </w:r>
      <w:r>
        <w:t>across</w:t>
      </w:r>
      <w:r w:rsidR="00E15E1B">
        <w:t xml:space="preserve"> </w:t>
      </w:r>
      <w:r>
        <w:t>Australia,</w:t>
      </w:r>
      <w:r w:rsidR="00E15E1B">
        <w:t xml:space="preserve"> </w:t>
      </w:r>
      <w:r>
        <w:t>from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130,000</w:t>
      </w:r>
      <w:r w:rsidR="00E15E1B">
        <w:t xml:space="preserve"> </w:t>
      </w:r>
      <w:r>
        <w:t>reports.</w:t>
      </w:r>
    </w:p>
    <w:p w:rsidR="00156239" w:rsidRDefault="00156239" w:rsidP="00156239">
      <w:pPr>
        <w:pStyle w:val="BodyText"/>
      </w:pPr>
      <w:r>
        <w:t>In</w:t>
      </w:r>
      <w:r w:rsidR="00E15E1B">
        <w:t xml:space="preserve"> </w:t>
      </w:r>
      <w:r>
        <w:t>May</w:t>
      </w:r>
      <w:r w:rsidR="00E15E1B">
        <w:t xml:space="preserve"> </w:t>
      </w:r>
      <w:r>
        <w:t>this</w:t>
      </w:r>
      <w:r w:rsidR="00E15E1B">
        <w:t xml:space="preserve"> </w:t>
      </w:r>
      <w:r>
        <w:t>year,</w:t>
      </w:r>
      <w:r w:rsidR="00E15E1B">
        <w:t xml:space="preserve"> </w:t>
      </w:r>
      <w:r>
        <w:t>we</w:t>
      </w:r>
      <w:r w:rsidR="00E15E1B">
        <w:t xml:space="preserve"> </w:t>
      </w:r>
      <w:r>
        <w:t>launched</w:t>
      </w:r>
      <w:r w:rsidR="00E15E1B">
        <w:t xml:space="preserve"> </w:t>
      </w:r>
      <w:r>
        <w:t>a</w:t>
      </w:r>
      <w:r w:rsidR="00E15E1B">
        <w:t xml:space="preserve"> </w:t>
      </w:r>
      <w:r>
        <w:t>new</w:t>
      </w:r>
      <w:r w:rsidR="00E15E1B">
        <w:t xml:space="preserve"> </w:t>
      </w:r>
      <w:r>
        <w:t>campaign,</w:t>
      </w:r>
      <w:r w:rsidR="00E15E1B">
        <w:t xml:space="preserve"> </w:t>
      </w:r>
      <w:r>
        <w:t>in</w:t>
      </w:r>
      <w:r w:rsidR="00E15E1B">
        <w:t xml:space="preserve"> </w:t>
      </w:r>
      <w:r>
        <w:t>partnership</w:t>
      </w:r>
      <w:r w:rsidR="00E15E1B">
        <w:t xml:space="preserve"> </w:t>
      </w:r>
      <w:r>
        <w:t>with</w:t>
      </w:r>
      <w:r w:rsidR="00E15E1B">
        <w:t xml:space="preserve"> </w:t>
      </w:r>
      <w:r>
        <w:t>Crime</w:t>
      </w:r>
      <w:r w:rsidR="00E15E1B">
        <w:t xml:space="preserve"> </w:t>
      </w:r>
      <w:r>
        <w:t>Stoppers</w:t>
      </w:r>
      <w:r w:rsidR="00E15E1B">
        <w:t xml:space="preserve"> </w:t>
      </w:r>
      <w:r>
        <w:t>Victoria,</w:t>
      </w:r>
      <w:r w:rsidR="00E15E1B">
        <w:t xml:space="preserve"> </w:t>
      </w:r>
      <w:r>
        <w:t>providing</w:t>
      </w:r>
      <w:r w:rsidR="00E15E1B">
        <w:t xml:space="preserve"> </w:t>
      </w:r>
      <w:r>
        <w:t>tips</w:t>
      </w:r>
      <w:r w:rsidR="00E15E1B">
        <w:t xml:space="preserve"> </w:t>
      </w:r>
      <w:r>
        <w:t>and</w:t>
      </w:r>
      <w:r w:rsidR="00E15E1B">
        <w:t xml:space="preserve"> </w:t>
      </w:r>
      <w:r>
        <w:t>advice</w:t>
      </w:r>
      <w:r w:rsidR="00E15E1B">
        <w:t xml:space="preserve"> </w:t>
      </w:r>
      <w:r>
        <w:t>to</w:t>
      </w:r>
      <w:r w:rsidR="00E15E1B">
        <w:t xml:space="preserve"> </w:t>
      </w:r>
      <w:r>
        <w:t>older</w:t>
      </w:r>
      <w:r w:rsidR="00E15E1B">
        <w:t xml:space="preserve"> </w:t>
      </w:r>
      <w:r>
        <w:t>Victorians,</w:t>
      </w:r>
      <w:r w:rsidR="00E15E1B">
        <w:t xml:space="preserve"> </w:t>
      </w:r>
      <w:r>
        <w:t>to</w:t>
      </w:r>
      <w:r w:rsidR="00E15E1B">
        <w:t xml:space="preserve"> </w:t>
      </w:r>
      <w:r>
        <w:t>help</w:t>
      </w:r>
      <w:r w:rsidR="00E15E1B">
        <w:t xml:space="preserve"> </w:t>
      </w:r>
      <w:r>
        <w:t>them</w:t>
      </w:r>
      <w:r w:rsidR="00E15E1B">
        <w:t xml:space="preserve"> </w:t>
      </w:r>
      <w:r>
        <w:t>avoid</w:t>
      </w:r>
      <w:r w:rsidR="00E15E1B">
        <w:t xml:space="preserve"> </w:t>
      </w:r>
      <w:r>
        <w:t>falling</w:t>
      </w:r>
      <w:r w:rsidR="00E15E1B">
        <w:t xml:space="preserve"> </w:t>
      </w:r>
      <w:r>
        <w:t>for</w:t>
      </w:r>
      <w:r w:rsidR="00E15E1B">
        <w:t xml:space="preserve"> </w:t>
      </w:r>
      <w:r>
        <w:t>scams.</w:t>
      </w:r>
      <w:r w:rsidR="00E15E1B">
        <w:t xml:space="preserve"> </w:t>
      </w:r>
      <w:r>
        <w:t>We</w:t>
      </w:r>
      <w:r w:rsidR="00E15E1B">
        <w:t xml:space="preserve"> </w:t>
      </w:r>
      <w:r>
        <w:t>are</w:t>
      </w:r>
      <w:r w:rsidR="00E15E1B">
        <w:t xml:space="preserve"> </w:t>
      </w:r>
      <w:r>
        <w:t>delivering</w:t>
      </w:r>
      <w:r w:rsidR="00E15E1B">
        <w:t xml:space="preserve"> </w:t>
      </w:r>
      <w:r>
        <w:t>education</w:t>
      </w:r>
      <w:r w:rsidR="00E15E1B">
        <w:t xml:space="preserve"> </w:t>
      </w:r>
      <w:r>
        <w:t>sessions</w:t>
      </w:r>
      <w:r w:rsidR="00E15E1B">
        <w:t xml:space="preserve"> </w:t>
      </w:r>
      <w:r>
        <w:t>at</w:t>
      </w:r>
      <w:r w:rsidR="00E15E1B">
        <w:t xml:space="preserve"> </w:t>
      </w:r>
      <w:r>
        <w:t>libraries</w:t>
      </w:r>
      <w:r w:rsidR="00E15E1B">
        <w:t xml:space="preserve"> </w:t>
      </w:r>
      <w:r>
        <w:t>across</w:t>
      </w:r>
      <w:r w:rsidR="00E15E1B">
        <w:t xml:space="preserve"> </w:t>
      </w:r>
      <w:r>
        <w:t>the</w:t>
      </w:r>
      <w:r w:rsidR="00E15E1B">
        <w:t xml:space="preserve"> </w:t>
      </w:r>
      <w:r>
        <w:t>state,</w:t>
      </w:r>
      <w:r w:rsidR="00E15E1B">
        <w:t xml:space="preserve"> </w:t>
      </w:r>
      <w:r>
        <w:t>providing</w:t>
      </w:r>
      <w:r w:rsidR="00E15E1B">
        <w:t xml:space="preserve"> </w:t>
      </w:r>
      <w:r>
        <w:t>increasingly</w:t>
      </w:r>
      <w:r w:rsidR="00E15E1B">
        <w:t xml:space="preserve"> </w:t>
      </w:r>
      <w:r>
        <w:t>tech-adopting</w:t>
      </w:r>
      <w:r w:rsidR="00E15E1B">
        <w:t xml:space="preserve"> </w:t>
      </w:r>
      <w:r>
        <w:t>older</w:t>
      </w:r>
      <w:r w:rsidR="00E15E1B">
        <w:t xml:space="preserve"> </w:t>
      </w:r>
      <w:r>
        <w:t>Victorians</w:t>
      </w:r>
      <w:r w:rsidR="00E15E1B">
        <w:t xml:space="preserve"> </w:t>
      </w:r>
      <w:r>
        <w:t>with</w:t>
      </w:r>
      <w:r w:rsidR="00E15E1B">
        <w:t xml:space="preserve"> </w:t>
      </w:r>
      <w:r>
        <w:t>tools</w:t>
      </w:r>
      <w:r w:rsidR="00E15E1B">
        <w:t xml:space="preserve"> </w:t>
      </w:r>
      <w:r>
        <w:t>to</w:t>
      </w:r>
      <w:r w:rsidR="00E15E1B">
        <w:t xml:space="preserve"> </w:t>
      </w:r>
      <w:r>
        <w:t>avoid</w:t>
      </w:r>
      <w:r w:rsidR="00E15E1B">
        <w:t xml:space="preserve"> </w:t>
      </w:r>
      <w:r>
        <w:t>scams</w:t>
      </w:r>
      <w:r w:rsidR="00E15E1B">
        <w:t xml:space="preserve"> </w:t>
      </w:r>
      <w:r>
        <w:t>while</w:t>
      </w:r>
      <w:r w:rsidR="00E15E1B">
        <w:t xml:space="preserve"> </w:t>
      </w:r>
      <w:r>
        <w:t>online.</w:t>
      </w:r>
    </w:p>
    <w:p w:rsidR="00156239" w:rsidRDefault="00156239" w:rsidP="00156239">
      <w:pPr>
        <w:pStyle w:val="BodyText"/>
      </w:pPr>
      <w:r>
        <w:t>Australians</w:t>
      </w:r>
      <w:r w:rsidR="00E15E1B">
        <w:t xml:space="preserve"> </w:t>
      </w:r>
      <w:r>
        <w:t>aged</w:t>
      </w:r>
      <w:r w:rsidR="00E15E1B">
        <w:t xml:space="preserve"> </w:t>
      </w:r>
      <w:r>
        <w:t>over</w:t>
      </w:r>
      <w:r w:rsidR="00E15E1B">
        <w:t xml:space="preserve"> </w:t>
      </w:r>
      <w:r>
        <w:t>60</w:t>
      </w:r>
      <w:r w:rsidR="00E15E1B">
        <w:t xml:space="preserve"> </w:t>
      </w:r>
      <w:r>
        <w:t>are</w:t>
      </w:r>
      <w:r w:rsidR="00E15E1B">
        <w:t xml:space="preserve"> </w:t>
      </w:r>
      <w:r>
        <w:t>the</w:t>
      </w:r>
      <w:r w:rsidR="00E15E1B">
        <w:t xml:space="preserve"> </w:t>
      </w:r>
      <w:r>
        <w:t>fastest-growing</w:t>
      </w:r>
      <w:r w:rsidR="00E15E1B">
        <w:t xml:space="preserve"> </w:t>
      </w:r>
      <w:r>
        <w:t>online</w:t>
      </w:r>
      <w:r w:rsidR="00E15E1B">
        <w:t xml:space="preserve"> </w:t>
      </w:r>
      <w:r>
        <w:t>user</w:t>
      </w:r>
      <w:r w:rsidR="00E15E1B">
        <w:t xml:space="preserve"> </w:t>
      </w:r>
      <w:r>
        <w:t>group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country</w:t>
      </w:r>
      <w:r w:rsidR="00E15E1B">
        <w:t xml:space="preserve"> </w:t>
      </w:r>
      <w:r>
        <w:t>–</w:t>
      </w:r>
      <w:r w:rsidR="00E15E1B">
        <w:t xml:space="preserve"> </w:t>
      </w:r>
      <w:r>
        <w:t>so</w:t>
      </w:r>
      <w:r w:rsidR="00E15E1B">
        <w:t xml:space="preserve"> </w:t>
      </w:r>
      <w:r>
        <w:t>educating</w:t>
      </w:r>
      <w:r w:rsidR="00E15E1B">
        <w:t xml:space="preserve"> </w:t>
      </w:r>
      <w:r>
        <w:t>senior</w:t>
      </w:r>
      <w:r w:rsidR="00E15E1B">
        <w:t xml:space="preserve"> </w:t>
      </w:r>
      <w:r>
        <w:t>Victorians</w:t>
      </w:r>
      <w:r w:rsidR="00E15E1B">
        <w:t xml:space="preserve"> </w:t>
      </w:r>
      <w:r>
        <w:t>about</w:t>
      </w:r>
      <w:r w:rsidR="00E15E1B">
        <w:t xml:space="preserve"> </w:t>
      </w:r>
      <w:r>
        <w:t>how</w:t>
      </w:r>
      <w:r w:rsidR="00E15E1B">
        <w:t xml:space="preserve"> </w:t>
      </w:r>
      <w:r>
        <w:t>to</w:t>
      </w:r>
      <w:r w:rsidR="00E15E1B">
        <w:t xml:space="preserve"> </w:t>
      </w:r>
      <w:r>
        <w:t>protect</w:t>
      </w:r>
      <w:r w:rsidR="00E15E1B">
        <w:t xml:space="preserve"> </w:t>
      </w:r>
      <w:r>
        <w:t>online</w:t>
      </w:r>
      <w:r w:rsidR="00E15E1B">
        <w:t xml:space="preserve"> </w:t>
      </w:r>
      <w:r>
        <w:t>personal</w:t>
      </w:r>
      <w:r w:rsidR="00E15E1B">
        <w:t xml:space="preserve"> </w:t>
      </w:r>
      <w:r>
        <w:t>information</w:t>
      </w:r>
      <w:r w:rsidR="00E15E1B">
        <w:t xml:space="preserve"> </w:t>
      </w:r>
      <w:r>
        <w:t>from</w:t>
      </w:r>
      <w:r w:rsidR="00E15E1B">
        <w:t xml:space="preserve"> </w:t>
      </w:r>
      <w:r>
        <w:t>scammers</w:t>
      </w:r>
      <w:r w:rsidR="00E15E1B">
        <w:t xml:space="preserve"> </w:t>
      </w:r>
      <w:r>
        <w:t>is</w:t>
      </w:r>
      <w:r w:rsidR="00E15E1B">
        <w:t xml:space="preserve"> </w:t>
      </w:r>
      <w:r>
        <w:t>all</w:t>
      </w:r>
      <w:r w:rsidR="00E15E1B">
        <w:t xml:space="preserve"> </w:t>
      </w:r>
      <w:r>
        <w:t>the</w:t>
      </w:r>
      <w:r w:rsidR="00E15E1B">
        <w:t xml:space="preserve"> </w:t>
      </w:r>
      <w:r>
        <w:t>more</w:t>
      </w:r>
      <w:r w:rsidR="00E15E1B">
        <w:t xml:space="preserve"> </w:t>
      </w:r>
      <w:r>
        <w:t>important.</w:t>
      </w:r>
    </w:p>
    <w:p w:rsidR="00156239" w:rsidRDefault="00156239" w:rsidP="00156239">
      <w:pPr>
        <w:pStyle w:val="Heading4"/>
      </w:pPr>
      <w:r>
        <w:t>Tax</w:t>
      </w:r>
      <w:r w:rsidR="00E15E1B">
        <w:t xml:space="preserve"> </w:t>
      </w:r>
      <w:r>
        <w:t>scam</w:t>
      </w:r>
      <w:r w:rsidR="00E15E1B">
        <w:t xml:space="preserve"> </w:t>
      </w:r>
      <w:r>
        <w:t>warning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warned</w:t>
      </w:r>
      <w:r w:rsidR="00E15E1B">
        <w:t xml:space="preserve"> </w:t>
      </w:r>
      <w:r>
        <w:t>Victorians</w:t>
      </w:r>
      <w:r w:rsidR="00E15E1B">
        <w:t xml:space="preserve"> </w:t>
      </w:r>
      <w:r>
        <w:t>about</w:t>
      </w:r>
      <w:r w:rsidR="00E15E1B">
        <w:t xml:space="preserve"> </w:t>
      </w:r>
      <w:r>
        <w:t>an</w:t>
      </w:r>
      <w:r w:rsidR="00E15E1B">
        <w:t xml:space="preserve"> </w:t>
      </w:r>
      <w:r>
        <w:t>Australian</w:t>
      </w:r>
      <w:r w:rsidR="00E15E1B">
        <w:t xml:space="preserve"> </w:t>
      </w:r>
      <w:r>
        <w:t>Tax</w:t>
      </w:r>
      <w:r w:rsidR="00E15E1B">
        <w:t xml:space="preserve"> </w:t>
      </w:r>
      <w:r>
        <w:t>Office</w:t>
      </w:r>
      <w:r w:rsidR="00E15E1B">
        <w:t xml:space="preserve"> </w:t>
      </w:r>
      <w:r>
        <w:t>(ATO)</w:t>
      </w:r>
      <w:r w:rsidR="00E15E1B">
        <w:t xml:space="preserve"> </w:t>
      </w:r>
      <w:r>
        <w:t>telephone</w:t>
      </w:r>
      <w:r w:rsidR="00E15E1B">
        <w:t xml:space="preserve"> </w:t>
      </w:r>
      <w:r>
        <w:t>scam</w:t>
      </w:r>
      <w:r w:rsidR="00E15E1B">
        <w:t xml:space="preserve"> </w:t>
      </w:r>
      <w:r>
        <w:t>which</w:t>
      </w:r>
      <w:r w:rsidR="00E15E1B">
        <w:t xml:space="preserve"> </w:t>
      </w:r>
      <w:r>
        <w:t>threatened</w:t>
      </w:r>
      <w:r w:rsidR="00E15E1B">
        <w:t xml:space="preserve"> </w:t>
      </w:r>
      <w:r>
        <w:t>arrest</w:t>
      </w:r>
      <w:r w:rsidR="00E15E1B">
        <w:t xml:space="preserve"> </w:t>
      </w:r>
      <w:r>
        <w:t>for</w:t>
      </w:r>
      <w:r w:rsidR="00E15E1B">
        <w:t xml:space="preserve"> </w:t>
      </w:r>
      <w:r>
        <w:t>unpaid</w:t>
      </w:r>
      <w:r w:rsidR="00E15E1B">
        <w:t xml:space="preserve"> </w:t>
      </w:r>
      <w:r>
        <w:t>taxes.</w:t>
      </w:r>
      <w:r w:rsidR="00E15E1B">
        <w:t xml:space="preserve"> </w:t>
      </w:r>
      <w:r>
        <w:t>Our</w:t>
      </w:r>
      <w:r w:rsidR="00E15E1B">
        <w:t xml:space="preserve"> </w:t>
      </w:r>
      <w:r>
        <w:t>video</w:t>
      </w:r>
      <w:r w:rsidR="00E15E1B">
        <w:t xml:space="preserve"> </w:t>
      </w:r>
      <w:r>
        <w:t>warning</w:t>
      </w:r>
      <w:r w:rsidR="00E15E1B">
        <w:t xml:space="preserve"> </w:t>
      </w:r>
      <w:r>
        <w:t>went</w:t>
      </w:r>
      <w:r w:rsidR="00E15E1B">
        <w:t xml:space="preserve"> </w:t>
      </w:r>
      <w:r>
        <w:t>viral,</w:t>
      </w:r>
      <w:r w:rsidR="00E15E1B">
        <w:t xml:space="preserve"> </w:t>
      </w:r>
      <w:r>
        <w:t>reaching</w:t>
      </w:r>
      <w:r w:rsidR="00E15E1B">
        <w:t xml:space="preserve"> </w:t>
      </w:r>
      <w:r>
        <w:t>an</w:t>
      </w:r>
      <w:r w:rsidR="00E15E1B">
        <w:t xml:space="preserve"> </w:t>
      </w:r>
      <w:r>
        <w:t>estimated</w:t>
      </w:r>
      <w:r w:rsidR="00E15E1B">
        <w:t xml:space="preserve"> </w:t>
      </w:r>
      <w:r>
        <w:t>audience</w:t>
      </w:r>
      <w:r w:rsidR="00E15E1B">
        <w:t xml:space="preserve"> </w:t>
      </w:r>
      <w:r>
        <w:t>of</w:t>
      </w:r>
      <w:r w:rsidR="00E15E1B">
        <w:t xml:space="preserve"> </w:t>
      </w:r>
      <w:r>
        <w:t>over</w:t>
      </w:r>
      <w:r w:rsidR="00E15E1B">
        <w:t xml:space="preserve"> </w:t>
      </w:r>
      <w:r>
        <w:t>five</w:t>
      </w:r>
      <w:r w:rsidR="00E15E1B">
        <w:t xml:space="preserve"> </w:t>
      </w:r>
      <w:r>
        <w:t>million</w:t>
      </w:r>
      <w:r w:rsidR="00E15E1B">
        <w:t xml:space="preserve"> </w:t>
      </w:r>
      <w:r>
        <w:t>people</w:t>
      </w:r>
      <w:r w:rsidR="00E15E1B">
        <w:t xml:space="preserve"> </w:t>
      </w:r>
      <w:r>
        <w:t>after</w:t>
      </w:r>
      <w:r w:rsidR="00E15E1B">
        <w:t xml:space="preserve"> </w:t>
      </w:r>
      <w:r>
        <w:t>being</w:t>
      </w:r>
      <w:r w:rsidR="00E15E1B">
        <w:t xml:space="preserve"> </w:t>
      </w:r>
      <w:r>
        <w:t>featured</w:t>
      </w:r>
      <w:r w:rsidR="00E15E1B">
        <w:t xml:space="preserve"> </w:t>
      </w:r>
      <w:r>
        <w:t>by</w:t>
      </w:r>
      <w:r w:rsidR="00E15E1B">
        <w:t xml:space="preserve"> </w:t>
      </w:r>
      <w:r>
        <w:t>numerous</w:t>
      </w:r>
      <w:r w:rsidR="00E15E1B">
        <w:t xml:space="preserve"> </w:t>
      </w:r>
      <w:r>
        <w:t>print,</w:t>
      </w:r>
      <w:r w:rsidR="00E15E1B">
        <w:t xml:space="preserve"> </w:t>
      </w:r>
      <w:r>
        <w:t>radio</w:t>
      </w:r>
      <w:r w:rsidR="00E15E1B">
        <w:t xml:space="preserve"> </w:t>
      </w:r>
      <w:r>
        <w:t>and</w:t>
      </w:r>
      <w:r w:rsidR="00E15E1B">
        <w:t xml:space="preserve"> </w:t>
      </w:r>
      <w:r>
        <w:t>TV</w:t>
      </w:r>
      <w:r w:rsidR="00E15E1B">
        <w:t xml:space="preserve"> </w:t>
      </w:r>
      <w:r>
        <w:t>media</w:t>
      </w:r>
      <w:r w:rsidR="00E15E1B">
        <w:t xml:space="preserve"> </w:t>
      </w:r>
      <w:r>
        <w:t>outlets.</w:t>
      </w:r>
    </w:p>
    <w:p w:rsidR="00156239" w:rsidRDefault="00156239" w:rsidP="00156239">
      <w:pPr>
        <w:pStyle w:val="BodyText"/>
      </w:pPr>
      <w:r>
        <w:t>Utilising</w:t>
      </w:r>
      <w:r w:rsidR="00E15E1B">
        <w:t xml:space="preserve"> </w:t>
      </w:r>
      <w:r>
        <w:t>recorded</w:t>
      </w:r>
      <w:r w:rsidR="00E15E1B">
        <w:t xml:space="preserve"> </w:t>
      </w:r>
      <w:r>
        <w:t>audio</w:t>
      </w:r>
      <w:r w:rsidR="00E15E1B">
        <w:t xml:space="preserve"> </w:t>
      </w:r>
      <w:r>
        <w:t>from</w:t>
      </w:r>
      <w:r w:rsidR="00E15E1B">
        <w:t xml:space="preserve"> </w:t>
      </w:r>
      <w:r>
        <w:t>the</w:t>
      </w:r>
      <w:r w:rsidR="00E15E1B">
        <w:t xml:space="preserve"> </w:t>
      </w:r>
      <w:r>
        <w:t>telephone</w:t>
      </w:r>
      <w:r w:rsidR="00E15E1B">
        <w:t xml:space="preserve"> </w:t>
      </w:r>
      <w:r>
        <w:t>scam,</w:t>
      </w:r>
      <w:r w:rsidR="00E15E1B">
        <w:t xml:space="preserve"> </w:t>
      </w:r>
      <w:r>
        <w:t>we</w:t>
      </w:r>
      <w:r w:rsidR="00E15E1B">
        <w:t xml:space="preserve"> </w:t>
      </w:r>
      <w:r>
        <w:t>created</w:t>
      </w:r>
      <w:r w:rsidR="00E15E1B">
        <w:t xml:space="preserve"> </w:t>
      </w:r>
      <w:r>
        <w:t>a</w:t>
      </w:r>
      <w:r w:rsidR="00E15E1B">
        <w:t xml:space="preserve"> </w:t>
      </w:r>
      <w:r>
        <w:t>short</w:t>
      </w:r>
      <w:r w:rsidR="00E15E1B">
        <w:t xml:space="preserve"> </w:t>
      </w:r>
      <w:r>
        <w:t>video</w:t>
      </w:r>
      <w:r w:rsidR="00E15E1B">
        <w:t xml:space="preserve"> </w:t>
      </w:r>
      <w:r>
        <w:t>warning</w:t>
      </w:r>
      <w:r w:rsidR="00E15E1B">
        <w:t xml:space="preserve"> </w:t>
      </w:r>
      <w:r>
        <w:t>the</w:t>
      </w:r>
      <w:r w:rsidR="00E15E1B">
        <w:t xml:space="preserve"> </w:t>
      </w:r>
      <w:r>
        <w:t>public</w:t>
      </w:r>
      <w:r w:rsidR="00E15E1B">
        <w:t xml:space="preserve"> </w:t>
      </w:r>
      <w:r>
        <w:t>to</w:t>
      </w:r>
      <w:r w:rsidR="00E15E1B">
        <w:t xml:space="preserve"> </w:t>
      </w:r>
      <w:r>
        <w:t>be</w:t>
      </w:r>
      <w:r w:rsidR="00E15E1B">
        <w:t xml:space="preserve"> </w:t>
      </w:r>
      <w:r>
        <w:t>aware,</w:t>
      </w:r>
      <w:r w:rsidR="00E15E1B">
        <w:t xml:space="preserve"> </w:t>
      </w:r>
      <w:r>
        <w:t>and</w:t>
      </w:r>
      <w:r w:rsidR="00E15E1B">
        <w:t xml:space="preserve"> </w:t>
      </w:r>
      <w:r>
        <w:t>explaining</w:t>
      </w:r>
      <w:r w:rsidR="00E15E1B">
        <w:t xml:space="preserve"> </w:t>
      </w:r>
      <w:r>
        <w:t>what</w:t>
      </w:r>
      <w:r w:rsidR="00E15E1B">
        <w:t xml:space="preserve"> </w:t>
      </w:r>
      <w:r>
        <w:t>to</w:t>
      </w:r>
      <w:r w:rsidR="00E15E1B">
        <w:t xml:space="preserve"> </w:t>
      </w:r>
      <w:r>
        <w:t>do</w:t>
      </w:r>
      <w:r w:rsidR="00E15E1B">
        <w:t xml:space="preserve"> </w:t>
      </w:r>
      <w:r>
        <w:t>if</w:t>
      </w:r>
      <w:r w:rsidR="00E15E1B">
        <w:t xml:space="preserve"> </w:t>
      </w:r>
      <w:r>
        <w:t>they</w:t>
      </w:r>
      <w:r w:rsidR="00E15E1B">
        <w:t xml:space="preserve"> </w:t>
      </w:r>
      <w:r>
        <w:t>suspect</w:t>
      </w:r>
      <w:r w:rsidR="00E15E1B">
        <w:t xml:space="preserve"> </w:t>
      </w:r>
      <w:r>
        <w:t>an</w:t>
      </w:r>
      <w:r w:rsidR="00E15E1B">
        <w:t xml:space="preserve"> </w:t>
      </w:r>
      <w:r>
        <w:t>ATO</w:t>
      </w:r>
      <w:r w:rsidR="00E15E1B">
        <w:t xml:space="preserve"> </w:t>
      </w:r>
      <w:r>
        <w:t>scam.</w:t>
      </w:r>
      <w:r w:rsidR="00E15E1B">
        <w:t xml:space="preserve"> </w:t>
      </w:r>
      <w:r>
        <w:t>We</w:t>
      </w:r>
      <w:r w:rsidR="00E15E1B">
        <w:t xml:space="preserve"> </w:t>
      </w:r>
      <w:r>
        <w:t>liaised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ATO</w:t>
      </w:r>
      <w:r w:rsidR="00E15E1B">
        <w:t xml:space="preserve"> </w:t>
      </w:r>
      <w:r>
        <w:t>before</w:t>
      </w:r>
      <w:r w:rsidR="00E15E1B">
        <w:t xml:space="preserve"> </w:t>
      </w:r>
      <w:r>
        <w:t>sharing</w:t>
      </w:r>
      <w:r w:rsidR="00E15E1B">
        <w:t xml:space="preserve"> </w:t>
      </w:r>
      <w:r>
        <w:t>the</w:t>
      </w:r>
      <w:r w:rsidR="00E15E1B">
        <w:t xml:space="preserve"> </w:t>
      </w:r>
      <w:r>
        <w:t>video</w:t>
      </w:r>
      <w:r w:rsidR="00E15E1B">
        <w:t xml:space="preserve"> </w:t>
      </w:r>
      <w:r>
        <w:t>on</w:t>
      </w:r>
      <w:r w:rsidR="00E15E1B">
        <w:t xml:space="preserve"> </w:t>
      </w:r>
      <w:r>
        <w:t>our</w:t>
      </w:r>
      <w:r w:rsidR="00E15E1B">
        <w:t xml:space="preserve"> </w:t>
      </w:r>
      <w:r>
        <w:t>Facebook</w:t>
      </w:r>
      <w:r w:rsidR="00E15E1B">
        <w:t xml:space="preserve"> </w:t>
      </w:r>
      <w:r>
        <w:t>and</w:t>
      </w:r>
      <w:r w:rsidR="00E15E1B">
        <w:t xml:space="preserve"> </w:t>
      </w:r>
      <w:r>
        <w:t>Twitter</w:t>
      </w:r>
      <w:r w:rsidR="00E15E1B">
        <w:t xml:space="preserve"> </w:t>
      </w:r>
      <w:r>
        <w:t>channels</w:t>
      </w:r>
      <w:r w:rsidR="00E15E1B">
        <w:t xml:space="preserve"> </w:t>
      </w:r>
      <w:r>
        <w:t>in</w:t>
      </w:r>
      <w:r w:rsidR="00E15E1B">
        <w:t xml:space="preserve"> </w:t>
      </w:r>
      <w:r>
        <w:t>July</w:t>
      </w:r>
      <w:r w:rsidR="00E15E1B">
        <w:t xml:space="preserve"> </w:t>
      </w:r>
      <w:r>
        <w:t>2017,</w:t>
      </w:r>
      <w:r w:rsidR="00E15E1B">
        <w:t xml:space="preserve"> </w:t>
      </w:r>
      <w:r>
        <w:t>which</w:t>
      </w:r>
      <w:r w:rsidR="00E15E1B">
        <w:t xml:space="preserve"> </w:t>
      </w:r>
      <w:r>
        <w:t>coincided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financial</w:t>
      </w:r>
      <w:r w:rsidR="00E15E1B">
        <w:t xml:space="preserve"> </w:t>
      </w:r>
      <w:r>
        <w:t>year.</w:t>
      </w:r>
    </w:p>
    <w:p w:rsidR="00156239" w:rsidRDefault="00156239" w:rsidP="00156239">
      <w:pPr>
        <w:pStyle w:val="BodyText"/>
      </w:pPr>
      <w:r>
        <w:t>Our</w:t>
      </w:r>
      <w:r w:rsidR="00E15E1B">
        <w:t xml:space="preserve"> </w:t>
      </w:r>
      <w:r>
        <w:t>social</w:t>
      </w:r>
      <w:r w:rsidR="00E15E1B">
        <w:t xml:space="preserve"> </w:t>
      </w:r>
      <w:r>
        <w:t>media</w:t>
      </w:r>
      <w:r w:rsidR="00E15E1B">
        <w:t xml:space="preserve"> </w:t>
      </w:r>
      <w:r>
        <w:t>posts</w:t>
      </w:r>
      <w:r w:rsidR="00E15E1B">
        <w:t xml:space="preserve"> </w:t>
      </w:r>
      <w:r>
        <w:t>about</w:t>
      </w:r>
      <w:r w:rsidR="00E15E1B">
        <w:t xml:space="preserve"> </w:t>
      </w:r>
      <w:r>
        <w:t>the</w:t>
      </w:r>
      <w:r w:rsidR="00E15E1B">
        <w:t xml:space="preserve"> </w:t>
      </w:r>
      <w:r>
        <w:t>scam</w:t>
      </w:r>
      <w:r w:rsidR="00E15E1B">
        <w:t xml:space="preserve"> </w:t>
      </w:r>
      <w:r>
        <w:t>received</w:t>
      </w:r>
      <w:r w:rsidR="00E15E1B">
        <w:t xml:space="preserve"> </w:t>
      </w:r>
      <w:r>
        <w:t>hundreds</w:t>
      </w:r>
      <w:r w:rsidR="00E15E1B">
        <w:t xml:space="preserve"> </w:t>
      </w:r>
      <w:r>
        <w:t>of</w:t>
      </w:r>
      <w:r w:rsidR="00E15E1B">
        <w:t xml:space="preserve"> </w:t>
      </w:r>
      <w:r>
        <w:t>engagements,</w:t>
      </w:r>
      <w:r w:rsidR="00E15E1B">
        <w:t xml:space="preserve"> </w:t>
      </w:r>
      <w:r>
        <w:t>and</w:t>
      </w:r>
      <w:r w:rsidR="00E15E1B">
        <w:t xml:space="preserve"> </w:t>
      </w:r>
      <w:r>
        <w:t>the</w:t>
      </w:r>
      <w:r w:rsidR="00E15E1B">
        <w:t xml:space="preserve"> </w:t>
      </w:r>
      <w:r>
        <w:t>story</w:t>
      </w:r>
      <w:r w:rsidR="00E15E1B">
        <w:t xml:space="preserve"> </w:t>
      </w:r>
      <w:r>
        <w:t>was</w:t>
      </w:r>
      <w:r w:rsidR="00E15E1B">
        <w:t xml:space="preserve"> </w:t>
      </w:r>
      <w:r>
        <w:t>organically</w:t>
      </w:r>
      <w:r w:rsidR="00E15E1B">
        <w:t xml:space="preserve"> </w:t>
      </w:r>
      <w:r>
        <w:t>picked</w:t>
      </w:r>
      <w:r w:rsidR="00E15E1B">
        <w:t xml:space="preserve"> </w:t>
      </w:r>
      <w:r>
        <w:t>up</w:t>
      </w:r>
      <w:r w:rsidR="00E15E1B">
        <w:t xml:space="preserve"> </w:t>
      </w:r>
      <w:r>
        <w:t>by</w:t>
      </w:r>
      <w:r w:rsidR="00E15E1B">
        <w:t xml:space="preserve"> </w:t>
      </w:r>
      <w:r>
        <w:t>news</w:t>
      </w:r>
      <w:r w:rsidR="00E15E1B">
        <w:t xml:space="preserve"> </w:t>
      </w:r>
      <w:r>
        <w:t>websites.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ATO</w:t>
      </w:r>
      <w:r w:rsidR="00E15E1B">
        <w:t xml:space="preserve"> </w:t>
      </w:r>
      <w:r>
        <w:t>received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48,000</w:t>
      </w:r>
      <w:r w:rsidR="00E15E1B">
        <w:t xml:space="preserve"> </w:t>
      </w:r>
      <w:r>
        <w:t>scam</w:t>
      </w:r>
      <w:r w:rsidR="00E15E1B">
        <w:t xml:space="preserve"> </w:t>
      </w:r>
      <w:r>
        <w:t>reports</w:t>
      </w:r>
      <w:r w:rsidR="00E15E1B">
        <w:t xml:space="preserve"> </w:t>
      </w:r>
      <w:r>
        <w:t>between</w:t>
      </w:r>
      <w:r w:rsidR="00E15E1B">
        <w:t xml:space="preserve"> </w:t>
      </w:r>
      <w:r>
        <w:t>July</w:t>
      </w:r>
      <w:r w:rsidR="00E15E1B">
        <w:t xml:space="preserve"> </w:t>
      </w:r>
      <w:r>
        <w:t>and</w:t>
      </w:r>
      <w:r w:rsidR="00E15E1B">
        <w:t xml:space="preserve"> </w:t>
      </w:r>
      <w:r>
        <w:t>October</w:t>
      </w:r>
      <w:r w:rsidR="00E15E1B">
        <w:t xml:space="preserve"> </w:t>
      </w:r>
      <w:r>
        <w:t>last</w:t>
      </w:r>
      <w:r w:rsidR="00E15E1B">
        <w:t xml:space="preserve"> </w:t>
      </w:r>
      <w:r>
        <w:t>year.</w:t>
      </w:r>
    </w:p>
    <w:p w:rsidR="00156239" w:rsidRDefault="00156239" w:rsidP="00156239">
      <w:pPr>
        <w:pStyle w:val="Heading4"/>
      </w:pPr>
      <w:r>
        <w:t>Our</w:t>
      </w:r>
      <w:r w:rsidR="00E15E1B">
        <w:t xml:space="preserve"> </w:t>
      </w:r>
      <w:r>
        <w:t>Grampians</w:t>
      </w:r>
      <w:r w:rsidR="00E15E1B">
        <w:t xml:space="preserve"> </w:t>
      </w:r>
      <w:r>
        <w:t>team</w:t>
      </w:r>
      <w:r w:rsidR="00E15E1B">
        <w:t xml:space="preserve"> </w:t>
      </w:r>
      <w:r>
        <w:t>takes</w:t>
      </w:r>
      <w:r w:rsidR="00E15E1B">
        <w:t xml:space="preserve"> </w:t>
      </w:r>
      <w:r>
        <w:t>a</w:t>
      </w:r>
      <w:r w:rsidR="00E15E1B">
        <w:t xml:space="preserve"> </w:t>
      </w:r>
      <w:r>
        <w:t>stand</w:t>
      </w:r>
      <w:r w:rsidR="00E15E1B">
        <w:t xml:space="preserve"> </w:t>
      </w:r>
      <w:r>
        <w:t>against</w:t>
      </w:r>
      <w:r w:rsidR="00E15E1B">
        <w:t xml:space="preserve"> </w:t>
      </w:r>
      <w:r>
        <w:t>travelling</w:t>
      </w:r>
      <w:r w:rsidR="00E15E1B">
        <w:t xml:space="preserve"> </w:t>
      </w:r>
      <w:r>
        <w:t>con</w:t>
      </w:r>
      <w:r w:rsidR="00E15E1B">
        <w:t xml:space="preserve"> </w:t>
      </w:r>
      <w:r>
        <w:t>men</w:t>
      </w:r>
    </w:p>
    <w:p w:rsidR="00156239" w:rsidRDefault="00156239" w:rsidP="00156239">
      <w:pPr>
        <w:pStyle w:val="BodyText"/>
      </w:pPr>
      <w:r>
        <w:t>Travelling</w:t>
      </w:r>
      <w:r w:rsidR="00E15E1B">
        <w:t xml:space="preserve"> </w:t>
      </w:r>
      <w:r>
        <w:t>con</w:t>
      </w:r>
      <w:r w:rsidR="00E15E1B">
        <w:t xml:space="preserve"> </w:t>
      </w:r>
      <w:r>
        <w:t>men</w:t>
      </w:r>
      <w:r w:rsidR="00E15E1B">
        <w:t xml:space="preserve"> </w:t>
      </w:r>
      <w:r>
        <w:t>often</w:t>
      </w:r>
      <w:r w:rsidR="00E15E1B">
        <w:t xml:space="preserve"> </w:t>
      </w:r>
      <w:r>
        <w:t>target</w:t>
      </w:r>
      <w:r w:rsidR="00E15E1B">
        <w:t xml:space="preserve"> </w:t>
      </w:r>
      <w:r>
        <w:t>elderly</w:t>
      </w:r>
      <w:r w:rsidR="00E15E1B">
        <w:t xml:space="preserve"> </w:t>
      </w:r>
      <w:r>
        <w:t>or</w:t>
      </w:r>
      <w:r w:rsidR="00E15E1B">
        <w:t xml:space="preserve"> </w:t>
      </w:r>
      <w:r>
        <w:t>isolated</w:t>
      </w:r>
      <w:r w:rsidR="00E15E1B">
        <w:t xml:space="preserve"> </w:t>
      </w:r>
      <w:r>
        <w:t>residents.</w:t>
      </w:r>
      <w:r w:rsidR="00E15E1B">
        <w:t xml:space="preserve"> </w:t>
      </w:r>
      <w:r>
        <w:t>They</w:t>
      </w:r>
      <w:r w:rsidR="00E15E1B">
        <w:t xml:space="preserve"> </w:t>
      </w:r>
      <w:r>
        <w:t>operate</w:t>
      </w:r>
      <w:r w:rsidR="00E15E1B">
        <w:t xml:space="preserve"> </w:t>
      </w:r>
      <w:r>
        <w:t>door-to-door,</w:t>
      </w:r>
      <w:r w:rsidR="00E15E1B">
        <w:t xml:space="preserve"> </w:t>
      </w:r>
      <w:r>
        <w:t>offering</w:t>
      </w:r>
      <w:r w:rsidR="00E15E1B">
        <w:t xml:space="preserve"> </w:t>
      </w:r>
      <w:r>
        <w:t>cheap</w:t>
      </w:r>
      <w:r w:rsidR="00E15E1B">
        <w:t xml:space="preserve"> </w:t>
      </w:r>
      <w:r>
        <w:t>deals</w:t>
      </w:r>
      <w:r w:rsidR="00E15E1B">
        <w:t xml:space="preserve"> </w:t>
      </w:r>
      <w:r>
        <w:t>on</w:t>
      </w:r>
      <w:r w:rsidR="00E15E1B">
        <w:t xml:space="preserve"> </w:t>
      </w:r>
      <w:r>
        <w:t>home</w:t>
      </w:r>
      <w:r w:rsidR="00E15E1B">
        <w:t xml:space="preserve"> </w:t>
      </w:r>
      <w:r>
        <w:t>maintenance</w:t>
      </w:r>
      <w:r w:rsidR="00E15E1B">
        <w:t xml:space="preserve"> </w:t>
      </w:r>
      <w:r>
        <w:t>jobs,</w:t>
      </w:r>
      <w:r w:rsidR="00E15E1B">
        <w:t xml:space="preserve"> </w:t>
      </w:r>
      <w:r>
        <w:t>from</w:t>
      </w:r>
      <w:r w:rsidR="00E15E1B">
        <w:t xml:space="preserve"> </w:t>
      </w:r>
      <w:r>
        <w:t>driveway</w:t>
      </w:r>
      <w:r w:rsidR="00E15E1B">
        <w:t xml:space="preserve"> </w:t>
      </w:r>
      <w:r>
        <w:t>resurfacing</w:t>
      </w:r>
      <w:r w:rsidR="00E15E1B">
        <w:t xml:space="preserve"> </w:t>
      </w:r>
      <w:r>
        <w:t>and</w:t>
      </w:r>
      <w:r w:rsidR="00E15E1B">
        <w:t xml:space="preserve"> </w:t>
      </w:r>
      <w:r>
        <w:t>roof</w:t>
      </w:r>
      <w:r w:rsidR="00E15E1B">
        <w:t xml:space="preserve"> </w:t>
      </w:r>
      <w:r>
        <w:t>repair</w:t>
      </w:r>
      <w:r w:rsidR="00E15E1B">
        <w:t xml:space="preserve"> </w:t>
      </w:r>
      <w:r>
        <w:t>to</w:t>
      </w:r>
      <w:r w:rsidR="00E15E1B">
        <w:t xml:space="preserve"> </w:t>
      </w:r>
      <w:r>
        <w:t>garden</w:t>
      </w:r>
      <w:r w:rsidR="00E15E1B">
        <w:t xml:space="preserve"> </w:t>
      </w:r>
      <w:r>
        <w:t>maintenance</w:t>
      </w:r>
      <w:r w:rsidR="00E15E1B">
        <w:t xml:space="preserve"> </w:t>
      </w:r>
      <w:r>
        <w:t>and</w:t>
      </w:r>
      <w:r w:rsidR="00E15E1B">
        <w:t xml:space="preserve"> </w:t>
      </w:r>
      <w:r>
        <w:t>odd</w:t>
      </w:r>
      <w:r w:rsidR="00E15E1B">
        <w:t xml:space="preserve"> </w:t>
      </w:r>
      <w:r>
        <w:t>jobs.</w:t>
      </w:r>
    </w:p>
    <w:p w:rsidR="00156239" w:rsidRDefault="00156239" w:rsidP="00156239">
      <w:pPr>
        <w:pStyle w:val="BodyText"/>
      </w:pPr>
      <w:r>
        <w:t>They</w:t>
      </w:r>
      <w:r w:rsidR="00E15E1B">
        <w:t xml:space="preserve"> </w:t>
      </w:r>
      <w:r>
        <w:t>ask</w:t>
      </w:r>
      <w:r w:rsidR="00E15E1B">
        <w:t xml:space="preserve"> </w:t>
      </w:r>
      <w:r>
        <w:t>for</w:t>
      </w:r>
      <w:r w:rsidR="00E15E1B">
        <w:t xml:space="preserve"> </w:t>
      </w:r>
      <w:r>
        <w:t>cash</w:t>
      </w:r>
      <w:r w:rsidR="00E15E1B">
        <w:t xml:space="preserve"> </w:t>
      </w:r>
      <w:r>
        <w:t>before</w:t>
      </w:r>
      <w:r w:rsidR="00E15E1B">
        <w:t xml:space="preserve"> </w:t>
      </w:r>
      <w:r>
        <w:t>starting</w:t>
      </w:r>
      <w:r w:rsidR="00E15E1B">
        <w:t xml:space="preserve"> </w:t>
      </w:r>
      <w:r>
        <w:t>work</w:t>
      </w:r>
      <w:r w:rsidR="00E15E1B">
        <w:t xml:space="preserve"> </w:t>
      </w:r>
      <w:r>
        <w:t>and</w:t>
      </w:r>
      <w:r w:rsidR="00E15E1B">
        <w:t xml:space="preserve"> </w:t>
      </w:r>
      <w:r>
        <w:t>frequently</w:t>
      </w:r>
      <w:r w:rsidR="00E15E1B">
        <w:t xml:space="preserve"> </w:t>
      </w:r>
      <w:r>
        <w:t>disappear</w:t>
      </w:r>
      <w:r w:rsidR="00E15E1B">
        <w:t xml:space="preserve"> </w:t>
      </w:r>
      <w:r>
        <w:t>as</w:t>
      </w:r>
      <w:r w:rsidR="00E15E1B">
        <w:t xml:space="preserve"> </w:t>
      </w:r>
      <w:r>
        <w:t>soon</w:t>
      </w:r>
      <w:r w:rsidR="00E15E1B">
        <w:t xml:space="preserve"> </w:t>
      </w:r>
      <w:r>
        <w:t>as</w:t>
      </w:r>
      <w:r w:rsidR="00E15E1B">
        <w:t xml:space="preserve"> </w:t>
      </w:r>
      <w:r>
        <w:t>they</w:t>
      </w:r>
      <w:r w:rsidR="00E15E1B">
        <w:t xml:space="preserve"> </w:t>
      </w:r>
      <w:r>
        <w:t>receive</w:t>
      </w:r>
      <w:r w:rsidR="00E15E1B">
        <w:t xml:space="preserve"> </w:t>
      </w:r>
      <w:r>
        <w:t>payment.</w:t>
      </w:r>
      <w:r w:rsidR="00E15E1B">
        <w:t xml:space="preserve"> </w:t>
      </w:r>
      <w:r>
        <w:t>If</w:t>
      </w:r>
      <w:r w:rsidR="00E15E1B">
        <w:t xml:space="preserve"> </w:t>
      </w:r>
      <w:r>
        <w:t>travelling</w:t>
      </w:r>
      <w:r w:rsidR="00E15E1B">
        <w:t xml:space="preserve"> </w:t>
      </w:r>
      <w:r>
        <w:t>con</w:t>
      </w:r>
      <w:r w:rsidR="00E15E1B">
        <w:t xml:space="preserve"> </w:t>
      </w:r>
      <w:r>
        <w:t>men</w:t>
      </w:r>
      <w:r w:rsidR="00E15E1B">
        <w:t xml:space="preserve"> </w:t>
      </w:r>
      <w:r>
        <w:t>do</w:t>
      </w:r>
      <w:r w:rsidR="00E15E1B">
        <w:t xml:space="preserve"> </w:t>
      </w:r>
      <w:r>
        <w:t>any</w:t>
      </w:r>
      <w:r w:rsidR="00E15E1B">
        <w:t xml:space="preserve"> </w:t>
      </w:r>
      <w:r>
        <w:t>work,</w:t>
      </w:r>
      <w:r w:rsidR="00E15E1B">
        <w:t xml:space="preserve"> </w:t>
      </w:r>
      <w:r>
        <w:t>it</w:t>
      </w:r>
      <w:r w:rsidR="00E15E1B">
        <w:t xml:space="preserve"> </w:t>
      </w:r>
      <w:r>
        <w:t>is</w:t>
      </w:r>
      <w:r w:rsidR="00E15E1B">
        <w:t xml:space="preserve"> </w:t>
      </w:r>
      <w:r>
        <w:t>often</w:t>
      </w:r>
      <w:r w:rsidR="00E15E1B">
        <w:t xml:space="preserve"> </w:t>
      </w:r>
      <w:r>
        <w:t>unfinished</w:t>
      </w:r>
      <w:r w:rsidR="00E15E1B">
        <w:t xml:space="preserve"> </w:t>
      </w:r>
      <w:r>
        <w:t>or</w:t>
      </w:r>
      <w:r w:rsidR="00E15E1B">
        <w:t xml:space="preserve"> </w:t>
      </w:r>
      <w:r>
        <w:t>of</w:t>
      </w:r>
      <w:r w:rsidR="00E15E1B">
        <w:t xml:space="preserve"> </w:t>
      </w:r>
      <w:r>
        <w:t>a</w:t>
      </w:r>
      <w:r w:rsidR="00E15E1B">
        <w:t xml:space="preserve"> </w:t>
      </w:r>
      <w:r>
        <w:t>poor</w:t>
      </w:r>
      <w:r w:rsidR="00E15E1B">
        <w:t xml:space="preserve"> </w:t>
      </w:r>
      <w:r>
        <w:t>standard.</w:t>
      </w:r>
      <w:r w:rsidR="00E15E1B">
        <w:t xml:space="preserve"> </w:t>
      </w:r>
      <w:r>
        <w:t>They</w:t>
      </w:r>
      <w:r w:rsidR="00E15E1B">
        <w:t xml:space="preserve"> </w:t>
      </w:r>
      <w:r>
        <w:t>move</w:t>
      </w:r>
      <w:r w:rsidR="00E15E1B">
        <w:t xml:space="preserve"> </w:t>
      </w:r>
      <w:r>
        <w:t>quickly</w:t>
      </w:r>
      <w:r w:rsidR="00E15E1B">
        <w:t xml:space="preserve"> </w:t>
      </w:r>
      <w:r>
        <w:t>and</w:t>
      </w:r>
      <w:r w:rsidR="00E15E1B">
        <w:t xml:space="preserve"> </w:t>
      </w:r>
      <w:r>
        <w:t>usually</w:t>
      </w:r>
      <w:r w:rsidR="00E15E1B">
        <w:t xml:space="preserve"> </w:t>
      </w:r>
      <w:r>
        <w:t>only</w:t>
      </w:r>
      <w:r w:rsidR="00E15E1B">
        <w:t xml:space="preserve"> </w:t>
      </w:r>
      <w:r>
        <w:t>give</w:t>
      </w:r>
      <w:r w:rsidR="00E15E1B">
        <w:t xml:space="preserve"> </w:t>
      </w:r>
      <w:r>
        <w:t>a</w:t>
      </w:r>
      <w:r w:rsidR="00E15E1B">
        <w:t xml:space="preserve"> </w:t>
      </w:r>
      <w:r>
        <w:t>first</w:t>
      </w:r>
      <w:r w:rsidR="00E15E1B">
        <w:t xml:space="preserve"> </w:t>
      </w:r>
      <w:r>
        <w:t>name</w:t>
      </w:r>
      <w:r w:rsidR="00E15E1B">
        <w:t xml:space="preserve"> </w:t>
      </w:r>
      <w:r>
        <w:t>and</w:t>
      </w:r>
      <w:r w:rsidR="00E15E1B">
        <w:t xml:space="preserve"> </w:t>
      </w:r>
      <w:r>
        <w:t>mobile</w:t>
      </w:r>
      <w:r w:rsidR="00E15E1B">
        <w:t xml:space="preserve"> </w:t>
      </w:r>
      <w:r>
        <w:t>number</w:t>
      </w:r>
      <w:r w:rsidR="00E15E1B">
        <w:t xml:space="preserve"> </w:t>
      </w:r>
      <w:r>
        <w:t>–</w:t>
      </w:r>
      <w:r w:rsidR="00E15E1B">
        <w:t xml:space="preserve"> </w:t>
      </w:r>
      <w:r>
        <w:t>so</w:t>
      </w:r>
      <w:r w:rsidR="00E15E1B">
        <w:t xml:space="preserve"> </w:t>
      </w:r>
      <w:r>
        <w:t>tracking</w:t>
      </w:r>
      <w:r w:rsidR="00E15E1B">
        <w:t xml:space="preserve"> </w:t>
      </w:r>
      <w:r>
        <w:t>them</w:t>
      </w:r>
      <w:r w:rsidR="00E15E1B">
        <w:t xml:space="preserve"> </w:t>
      </w:r>
      <w:r>
        <w:t>down</w:t>
      </w:r>
      <w:r w:rsidR="00E15E1B">
        <w:t xml:space="preserve"> </w:t>
      </w:r>
      <w:r>
        <w:t>is</w:t>
      </w:r>
      <w:r w:rsidR="00E15E1B">
        <w:t xml:space="preserve"> </w:t>
      </w:r>
      <w:r>
        <w:t>difficult.</w:t>
      </w:r>
    </w:p>
    <w:p w:rsidR="00156239" w:rsidRDefault="00156239" w:rsidP="00156239">
      <w:pPr>
        <w:pStyle w:val="BodyText"/>
      </w:pPr>
      <w:r>
        <w:t>In</w:t>
      </w:r>
      <w:r w:rsidR="00E15E1B">
        <w:t xml:space="preserve"> </w:t>
      </w:r>
      <w:r>
        <w:t>December</w:t>
      </w:r>
      <w:r w:rsidR="00E15E1B">
        <w:t xml:space="preserve"> </w:t>
      </w:r>
      <w:r>
        <w:t>2017,</w:t>
      </w:r>
      <w:r w:rsidR="00E15E1B">
        <w:t xml:space="preserve"> </w:t>
      </w:r>
      <w:r>
        <w:t>our</w:t>
      </w:r>
      <w:r w:rsidR="00E15E1B">
        <w:t xml:space="preserve"> </w:t>
      </w:r>
      <w:r>
        <w:t>Grampians</w:t>
      </w:r>
      <w:r w:rsidR="00E15E1B">
        <w:t xml:space="preserve"> </w:t>
      </w:r>
      <w:r>
        <w:t>team</w:t>
      </w:r>
      <w:r w:rsidR="00E15E1B">
        <w:t xml:space="preserve"> </w:t>
      </w:r>
      <w:r>
        <w:t>worked</w:t>
      </w:r>
      <w:r w:rsidR="00E15E1B">
        <w:t xml:space="preserve"> </w:t>
      </w:r>
      <w:r>
        <w:t>with</w:t>
      </w:r>
      <w:r w:rsidR="00E15E1B">
        <w:t xml:space="preserve"> </w:t>
      </w:r>
      <w:r>
        <w:t>Crime</w:t>
      </w:r>
      <w:r w:rsidR="00E15E1B">
        <w:t xml:space="preserve"> </w:t>
      </w:r>
      <w:r>
        <w:t>Stoppers</w:t>
      </w:r>
      <w:r w:rsidR="00E15E1B">
        <w:t xml:space="preserve"> </w:t>
      </w:r>
      <w:r>
        <w:t>Victoria</w:t>
      </w:r>
      <w:r w:rsidR="00E15E1B">
        <w:t xml:space="preserve"> </w:t>
      </w:r>
      <w:r>
        <w:t>to</w:t>
      </w:r>
      <w:r w:rsidR="00E15E1B">
        <w:t xml:space="preserve"> </w:t>
      </w:r>
      <w:r>
        <w:t>warn</w:t>
      </w:r>
      <w:r w:rsidR="00E15E1B">
        <w:t xml:space="preserve"> </w:t>
      </w:r>
      <w:r>
        <w:t>Ballarat</w:t>
      </w:r>
      <w:r w:rsidR="00E15E1B">
        <w:t xml:space="preserve"> </w:t>
      </w:r>
      <w:r>
        <w:t>residents</w:t>
      </w:r>
      <w:r w:rsidR="00E15E1B">
        <w:t xml:space="preserve"> </w:t>
      </w:r>
      <w:r>
        <w:t>about</w:t>
      </w:r>
      <w:r w:rsidR="00E15E1B">
        <w:t xml:space="preserve"> </w:t>
      </w:r>
      <w:r>
        <w:t>travelling</w:t>
      </w:r>
      <w:r w:rsidR="00E15E1B">
        <w:t xml:space="preserve"> </w:t>
      </w:r>
      <w:r>
        <w:t>con</w:t>
      </w:r>
      <w:r w:rsidR="00E15E1B">
        <w:t xml:space="preserve"> </w:t>
      </w:r>
      <w:r>
        <w:t>men.</w:t>
      </w:r>
      <w:r w:rsidR="00E15E1B">
        <w:t xml:space="preserve"> </w:t>
      </w:r>
      <w:r>
        <w:t>Ballarat</w:t>
      </w:r>
      <w:r w:rsidR="00E15E1B">
        <w:t xml:space="preserve"> </w:t>
      </w:r>
      <w:r>
        <w:t>pensioner</w:t>
      </w:r>
      <w:r w:rsidR="00E15E1B">
        <w:t xml:space="preserve"> </w:t>
      </w:r>
      <w:r>
        <w:t>Robert</w:t>
      </w:r>
      <w:r w:rsidR="00E15E1B">
        <w:t xml:space="preserve"> </w:t>
      </w:r>
      <w:r>
        <w:t>Harper</w:t>
      </w:r>
      <w:r w:rsidR="00E15E1B">
        <w:t xml:space="preserve"> </w:t>
      </w:r>
      <w:r>
        <w:t>spoke</w:t>
      </w:r>
      <w:r w:rsidR="00E15E1B">
        <w:t xml:space="preserve"> </w:t>
      </w:r>
      <w:r>
        <w:t>about</w:t>
      </w:r>
      <w:r w:rsidR="00E15E1B">
        <w:t xml:space="preserve"> </w:t>
      </w:r>
      <w:r>
        <w:t>his</w:t>
      </w:r>
      <w:r w:rsidR="00E15E1B">
        <w:t xml:space="preserve"> </w:t>
      </w:r>
      <w:r>
        <w:t>experience</w:t>
      </w:r>
      <w:r w:rsidR="00E15E1B">
        <w:t xml:space="preserve"> </w:t>
      </w:r>
      <w:r>
        <w:t>losing</w:t>
      </w:r>
      <w:r w:rsidR="00E15E1B">
        <w:t xml:space="preserve"> </w:t>
      </w:r>
      <w:r>
        <w:t>hundreds</w:t>
      </w:r>
      <w:r w:rsidR="00E15E1B">
        <w:t xml:space="preserve"> </w:t>
      </w:r>
      <w:r>
        <w:t>of</w:t>
      </w:r>
      <w:r w:rsidR="00E15E1B">
        <w:t xml:space="preserve"> </w:t>
      </w:r>
      <w:r>
        <w:t>dollars</w:t>
      </w:r>
      <w:r w:rsidR="00E15E1B">
        <w:t xml:space="preserve"> </w:t>
      </w:r>
      <w:r>
        <w:t>to</w:t>
      </w:r>
      <w:r w:rsidR="00E15E1B">
        <w:t xml:space="preserve"> </w:t>
      </w:r>
      <w:r>
        <w:t>travelling</w:t>
      </w:r>
      <w:r w:rsidR="00E15E1B">
        <w:t xml:space="preserve"> </w:t>
      </w:r>
      <w:r>
        <w:t>con</w:t>
      </w:r>
      <w:r w:rsidR="00E15E1B">
        <w:t xml:space="preserve"> </w:t>
      </w:r>
      <w:r>
        <w:t>men,</w:t>
      </w:r>
      <w:r w:rsidR="00E15E1B">
        <w:t xml:space="preserve"> </w:t>
      </w:r>
      <w:r>
        <w:t>who</w:t>
      </w:r>
      <w:r w:rsidR="00E15E1B">
        <w:t xml:space="preserve"> </w:t>
      </w:r>
      <w:r>
        <w:t>promised</w:t>
      </w:r>
      <w:r w:rsidR="00E15E1B">
        <w:t xml:space="preserve"> </w:t>
      </w:r>
      <w:r>
        <w:t>to</w:t>
      </w:r>
      <w:r w:rsidR="00E15E1B">
        <w:t xml:space="preserve"> </w:t>
      </w:r>
      <w:r>
        <w:t>seal</w:t>
      </w:r>
      <w:r w:rsidR="00E15E1B">
        <w:t xml:space="preserve"> </w:t>
      </w:r>
      <w:r>
        <w:t>his</w:t>
      </w:r>
      <w:r w:rsidR="00E15E1B">
        <w:t xml:space="preserve"> </w:t>
      </w:r>
      <w:r>
        <w:t>driveway</w:t>
      </w:r>
      <w:r w:rsidR="00E15E1B">
        <w:t xml:space="preserve"> </w:t>
      </w:r>
      <w:r>
        <w:t>and</w:t>
      </w:r>
      <w:r w:rsidR="00E15E1B">
        <w:t xml:space="preserve"> </w:t>
      </w:r>
      <w:r>
        <w:t>clean</w:t>
      </w:r>
      <w:r w:rsidR="00E15E1B">
        <w:t xml:space="preserve"> </w:t>
      </w:r>
      <w:r>
        <w:t>the</w:t>
      </w:r>
      <w:r w:rsidR="00E15E1B">
        <w:t xml:space="preserve"> </w:t>
      </w:r>
      <w:r>
        <w:t>exterior</w:t>
      </w:r>
      <w:r w:rsidR="00E15E1B">
        <w:t xml:space="preserve"> </w:t>
      </w:r>
      <w:r>
        <w:t>of</w:t>
      </w:r>
      <w:r w:rsidR="00E15E1B">
        <w:t xml:space="preserve"> </w:t>
      </w:r>
      <w:r>
        <w:t>his</w:t>
      </w:r>
      <w:r w:rsidR="00E15E1B">
        <w:t xml:space="preserve"> </w:t>
      </w:r>
      <w:r>
        <w:t>house.</w:t>
      </w:r>
      <w:r w:rsidR="00E15E1B">
        <w:t xml:space="preserve"> </w:t>
      </w:r>
      <w:r>
        <w:t>To</w:t>
      </w:r>
      <w:r w:rsidR="00E15E1B">
        <w:t xml:space="preserve"> </w:t>
      </w:r>
      <w:r>
        <w:t>raise</w:t>
      </w:r>
      <w:r w:rsidR="00E15E1B">
        <w:t xml:space="preserve"> </w:t>
      </w:r>
      <w:r>
        <w:t>awareness</w:t>
      </w:r>
      <w:r w:rsidR="00E15E1B">
        <w:t xml:space="preserve"> </w:t>
      </w:r>
      <w:r>
        <w:t>among</w:t>
      </w:r>
      <w:r w:rsidR="00E15E1B">
        <w:t xml:space="preserve"> </w:t>
      </w:r>
      <w:r>
        <w:t>regional</w:t>
      </w:r>
      <w:r w:rsidR="00E15E1B">
        <w:t xml:space="preserve"> </w:t>
      </w:r>
      <w:r>
        <w:t>residents,</w:t>
      </w:r>
      <w:r w:rsidR="00E15E1B">
        <w:t xml:space="preserve"> </w:t>
      </w:r>
      <w:r>
        <w:t>the</w:t>
      </w:r>
      <w:r w:rsidR="00E15E1B">
        <w:t xml:space="preserve"> </w:t>
      </w:r>
      <w:r>
        <w:t>campaign</w:t>
      </w:r>
      <w:r w:rsidR="00E15E1B">
        <w:t xml:space="preserve"> </w:t>
      </w:r>
      <w:r>
        <w:t>featured</w:t>
      </w:r>
      <w:r w:rsidR="00E15E1B">
        <w:t xml:space="preserve"> </w:t>
      </w:r>
      <w:r>
        <w:t>in</w:t>
      </w:r>
      <w:r w:rsidR="00E15E1B">
        <w:t xml:space="preserve"> </w:t>
      </w:r>
      <w:r>
        <w:t>local</w:t>
      </w:r>
      <w:r w:rsidR="00E15E1B">
        <w:t xml:space="preserve"> </w:t>
      </w:r>
      <w:r>
        <w:t>newspapers,</w:t>
      </w:r>
      <w:r w:rsidR="00E15E1B">
        <w:t xml:space="preserve"> </w:t>
      </w:r>
      <w:r>
        <w:t>on</w:t>
      </w:r>
      <w:r w:rsidR="00E15E1B">
        <w:t xml:space="preserve"> </w:t>
      </w:r>
      <w:r>
        <w:t>radio</w:t>
      </w:r>
      <w:r w:rsidR="00E15E1B">
        <w:t xml:space="preserve"> </w:t>
      </w:r>
      <w:r>
        <w:t>and</w:t>
      </w:r>
      <w:r w:rsidR="00E15E1B">
        <w:t xml:space="preserve"> </w:t>
      </w:r>
      <w:r>
        <w:t>in</w:t>
      </w:r>
      <w:r w:rsidR="00E15E1B">
        <w:t xml:space="preserve"> </w:t>
      </w:r>
      <w:r>
        <w:t>television</w:t>
      </w:r>
      <w:r w:rsidR="00E15E1B">
        <w:t xml:space="preserve"> </w:t>
      </w:r>
      <w:r>
        <w:t>news</w:t>
      </w:r>
      <w:r w:rsidR="00E15E1B">
        <w:t xml:space="preserve"> </w:t>
      </w:r>
      <w:r>
        <w:t>coverage.</w:t>
      </w:r>
    </w:p>
    <w:p w:rsidR="00156239" w:rsidRDefault="00156239" w:rsidP="00156239">
      <w:pPr>
        <w:pStyle w:val="BodyText"/>
      </w:pPr>
      <w:r>
        <w:lastRenderedPageBreak/>
        <w:t>The</w:t>
      </w:r>
      <w:r w:rsidR="00E15E1B">
        <w:t xml:space="preserve"> </w:t>
      </w:r>
      <w:r>
        <w:t>initiative</w:t>
      </w:r>
      <w:r w:rsidR="00E15E1B">
        <w:t xml:space="preserve"> </w:t>
      </w:r>
      <w:r>
        <w:t>was</w:t>
      </w:r>
      <w:r w:rsidR="00E15E1B">
        <w:t xml:space="preserve"> </w:t>
      </w:r>
      <w:r>
        <w:t>part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new</w:t>
      </w:r>
      <w:r w:rsidR="00E15E1B">
        <w:t xml:space="preserve"> </w:t>
      </w:r>
      <w:r>
        <w:t>state-wide</w:t>
      </w:r>
      <w:r w:rsidR="00E15E1B">
        <w:t xml:space="preserve"> </w:t>
      </w:r>
      <w:r>
        <w:t>campaign,</w:t>
      </w:r>
      <w:r w:rsidR="00E15E1B">
        <w:t xml:space="preserve"> </w:t>
      </w:r>
      <w:r>
        <w:t>launched</w:t>
      </w:r>
      <w:r w:rsidR="00E15E1B">
        <w:t xml:space="preserve"> </w:t>
      </w:r>
      <w:r>
        <w:t>in</w:t>
      </w:r>
      <w:r w:rsidR="00E15E1B">
        <w:t xml:space="preserve"> </w:t>
      </w:r>
      <w:r>
        <w:t>October</w:t>
      </w:r>
      <w:r w:rsidR="00E15E1B">
        <w:t xml:space="preserve"> </w:t>
      </w:r>
      <w:r>
        <w:t>2017</w:t>
      </w:r>
      <w:r w:rsidR="00E15E1B">
        <w:t xml:space="preserve"> </w:t>
      </w:r>
      <w:r>
        <w:t>by</w:t>
      </w:r>
      <w:r w:rsidR="00E15E1B">
        <w:t xml:space="preserve"> </w:t>
      </w:r>
      <w:r>
        <w:t>Minister</w:t>
      </w:r>
      <w:r w:rsidR="00E15E1B">
        <w:t xml:space="preserve"> </w:t>
      </w:r>
      <w:r>
        <w:t>for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Marlene</w:t>
      </w:r>
      <w:r w:rsidR="00E15E1B">
        <w:t xml:space="preserve"> </w:t>
      </w:r>
      <w:r>
        <w:t>Kairouz,</w:t>
      </w:r>
      <w:r w:rsidR="00E15E1B">
        <w:t xml:space="preserve"> </w:t>
      </w:r>
      <w:r>
        <w:t>aimed</w:t>
      </w:r>
      <w:r w:rsidR="00E15E1B">
        <w:t xml:space="preserve"> </w:t>
      </w:r>
      <w:r>
        <w:t>at</w:t>
      </w:r>
      <w:r w:rsidR="00E15E1B">
        <w:t xml:space="preserve"> </w:t>
      </w:r>
      <w:r>
        <w:t>helping</w:t>
      </w:r>
      <w:r w:rsidR="00E15E1B">
        <w:t xml:space="preserve"> </w:t>
      </w:r>
      <w:r>
        <w:t>people</w:t>
      </w:r>
      <w:r w:rsidR="00E15E1B">
        <w:t xml:space="preserve"> </w:t>
      </w:r>
      <w:r>
        <w:t>identify</w:t>
      </w:r>
      <w:r w:rsidR="00E15E1B">
        <w:t xml:space="preserve"> </w:t>
      </w:r>
      <w:r>
        <w:t>and</w:t>
      </w:r>
      <w:r w:rsidR="00E15E1B">
        <w:t xml:space="preserve"> </w:t>
      </w:r>
      <w:r>
        <w:t>avoid</w:t>
      </w:r>
      <w:r w:rsidR="00E15E1B">
        <w:t xml:space="preserve"> </w:t>
      </w:r>
      <w:r>
        <w:t>travelling</w:t>
      </w:r>
      <w:r w:rsidR="00E15E1B">
        <w:t xml:space="preserve"> </w:t>
      </w:r>
      <w:r>
        <w:t>con</w:t>
      </w:r>
      <w:r w:rsidR="00E15E1B">
        <w:t xml:space="preserve"> </w:t>
      </w:r>
      <w:r>
        <w:t>men.</w:t>
      </w:r>
      <w:r w:rsidR="00E15E1B">
        <w:t xml:space="preserve"> </w:t>
      </w:r>
      <w:r>
        <w:t>The</w:t>
      </w:r>
      <w:r w:rsidR="00E15E1B">
        <w:t xml:space="preserve"> </w:t>
      </w:r>
      <w:r>
        <w:t>campaign,</w:t>
      </w:r>
      <w:r w:rsidR="00E15E1B">
        <w:t xml:space="preserve"> </w:t>
      </w:r>
      <w:r>
        <w:t>in</w:t>
      </w:r>
      <w:r w:rsidR="00E15E1B">
        <w:t xml:space="preserve"> </w:t>
      </w:r>
      <w:r>
        <w:t>partnership</w:t>
      </w:r>
      <w:r w:rsidR="00E15E1B">
        <w:t xml:space="preserve"> </w:t>
      </w:r>
      <w:r>
        <w:t>with</w:t>
      </w:r>
      <w:r w:rsidR="00E15E1B">
        <w:t xml:space="preserve"> </w:t>
      </w:r>
      <w:r>
        <w:t>Crime</w:t>
      </w:r>
      <w:r w:rsidR="00E15E1B">
        <w:t xml:space="preserve"> </w:t>
      </w:r>
      <w:r>
        <w:t>Stoppers</w:t>
      </w:r>
      <w:r w:rsidR="00E15E1B">
        <w:t xml:space="preserve"> </w:t>
      </w:r>
      <w:r>
        <w:t>Victoria,</w:t>
      </w:r>
      <w:r w:rsidR="00E15E1B">
        <w:t xml:space="preserve"> </w:t>
      </w:r>
      <w:r>
        <w:t>ran</w:t>
      </w:r>
      <w:r w:rsidR="00E15E1B">
        <w:t xml:space="preserve"> </w:t>
      </w:r>
      <w:r>
        <w:t>for</w:t>
      </w:r>
      <w:r w:rsidR="00E15E1B">
        <w:t xml:space="preserve"> </w:t>
      </w:r>
      <w:r>
        <w:t>15</w:t>
      </w:r>
      <w:r w:rsidR="00E15E1B">
        <w:t xml:space="preserve"> </w:t>
      </w:r>
      <w:r>
        <w:t>weeks</w:t>
      </w:r>
      <w:r w:rsidR="00E15E1B">
        <w:t xml:space="preserve"> </w:t>
      </w:r>
      <w:r>
        <w:t>across</w:t>
      </w:r>
      <w:r w:rsidR="00E15E1B">
        <w:t xml:space="preserve"> </w:t>
      </w:r>
      <w:r>
        <w:t>TV,</w:t>
      </w:r>
      <w:r w:rsidR="00E15E1B">
        <w:t xml:space="preserve"> </w:t>
      </w:r>
      <w:r>
        <w:t>radio,</w:t>
      </w:r>
      <w:r w:rsidR="00E15E1B">
        <w:t xml:space="preserve"> </w:t>
      </w:r>
      <w:r>
        <w:t>print,</w:t>
      </w:r>
      <w:r w:rsidR="00E15E1B">
        <w:t xml:space="preserve"> </w:t>
      </w:r>
      <w:r>
        <w:t>social</w:t>
      </w:r>
      <w:r w:rsidR="00E15E1B">
        <w:t xml:space="preserve"> </w:t>
      </w:r>
      <w:r>
        <w:t>media</w:t>
      </w:r>
      <w:r w:rsidR="00E15E1B">
        <w:t xml:space="preserve"> </w:t>
      </w:r>
      <w:r>
        <w:t>and</w:t>
      </w:r>
      <w:r w:rsidR="00E15E1B">
        <w:t xml:space="preserve"> </w:t>
      </w:r>
      <w:r>
        <w:t>in</w:t>
      </w:r>
      <w:r w:rsidR="00E15E1B">
        <w:t xml:space="preserve"> </w:t>
      </w:r>
      <w:r>
        <w:t>cinemas.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work</w:t>
      </w:r>
      <w:r w:rsidR="00E15E1B">
        <w:t xml:space="preserve"> </w:t>
      </w:r>
      <w:r>
        <w:t>hard</w:t>
      </w:r>
      <w:r w:rsidR="00E15E1B">
        <w:t xml:space="preserve"> </w:t>
      </w:r>
      <w:r>
        <w:t>to</w:t>
      </w:r>
      <w:r w:rsidR="00E15E1B">
        <w:t xml:space="preserve"> </w:t>
      </w:r>
      <w:r>
        <w:t>educate</w:t>
      </w:r>
      <w:r w:rsidR="00E15E1B">
        <w:t xml:space="preserve"> </w:t>
      </w:r>
      <w:r>
        <w:t>Victorians</w:t>
      </w:r>
      <w:r w:rsidR="00E15E1B">
        <w:t xml:space="preserve"> </w:t>
      </w:r>
      <w:r>
        <w:t>to</w:t>
      </w:r>
      <w:r w:rsidR="00E15E1B">
        <w:t xml:space="preserve"> </w:t>
      </w:r>
      <w:r>
        <w:t>recognise</w:t>
      </w:r>
      <w:r w:rsidR="00E15E1B">
        <w:t xml:space="preserve"> </w:t>
      </w:r>
      <w:r>
        <w:t>and</w:t>
      </w:r>
      <w:r w:rsidR="00E15E1B">
        <w:t xml:space="preserve"> </w:t>
      </w:r>
      <w:r>
        <w:t>avoid</w:t>
      </w:r>
      <w:r w:rsidR="00E15E1B">
        <w:t xml:space="preserve"> </w:t>
      </w:r>
      <w:r>
        <w:t>travelling</w:t>
      </w:r>
      <w:r w:rsidR="00E15E1B">
        <w:t xml:space="preserve"> </w:t>
      </w:r>
      <w:r>
        <w:t>con</w:t>
      </w:r>
      <w:r w:rsidR="00E15E1B">
        <w:t xml:space="preserve"> </w:t>
      </w:r>
      <w:r>
        <w:t>men,</w:t>
      </w:r>
      <w:r w:rsidR="00E15E1B">
        <w:t xml:space="preserve"> </w:t>
      </w:r>
      <w:r>
        <w:t>and</w:t>
      </w:r>
      <w:r w:rsidR="00E15E1B">
        <w:t xml:space="preserve"> </w:t>
      </w:r>
      <w:r>
        <w:t>alert</w:t>
      </w:r>
      <w:r w:rsidR="00E15E1B">
        <w:t xml:space="preserve"> </w:t>
      </w:r>
      <w:r>
        <w:t>communities</w:t>
      </w:r>
      <w:r w:rsidR="00E15E1B">
        <w:t xml:space="preserve"> </w:t>
      </w:r>
      <w:r>
        <w:t>when</w:t>
      </w:r>
      <w:r w:rsidR="00E15E1B">
        <w:t xml:space="preserve"> </w:t>
      </w:r>
      <w:r>
        <w:t>they</w:t>
      </w:r>
      <w:r w:rsidR="00E15E1B">
        <w:t xml:space="preserve"> </w:t>
      </w:r>
      <w:r>
        <w:t>are</w:t>
      </w:r>
      <w:r w:rsidR="00E15E1B">
        <w:t xml:space="preserve"> </w:t>
      </w:r>
      <w:r>
        <w:t>in</w:t>
      </w:r>
      <w:r w:rsidR="00E15E1B">
        <w:t xml:space="preserve"> </w:t>
      </w:r>
      <w:r>
        <w:t>a</w:t>
      </w:r>
      <w:r w:rsidR="00E15E1B">
        <w:t xml:space="preserve"> </w:t>
      </w:r>
      <w:r>
        <w:t>particular</w:t>
      </w:r>
      <w:r w:rsidR="00E15E1B">
        <w:t xml:space="preserve"> </w:t>
      </w:r>
      <w:r>
        <w:t>area.</w:t>
      </w:r>
      <w:r w:rsidR="00E15E1B">
        <w:t xml:space="preserve"> </w:t>
      </w:r>
      <w:r>
        <w:t>Travelling</w:t>
      </w:r>
      <w:r w:rsidR="00E15E1B">
        <w:t xml:space="preserve"> </w:t>
      </w:r>
      <w:r>
        <w:t>con</w:t>
      </w:r>
      <w:r w:rsidR="00E15E1B">
        <w:t xml:space="preserve"> </w:t>
      </w:r>
      <w:r>
        <w:t>men</w:t>
      </w:r>
      <w:r w:rsidR="00E15E1B">
        <w:t xml:space="preserve"> </w:t>
      </w:r>
      <w:r>
        <w:t>often</w:t>
      </w:r>
      <w:r w:rsidR="00E15E1B">
        <w:t xml:space="preserve"> </w:t>
      </w:r>
      <w:r>
        <w:t>target</w:t>
      </w:r>
      <w:r w:rsidR="00E15E1B">
        <w:t xml:space="preserve"> </w:t>
      </w:r>
      <w:r>
        <w:t>vulnerable</w:t>
      </w:r>
      <w:r w:rsidR="00E15E1B">
        <w:t xml:space="preserve"> </w:t>
      </w:r>
      <w:r>
        <w:t>consumers</w:t>
      </w:r>
      <w:r w:rsidR="00E15E1B">
        <w:t xml:space="preserve"> </w:t>
      </w:r>
      <w:r>
        <w:t>and</w:t>
      </w:r>
      <w:r w:rsidR="00E15E1B">
        <w:t xml:space="preserve"> </w:t>
      </w:r>
      <w:r>
        <w:t>residents</w:t>
      </w:r>
      <w:r w:rsidR="00E15E1B">
        <w:t xml:space="preserve"> </w:t>
      </w:r>
      <w:r>
        <w:t>who</w:t>
      </w:r>
      <w:r w:rsidR="00E15E1B">
        <w:t xml:space="preserve"> </w:t>
      </w:r>
      <w:r>
        <w:t>speak</w:t>
      </w:r>
      <w:r w:rsidR="00E15E1B">
        <w:t xml:space="preserve"> </w:t>
      </w:r>
      <w:r>
        <w:t>little</w:t>
      </w:r>
      <w:r w:rsidR="00E15E1B">
        <w:t xml:space="preserve"> </w:t>
      </w:r>
      <w:r>
        <w:t>or</w:t>
      </w:r>
      <w:r w:rsidR="00E15E1B">
        <w:t xml:space="preserve"> </w:t>
      </w:r>
      <w:r>
        <w:t>no</w:t>
      </w:r>
      <w:r w:rsidR="00E15E1B">
        <w:t xml:space="preserve"> </w:t>
      </w:r>
      <w:r>
        <w:t>English,</w:t>
      </w:r>
      <w:r w:rsidR="00E15E1B">
        <w:t xml:space="preserve"> </w:t>
      </w:r>
      <w:r>
        <w:t>so</w:t>
      </w:r>
      <w:r w:rsidR="00E15E1B">
        <w:t xml:space="preserve"> </w:t>
      </w:r>
      <w:r>
        <w:t>the</w:t>
      </w:r>
      <w:r w:rsidR="00E15E1B">
        <w:t xml:space="preserve"> </w:t>
      </w:r>
      <w:r>
        <w:t>campaign</w:t>
      </w:r>
      <w:r w:rsidR="00E15E1B">
        <w:t xml:space="preserve"> </w:t>
      </w:r>
      <w:r>
        <w:t>media</w:t>
      </w:r>
      <w:r w:rsidR="00E15E1B">
        <w:t xml:space="preserve"> </w:t>
      </w:r>
      <w:r>
        <w:t>release</w:t>
      </w:r>
      <w:r w:rsidR="00E15E1B">
        <w:t xml:space="preserve"> </w:t>
      </w:r>
      <w:r>
        <w:t>was</w:t>
      </w:r>
      <w:r w:rsidR="00E15E1B">
        <w:t xml:space="preserve"> </w:t>
      </w:r>
      <w:r>
        <w:t>translated</w:t>
      </w:r>
      <w:r w:rsidR="00E15E1B">
        <w:t xml:space="preserve"> </w:t>
      </w:r>
      <w:r>
        <w:t>into</w:t>
      </w:r>
      <w:r w:rsidR="00E15E1B">
        <w:t xml:space="preserve"> </w:t>
      </w:r>
      <w:r>
        <w:t>six</w:t>
      </w:r>
      <w:r w:rsidR="00E15E1B">
        <w:t xml:space="preserve"> </w:t>
      </w:r>
      <w:r>
        <w:t>languages</w:t>
      </w:r>
      <w:r w:rsidR="00E15E1B">
        <w:t xml:space="preserve"> </w:t>
      </w:r>
      <w:r>
        <w:t>and</w:t>
      </w:r>
      <w:r w:rsidR="00E15E1B">
        <w:t xml:space="preserve"> </w:t>
      </w:r>
      <w:r>
        <w:t>promoted</w:t>
      </w:r>
      <w:r w:rsidR="00E15E1B">
        <w:t xml:space="preserve"> </w:t>
      </w:r>
      <w:r>
        <w:t>on</w:t>
      </w:r>
      <w:r w:rsidR="00E15E1B">
        <w:t xml:space="preserve"> </w:t>
      </w:r>
      <w:r>
        <w:t>SBS.</w:t>
      </w:r>
    </w:p>
    <w:p w:rsidR="00156239" w:rsidRDefault="00156239" w:rsidP="00156239">
      <w:pPr>
        <w:pStyle w:val="Heading4"/>
      </w:pPr>
      <w:r>
        <w:t>It’s</w:t>
      </w:r>
      <w:r w:rsidR="00E15E1B">
        <w:t xml:space="preserve"> </w:t>
      </w:r>
      <w:r>
        <w:t>OK</w:t>
      </w:r>
      <w:r w:rsidR="00E15E1B">
        <w:t xml:space="preserve"> </w:t>
      </w:r>
      <w:r>
        <w:t>to</w:t>
      </w:r>
      <w:r w:rsidR="00E15E1B">
        <w:t xml:space="preserve"> </w:t>
      </w:r>
      <w:r>
        <w:t>walk</w:t>
      </w:r>
      <w:r w:rsidR="00E15E1B">
        <w:t xml:space="preserve"> </w:t>
      </w:r>
      <w:r>
        <w:t>away</w:t>
      </w:r>
    </w:p>
    <w:p w:rsidR="00156239" w:rsidRDefault="00156239" w:rsidP="00156239">
      <w:pPr>
        <w:pStyle w:val="BodyText"/>
      </w:pPr>
      <w:r>
        <w:t>As</w:t>
      </w:r>
      <w:r w:rsidR="00E15E1B">
        <w:t xml:space="preserve"> </w:t>
      </w:r>
      <w:r>
        <w:t>part</w:t>
      </w:r>
      <w:r w:rsidR="00E15E1B">
        <w:t xml:space="preserve"> </w:t>
      </w:r>
      <w:r>
        <w:t>of</w:t>
      </w:r>
      <w:r w:rsidR="00E15E1B">
        <w:t xml:space="preserve"> </w:t>
      </w:r>
      <w:r>
        <w:t>a</w:t>
      </w:r>
      <w:r w:rsidR="00E15E1B">
        <w:t xml:space="preserve"> </w:t>
      </w:r>
      <w:r>
        <w:t>national</w:t>
      </w:r>
      <w:r w:rsidR="00E15E1B">
        <w:t xml:space="preserve"> </w:t>
      </w:r>
      <w:r>
        <w:t>consumer</w:t>
      </w:r>
      <w:r w:rsidR="00E15E1B">
        <w:t xml:space="preserve"> </w:t>
      </w:r>
      <w:r>
        <w:t>rights</w:t>
      </w:r>
      <w:r w:rsidR="00E15E1B">
        <w:t xml:space="preserve"> </w:t>
      </w:r>
      <w:r>
        <w:t>campaign</w:t>
      </w:r>
      <w:r w:rsidR="00E15E1B">
        <w:t xml:space="preserve"> </w:t>
      </w:r>
      <w:r>
        <w:t>launched</w:t>
      </w:r>
      <w:r w:rsidR="00E15E1B">
        <w:t xml:space="preserve"> </w:t>
      </w:r>
      <w:r>
        <w:t>in</w:t>
      </w:r>
      <w:r w:rsidR="00E15E1B">
        <w:t xml:space="preserve"> </w:t>
      </w:r>
      <w:r>
        <w:t>July</w:t>
      </w:r>
      <w:r w:rsidR="00E15E1B">
        <w:t xml:space="preserve"> </w:t>
      </w:r>
      <w:r>
        <w:t>2017,</w:t>
      </w:r>
      <w:r w:rsidR="00E15E1B">
        <w:t xml:space="preserve"> </w:t>
      </w:r>
      <w:r>
        <w:t>we</w:t>
      </w:r>
      <w:r w:rsidR="00E15E1B">
        <w:t xml:space="preserve"> </w:t>
      </w:r>
      <w:r>
        <w:t>are</w:t>
      </w:r>
      <w:r w:rsidR="00E15E1B">
        <w:t xml:space="preserve"> </w:t>
      </w:r>
      <w:r>
        <w:t>encouraging</w:t>
      </w:r>
      <w:r w:rsidR="00E15E1B">
        <w:t xml:space="preserve"> </w:t>
      </w:r>
      <w:r>
        <w:t>Koori</w:t>
      </w:r>
      <w:r w:rsidR="00E15E1B">
        <w:t xml:space="preserve"> </w:t>
      </w:r>
      <w:r>
        <w:t>consumers</w:t>
      </w:r>
      <w:r w:rsidR="00E15E1B">
        <w:t xml:space="preserve"> </w:t>
      </w:r>
      <w:r>
        <w:t>to</w:t>
      </w:r>
      <w:r w:rsidR="00E15E1B">
        <w:t xml:space="preserve"> </w:t>
      </w:r>
      <w:r>
        <w:t>walk</w:t>
      </w:r>
      <w:r w:rsidR="00E15E1B">
        <w:t xml:space="preserve"> </w:t>
      </w:r>
      <w:r>
        <w:t>away</w:t>
      </w:r>
      <w:r w:rsidR="00E15E1B">
        <w:t xml:space="preserve"> </w:t>
      </w:r>
      <w:r>
        <w:t>from</w:t>
      </w:r>
      <w:r w:rsidR="00E15E1B">
        <w:t xml:space="preserve"> </w:t>
      </w:r>
      <w:r>
        <w:t>high-pressure</w:t>
      </w:r>
      <w:r w:rsidR="00E15E1B">
        <w:t xml:space="preserve"> </w:t>
      </w:r>
      <w:r>
        <w:t>sales</w:t>
      </w:r>
      <w:r w:rsidR="00E15E1B">
        <w:t xml:space="preserve"> </w:t>
      </w:r>
      <w:r>
        <w:t>pitches.</w:t>
      </w:r>
      <w:r w:rsidR="00E15E1B">
        <w:t xml:space="preserve"> </w:t>
      </w:r>
      <w:r>
        <w:t>The</w:t>
      </w:r>
      <w:r w:rsidR="00E15E1B">
        <w:t xml:space="preserve"> </w:t>
      </w:r>
      <w:r>
        <w:t>It’s</w:t>
      </w:r>
      <w:r w:rsidR="00E15E1B">
        <w:t xml:space="preserve"> </w:t>
      </w:r>
      <w:r>
        <w:t>OK</w:t>
      </w:r>
      <w:r w:rsidR="00E15E1B">
        <w:t xml:space="preserve"> </w:t>
      </w:r>
      <w:r>
        <w:t>to</w:t>
      </w:r>
      <w:r w:rsidR="00E15E1B">
        <w:t xml:space="preserve"> </w:t>
      </w:r>
      <w:r>
        <w:t>Walk</w:t>
      </w:r>
      <w:r w:rsidR="00E15E1B">
        <w:t xml:space="preserve"> </w:t>
      </w:r>
      <w:r>
        <w:t>Away</w:t>
      </w:r>
      <w:r w:rsidR="00E15E1B">
        <w:t xml:space="preserve"> </w:t>
      </w:r>
      <w:r>
        <w:t>campaign</w:t>
      </w:r>
      <w:r w:rsidR="00E15E1B">
        <w:t xml:space="preserve"> </w:t>
      </w:r>
      <w:r>
        <w:t>aims</w:t>
      </w:r>
      <w:r w:rsidR="00E15E1B">
        <w:t xml:space="preserve"> </w:t>
      </w:r>
      <w:r>
        <w:t>to</w:t>
      </w:r>
      <w:r w:rsidR="00E15E1B">
        <w:t xml:space="preserve"> </w:t>
      </w:r>
      <w:r>
        <w:t>help</w:t>
      </w:r>
      <w:r w:rsidR="00E15E1B">
        <w:t xml:space="preserve"> </w:t>
      </w:r>
      <w:r>
        <w:t>Koori</w:t>
      </w:r>
      <w:r w:rsidR="00E15E1B">
        <w:t xml:space="preserve"> </w:t>
      </w:r>
      <w:r>
        <w:t>consumers</w:t>
      </w:r>
      <w:r w:rsidR="00E15E1B">
        <w:t xml:space="preserve"> </w:t>
      </w:r>
      <w:r>
        <w:t>in</w:t>
      </w:r>
      <w:r w:rsidR="00E15E1B">
        <w:t xml:space="preserve"> </w:t>
      </w:r>
      <w:r>
        <w:t>urban,</w:t>
      </w:r>
      <w:r w:rsidR="00E15E1B">
        <w:t xml:space="preserve"> </w:t>
      </w:r>
      <w:r>
        <w:t>regional</w:t>
      </w:r>
      <w:r w:rsidR="00E15E1B">
        <w:t xml:space="preserve"> </w:t>
      </w:r>
      <w:r>
        <w:t>and</w:t>
      </w:r>
      <w:r w:rsidR="00E15E1B">
        <w:t xml:space="preserve"> </w:t>
      </w:r>
      <w:r>
        <w:t>rural</w:t>
      </w:r>
      <w:r w:rsidR="00E15E1B">
        <w:t xml:space="preserve"> </w:t>
      </w:r>
      <w:r>
        <w:t>areas</w:t>
      </w:r>
      <w:r w:rsidR="00E15E1B">
        <w:t xml:space="preserve"> </w:t>
      </w:r>
      <w:r>
        <w:t>of</w:t>
      </w:r>
      <w:r w:rsidR="00E15E1B">
        <w:t xml:space="preserve"> </w:t>
      </w:r>
      <w:r>
        <w:t>Victoria</w:t>
      </w:r>
      <w:r w:rsidR="00E15E1B">
        <w:t xml:space="preserve"> </w:t>
      </w:r>
      <w:r>
        <w:t>to</w:t>
      </w:r>
      <w:r w:rsidR="00E15E1B">
        <w:t xml:space="preserve"> </w:t>
      </w:r>
      <w:r>
        <w:t>identify</w:t>
      </w:r>
      <w:r w:rsidR="00E15E1B">
        <w:t xml:space="preserve"> </w:t>
      </w:r>
      <w:r>
        <w:t>high-pressure</w:t>
      </w:r>
      <w:r w:rsidR="00E15E1B">
        <w:t xml:space="preserve"> </w:t>
      </w:r>
      <w:r>
        <w:t>sales</w:t>
      </w:r>
      <w:r w:rsidR="00E15E1B">
        <w:t xml:space="preserve"> </w:t>
      </w:r>
      <w:r>
        <w:t>tactics</w:t>
      </w:r>
      <w:r w:rsidR="00E15E1B">
        <w:t xml:space="preserve"> </w:t>
      </w:r>
      <w:r>
        <w:t>and</w:t>
      </w:r>
      <w:r w:rsidR="00E15E1B">
        <w:t xml:space="preserve"> </w:t>
      </w:r>
      <w:r>
        <w:t>understand</w:t>
      </w:r>
      <w:r w:rsidR="00E15E1B">
        <w:t xml:space="preserve"> </w:t>
      </w:r>
      <w:r>
        <w:t>their</w:t>
      </w:r>
      <w:r w:rsidR="00E15E1B">
        <w:t xml:space="preserve"> </w:t>
      </w:r>
      <w:r>
        <w:t>consumer</w:t>
      </w:r>
      <w:r w:rsidR="00E15E1B">
        <w:t xml:space="preserve"> </w:t>
      </w:r>
      <w:r>
        <w:t>rights.</w:t>
      </w:r>
    </w:p>
    <w:p w:rsidR="00156239" w:rsidRDefault="00156239" w:rsidP="00156239">
      <w:pPr>
        <w:pStyle w:val="BodyText"/>
      </w:pPr>
      <w:r>
        <w:t>Organisations</w:t>
      </w:r>
      <w:r w:rsidR="00E15E1B">
        <w:t xml:space="preserve"> </w:t>
      </w:r>
      <w:r>
        <w:t>have</w:t>
      </w:r>
      <w:r w:rsidR="00E15E1B">
        <w:t xml:space="preserve"> </w:t>
      </w:r>
      <w:r>
        <w:t>previously</w:t>
      </w:r>
      <w:r w:rsidR="00E15E1B">
        <w:t xml:space="preserve"> </w:t>
      </w:r>
      <w:r>
        <w:t>used</w:t>
      </w:r>
      <w:r w:rsidR="00E15E1B">
        <w:t xml:space="preserve"> </w:t>
      </w:r>
      <w:r>
        <w:t>high-pressure</w:t>
      </w:r>
      <w:r w:rsidR="00E15E1B">
        <w:t xml:space="preserve"> </w:t>
      </w:r>
      <w:r>
        <w:t>sales</w:t>
      </w:r>
      <w:r w:rsidR="00E15E1B">
        <w:t xml:space="preserve"> </w:t>
      </w:r>
      <w:r>
        <w:t>tactics</w:t>
      </w:r>
      <w:r w:rsidR="00E15E1B">
        <w:t xml:space="preserve"> </w:t>
      </w:r>
      <w:r>
        <w:t>to</w:t>
      </w:r>
      <w:r w:rsidR="00E15E1B">
        <w:t xml:space="preserve"> </w:t>
      </w:r>
      <w:r>
        <w:t>sign</w:t>
      </w:r>
      <w:r w:rsidR="00E15E1B">
        <w:t xml:space="preserve"> </w:t>
      </w:r>
      <w:r>
        <w:t>up</w:t>
      </w:r>
      <w:r w:rsidR="00E15E1B">
        <w:t xml:space="preserve"> </w:t>
      </w:r>
      <w:r>
        <w:t>Aboriginal</w:t>
      </w:r>
      <w:r w:rsidR="00E15E1B">
        <w:t xml:space="preserve"> </w:t>
      </w:r>
      <w:r>
        <w:t>and</w:t>
      </w:r>
      <w:r w:rsidR="00E15E1B">
        <w:t xml:space="preserve"> </w:t>
      </w:r>
      <w:r>
        <w:t>Torres</w:t>
      </w:r>
      <w:r w:rsidR="00E15E1B">
        <w:t xml:space="preserve"> </w:t>
      </w:r>
      <w:r>
        <w:t>Strait</w:t>
      </w:r>
      <w:r w:rsidR="00E15E1B">
        <w:t xml:space="preserve"> </w:t>
      </w:r>
      <w:r>
        <w:t>Islander</w:t>
      </w:r>
      <w:r w:rsidR="00E15E1B">
        <w:t xml:space="preserve"> </w:t>
      </w:r>
      <w:r>
        <w:t>consumers</w:t>
      </w:r>
      <w:r w:rsidR="00E15E1B">
        <w:t xml:space="preserve"> </w:t>
      </w:r>
      <w:r>
        <w:t>to</w:t>
      </w:r>
      <w:r w:rsidR="00E15E1B">
        <w:t xml:space="preserve"> </w:t>
      </w:r>
      <w:r>
        <w:t>Vocational</w:t>
      </w:r>
      <w:r w:rsidR="00E15E1B">
        <w:t xml:space="preserve"> </w:t>
      </w:r>
      <w:r>
        <w:t>Education</w:t>
      </w:r>
      <w:r w:rsidR="00E15E1B">
        <w:t xml:space="preserve"> </w:t>
      </w:r>
      <w:r>
        <w:t>and</w:t>
      </w:r>
      <w:r w:rsidR="00E15E1B">
        <w:t xml:space="preserve"> </w:t>
      </w:r>
      <w:r>
        <w:t>Training</w:t>
      </w:r>
      <w:r w:rsidR="00E15E1B">
        <w:t xml:space="preserve"> </w:t>
      </w:r>
      <w:r>
        <w:t>(VET)</w:t>
      </w:r>
      <w:r w:rsidR="00E15E1B">
        <w:t xml:space="preserve"> </w:t>
      </w:r>
      <w:r>
        <w:t>courses,</w:t>
      </w:r>
      <w:r w:rsidR="00E15E1B">
        <w:t xml:space="preserve"> </w:t>
      </w:r>
      <w:r>
        <w:t>mobile</w:t>
      </w:r>
      <w:r w:rsidR="00E15E1B">
        <w:t xml:space="preserve"> </w:t>
      </w:r>
      <w:r>
        <w:t>telephone</w:t>
      </w:r>
      <w:r w:rsidR="00E15E1B">
        <w:t xml:space="preserve"> </w:t>
      </w:r>
      <w:r>
        <w:t>services</w:t>
      </w:r>
      <w:r w:rsidR="00E15E1B">
        <w:t xml:space="preserve"> </w:t>
      </w:r>
      <w:r>
        <w:t>and</w:t>
      </w:r>
      <w:r w:rsidR="00E15E1B">
        <w:t xml:space="preserve"> </w:t>
      </w:r>
      <w:r>
        <w:t>to</w:t>
      </w:r>
      <w:r w:rsidR="00E15E1B">
        <w:t xml:space="preserve"> </w:t>
      </w:r>
      <w:r>
        <w:t>sell</w:t>
      </w:r>
      <w:r w:rsidR="00E15E1B">
        <w:t xml:space="preserve"> </w:t>
      </w:r>
      <w:r>
        <w:t>electronics</w:t>
      </w:r>
      <w:r w:rsidR="00E15E1B">
        <w:t xml:space="preserve"> </w:t>
      </w:r>
      <w:r>
        <w:t>and</w:t>
      </w:r>
      <w:r w:rsidR="00E15E1B">
        <w:t xml:space="preserve"> </w:t>
      </w:r>
      <w:r>
        <w:t>photography</w:t>
      </w:r>
      <w:r w:rsidR="00E15E1B">
        <w:t xml:space="preserve"> </w:t>
      </w:r>
      <w:r>
        <w:t>packages.</w:t>
      </w:r>
    </w:p>
    <w:p w:rsidR="00156239" w:rsidRDefault="00156239" w:rsidP="00156239">
      <w:pPr>
        <w:pStyle w:val="BodyText"/>
      </w:pPr>
      <w:r>
        <w:t>It’s</w:t>
      </w:r>
      <w:r w:rsidR="00E15E1B">
        <w:t xml:space="preserve"> </w:t>
      </w:r>
      <w:r>
        <w:t>OK</w:t>
      </w:r>
      <w:r w:rsidR="00E15E1B">
        <w:t xml:space="preserve"> </w:t>
      </w:r>
      <w:r>
        <w:t>to</w:t>
      </w:r>
      <w:r w:rsidR="00E15E1B">
        <w:t xml:space="preserve"> </w:t>
      </w:r>
      <w:r>
        <w:t>Walk</w:t>
      </w:r>
      <w:r w:rsidR="00E15E1B">
        <w:t xml:space="preserve"> </w:t>
      </w:r>
      <w:r>
        <w:t>Away</w:t>
      </w:r>
      <w:r w:rsidR="00E15E1B">
        <w:t xml:space="preserve"> </w:t>
      </w:r>
      <w:r>
        <w:t>featured</w:t>
      </w:r>
      <w:r w:rsidR="00E15E1B">
        <w:t xml:space="preserve"> </w:t>
      </w:r>
      <w:r>
        <w:t>presentations,</w:t>
      </w:r>
      <w:r w:rsidR="00E15E1B">
        <w:t xml:space="preserve"> </w:t>
      </w:r>
      <w:r>
        <w:t>social</w:t>
      </w:r>
      <w:r w:rsidR="00E15E1B">
        <w:t xml:space="preserve"> </w:t>
      </w:r>
      <w:r>
        <w:t>media</w:t>
      </w:r>
      <w:r w:rsidR="00E15E1B">
        <w:t xml:space="preserve"> </w:t>
      </w:r>
      <w:r>
        <w:t>posts</w:t>
      </w:r>
      <w:r w:rsidR="00E15E1B">
        <w:t xml:space="preserve"> </w:t>
      </w:r>
      <w:r>
        <w:t>and</w:t>
      </w:r>
      <w:r w:rsidR="00E15E1B">
        <w:t xml:space="preserve"> </w:t>
      </w:r>
      <w:r>
        <w:t>videos</w:t>
      </w:r>
      <w:r w:rsidR="00E15E1B">
        <w:t xml:space="preserve"> </w:t>
      </w:r>
      <w:r>
        <w:t>about</w:t>
      </w:r>
      <w:r w:rsidR="00E15E1B">
        <w:t xml:space="preserve"> </w:t>
      </w:r>
      <w:r>
        <w:t>the</w:t>
      </w:r>
      <w:r w:rsidR="00E15E1B">
        <w:t xml:space="preserve"> </w:t>
      </w:r>
      <w:r>
        <w:t>various</w:t>
      </w:r>
      <w:r w:rsidR="00E15E1B">
        <w:t xml:space="preserve"> </w:t>
      </w:r>
      <w:r>
        <w:t>tactics</w:t>
      </w:r>
      <w:r w:rsidR="00E15E1B">
        <w:t xml:space="preserve"> </w:t>
      </w:r>
      <w:r>
        <w:t>used</w:t>
      </w:r>
      <w:r w:rsidR="00E15E1B">
        <w:t xml:space="preserve"> </w:t>
      </w:r>
      <w:r>
        <w:t>by</w:t>
      </w:r>
      <w:r w:rsidR="00E15E1B">
        <w:t xml:space="preserve"> </w:t>
      </w:r>
      <w:r>
        <w:t>salespeople,</w:t>
      </w:r>
      <w:r w:rsidR="00E15E1B">
        <w:t xml:space="preserve"> </w:t>
      </w:r>
      <w:r>
        <w:t>providing</w:t>
      </w:r>
      <w:r w:rsidR="00E15E1B">
        <w:t xml:space="preserve"> </w:t>
      </w:r>
      <w:r>
        <w:t>Koori</w:t>
      </w:r>
      <w:r w:rsidR="00E15E1B">
        <w:t xml:space="preserve"> </w:t>
      </w:r>
      <w:r>
        <w:t>consumers</w:t>
      </w:r>
      <w:r w:rsidR="00E15E1B">
        <w:t xml:space="preserve"> </w:t>
      </w:r>
      <w:r>
        <w:t>with</w:t>
      </w:r>
      <w:r w:rsidR="00E15E1B">
        <w:t xml:space="preserve"> </w:t>
      </w:r>
      <w:r>
        <w:t>helpful</w:t>
      </w:r>
      <w:r w:rsidR="00E15E1B">
        <w:t xml:space="preserve"> </w:t>
      </w:r>
      <w:r>
        <w:t>tips.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have</w:t>
      </w:r>
      <w:r w:rsidR="00E15E1B">
        <w:t xml:space="preserve"> </w:t>
      </w:r>
      <w:r>
        <w:t>a</w:t>
      </w:r>
      <w:r w:rsidR="00E15E1B">
        <w:t xml:space="preserve"> </w:t>
      </w:r>
      <w:r>
        <w:t>dedicated</w:t>
      </w:r>
      <w:r w:rsidR="00E15E1B">
        <w:t xml:space="preserve"> </w:t>
      </w:r>
      <w:r>
        <w:t>telephone</w:t>
      </w:r>
      <w:r w:rsidR="00E15E1B">
        <w:t xml:space="preserve"> </w:t>
      </w:r>
      <w:r>
        <w:t>service</w:t>
      </w:r>
      <w:r w:rsidR="00E15E1B">
        <w:t xml:space="preserve"> </w:t>
      </w:r>
      <w:r>
        <w:t>for</w:t>
      </w:r>
      <w:r w:rsidR="00E15E1B">
        <w:t xml:space="preserve"> </w:t>
      </w:r>
      <w:r>
        <w:t>Koori</w:t>
      </w:r>
      <w:r w:rsidR="00E15E1B">
        <w:t xml:space="preserve"> </w:t>
      </w:r>
      <w:r>
        <w:t>consumers,</w:t>
      </w:r>
      <w:r w:rsidR="00E15E1B">
        <w:t xml:space="preserve"> </w:t>
      </w:r>
      <w:r>
        <w:t>offering</w:t>
      </w:r>
      <w:r w:rsidR="00E15E1B">
        <w:t xml:space="preserve"> </w:t>
      </w:r>
      <w:r>
        <w:t>advice,</w:t>
      </w:r>
      <w:r w:rsidR="00E15E1B">
        <w:t xml:space="preserve"> </w:t>
      </w:r>
      <w:r>
        <w:t>information</w:t>
      </w:r>
      <w:r w:rsidR="00E15E1B">
        <w:t xml:space="preserve"> </w:t>
      </w:r>
      <w:r>
        <w:t>and</w:t>
      </w:r>
      <w:r w:rsidR="00E15E1B">
        <w:t xml:space="preserve"> </w:t>
      </w:r>
      <w:r>
        <w:t>support.</w:t>
      </w:r>
    </w:p>
    <w:p w:rsidR="00156239" w:rsidRDefault="00156239" w:rsidP="00156239">
      <w:pPr>
        <w:pStyle w:val="Heading4"/>
      </w:pPr>
      <w:r>
        <w:t>Partnering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Dispute</w:t>
      </w:r>
      <w:r w:rsidR="00E15E1B">
        <w:t xml:space="preserve"> </w:t>
      </w:r>
      <w:r>
        <w:t>Settlement</w:t>
      </w:r>
      <w:r w:rsidR="00E15E1B">
        <w:t xml:space="preserve"> </w:t>
      </w:r>
      <w:r>
        <w:t>Centre</w:t>
      </w:r>
      <w:r w:rsidR="00E15E1B">
        <w:t xml:space="preserve"> </w:t>
      </w:r>
      <w:r>
        <w:t>of</w:t>
      </w:r>
      <w:r w:rsidR="00E15E1B">
        <w:t xml:space="preserve"> </w:t>
      </w:r>
      <w:r>
        <w:t>Victoria</w:t>
      </w:r>
    </w:p>
    <w:p w:rsidR="00156239" w:rsidRDefault="00156239" w:rsidP="00156239">
      <w:pPr>
        <w:pStyle w:val="BodyText"/>
      </w:pPr>
      <w:r>
        <w:t>In</w:t>
      </w:r>
      <w:r w:rsidR="00E15E1B">
        <w:t xml:space="preserve"> </w:t>
      </w:r>
      <w:r>
        <w:t>April</w:t>
      </w:r>
      <w:r w:rsidR="00E15E1B">
        <w:t xml:space="preserve"> </w:t>
      </w:r>
      <w:r>
        <w:t>2018,</w:t>
      </w:r>
      <w:r w:rsidR="00E15E1B">
        <w:t xml:space="preserve"> </w:t>
      </w:r>
      <w:r>
        <w:t>we</w:t>
      </w:r>
      <w:r w:rsidR="00E15E1B">
        <w:t xml:space="preserve"> </w:t>
      </w:r>
      <w:r>
        <w:t>transferred</w:t>
      </w:r>
      <w:r w:rsidR="00E15E1B">
        <w:t xml:space="preserve"> </w:t>
      </w:r>
      <w:r>
        <w:t>some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dispute</w:t>
      </w:r>
      <w:r w:rsidR="00E15E1B">
        <w:t xml:space="preserve"> </w:t>
      </w:r>
      <w:r>
        <w:t>resolution</w:t>
      </w:r>
      <w:r w:rsidR="00E15E1B">
        <w:t xml:space="preserve"> </w:t>
      </w:r>
      <w:r>
        <w:t>services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Dispute</w:t>
      </w:r>
      <w:r w:rsidR="00E15E1B">
        <w:t xml:space="preserve"> </w:t>
      </w:r>
      <w:r>
        <w:t>Settlement</w:t>
      </w:r>
      <w:r w:rsidR="00E15E1B">
        <w:t xml:space="preserve"> </w:t>
      </w:r>
      <w:r>
        <w:t>Centre</w:t>
      </w:r>
      <w:r w:rsidR="00E15E1B">
        <w:t xml:space="preserve"> </w:t>
      </w:r>
      <w:r>
        <w:t>of</w:t>
      </w:r>
      <w:r w:rsidR="00E15E1B">
        <w:t xml:space="preserve"> </w:t>
      </w:r>
      <w:r>
        <w:t>Victoria</w:t>
      </w:r>
      <w:r w:rsidR="00E15E1B">
        <w:t xml:space="preserve"> </w:t>
      </w:r>
      <w:r>
        <w:t>(DSCV)</w:t>
      </w:r>
      <w:r w:rsidR="00E15E1B">
        <w:t xml:space="preserve"> </w:t>
      </w:r>
      <w:r>
        <w:t>as</w:t>
      </w:r>
      <w:r w:rsidR="00E15E1B">
        <w:t xml:space="preserve"> </w:t>
      </w:r>
      <w:r>
        <w:t>part</w:t>
      </w:r>
      <w:r w:rsidR="00E15E1B">
        <w:t xml:space="preserve"> </w:t>
      </w:r>
      <w:r>
        <w:t>of</w:t>
      </w:r>
      <w:r w:rsidR="00E15E1B">
        <w:t xml:space="preserve"> </w:t>
      </w:r>
      <w:r>
        <w:t>a</w:t>
      </w:r>
      <w:r w:rsidR="00E15E1B">
        <w:t xml:space="preserve"> </w:t>
      </w:r>
      <w:r>
        <w:t>commitment</w:t>
      </w:r>
      <w:r w:rsidR="00E15E1B">
        <w:t xml:space="preserve"> </w:t>
      </w:r>
      <w:r>
        <w:t>across</w:t>
      </w:r>
      <w:r w:rsidR="00E15E1B">
        <w:t xml:space="preserve"> </w:t>
      </w:r>
      <w:r>
        <w:t>the</w:t>
      </w:r>
      <w:r w:rsidR="00E15E1B">
        <w:t xml:space="preserve"> </w:t>
      </w:r>
      <w:r>
        <w:t>Department</w:t>
      </w:r>
      <w:r w:rsidR="00E15E1B">
        <w:t xml:space="preserve"> </w:t>
      </w:r>
      <w:r>
        <w:t>of</w:t>
      </w:r>
      <w:r w:rsidR="00E15E1B">
        <w:t xml:space="preserve"> </w:t>
      </w:r>
      <w:r>
        <w:t>Justice</w:t>
      </w:r>
      <w:r w:rsidR="00E15E1B">
        <w:t xml:space="preserve"> </w:t>
      </w:r>
      <w:r>
        <w:t>and</w:t>
      </w:r>
      <w:r w:rsidR="00E15E1B">
        <w:t xml:space="preserve"> </w:t>
      </w:r>
      <w:r>
        <w:t>Regulation</w:t>
      </w:r>
      <w:r w:rsidR="00E15E1B">
        <w:t xml:space="preserve"> </w:t>
      </w:r>
      <w:r>
        <w:t>to</w:t>
      </w:r>
      <w:r w:rsidR="00E15E1B">
        <w:t xml:space="preserve"> </w:t>
      </w:r>
      <w:r>
        <w:t>ensure</w:t>
      </w:r>
      <w:r w:rsidR="00E15E1B">
        <w:t xml:space="preserve"> </w:t>
      </w:r>
      <w:r>
        <w:t>Victorians</w:t>
      </w:r>
      <w:r w:rsidR="00E15E1B">
        <w:t xml:space="preserve"> </w:t>
      </w:r>
      <w:r>
        <w:t>have</w:t>
      </w:r>
      <w:r w:rsidR="00E15E1B">
        <w:t xml:space="preserve"> </w:t>
      </w:r>
      <w:r>
        <w:t>the</w:t>
      </w:r>
      <w:r w:rsidR="00E15E1B">
        <w:t xml:space="preserve"> </w:t>
      </w:r>
      <w:r>
        <w:t>right</w:t>
      </w:r>
      <w:r w:rsidR="00E15E1B">
        <w:t xml:space="preserve"> </w:t>
      </w:r>
      <w:r>
        <w:t>level</w:t>
      </w:r>
      <w:r w:rsidR="00E15E1B">
        <w:t xml:space="preserve"> </w:t>
      </w:r>
      <w:r>
        <w:t>of</w:t>
      </w:r>
      <w:r w:rsidR="00E15E1B">
        <w:t xml:space="preserve"> </w:t>
      </w:r>
      <w:r>
        <w:t>service</w:t>
      </w:r>
      <w:r w:rsidR="00E15E1B">
        <w:t xml:space="preserve"> </w:t>
      </w:r>
      <w:r>
        <w:t>at</w:t>
      </w:r>
      <w:r w:rsidR="00E15E1B">
        <w:t xml:space="preserve"> </w:t>
      </w:r>
      <w:r>
        <w:t>the</w:t>
      </w:r>
      <w:r w:rsidR="00E15E1B">
        <w:t xml:space="preserve"> </w:t>
      </w:r>
      <w:r>
        <w:t>right</w:t>
      </w:r>
      <w:r w:rsidR="00E15E1B">
        <w:t xml:space="preserve"> </w:t>
      </w:r>
      <w:r>
        <w:t>time.</w:t>
      </w:r>
    </w:p>
    <w:p w:rsidR="00156239" w:rsidRDefault="00156239" w:rsidP="00156239">
      <w:pPr>
        <w:pStyle w:val="BodyText"/>
      </w:pPr>
      <w:r>
        <w:t>DSCV</w:t>
      </w:r>
      <w:r w:rsidR="00E15E1B">
        <w:t xml:space="preserve"> </w:t>
      </w:r>
      <w:r>
        <w:t>is</w:t>
      </w:r>
      <w:r w:rsidR="00E15E1B">
        <w:t xml:space="preserve"> </w:t>
      </w:r>
      <w:r>
        <w:t>now</w:t>
      </w:r>
      <w:r w:rsidR="00E15E1B">
        <w:t xml:space="preserve"> </w:t>
      </w:r>
      <w:r>
        <w:t>responsible</w:t>
      </w:r>
      <w:r w:rsidR="00E15E1B">
        <w:t xml:space="preserve"> </w:t>
      </w:r>
      <w:r>
        <w:t>for</w:t>
      </w:r>
      <w:r w:rsidR="00E15E1B">
        <w:t xml:space="preserve"> </w:t>
      </w:r>
      <w:r>
        <w:t>assessing</w:t>
      </w:r>
      <w:r w:rsidR="00E15E1B">
        <w:t xml:space="preserve"> </w:t>
      </w:r>
      <w:r>
        <w:t>and</w:t>
      </w:r>
      <w:r w:rsidR="00E15E1B">
        <w:t xml:space="preserve"> </w:t>
      </w:r>
      <w:r>
        <w:t>managing</w:t>
      </w:r>
      <w:r w:rsidR="00E15E1B">
        <w:t xml:space="preserve"> </w:t>
      </w:r>
      <w:r>
        <w:t>internal</w:t>
      </w:r>
      <w:r w:rsidR="00E15E1B">
        <w:t xml:space="preserve"> </w:t>
      </w:r>
      <w:r>
        <w:t>dispute</w:t>
      </w:r>
      <w:r w:rsidR="00E15E1B">
        <w:t xml:space="preserve"> </w:t>
      </w:r>
      <w:r>
        <w:t>matters</w:t>
      </w:r>
      <w:r w:rsidR="00E15E1B">
        <w:t xml:space="preserve"> </w:t>
      </w:r>
      <w:r>
        <w:t>within</w:t>
      </w:r>
      <w:r w:rsidR="00E15E1B">
        <w:t xml:space="preserve"> </w:t>
      </w:r>
      <w:r>
        <w:t>retirement</w:t>
      </w:r>
      <w:r w:rsidR="00E15E1B">
        <w:t xml:space="preserve"> </w:t>
      </w:r>
      <w:r>
        <w:t>villages</w:t>
      </w:r>
      <w:r w:rsidR="00E15E1B">
        <w:t xml:space="preserve"> </w:t>
      </w:r>
      <w:r>
        <w:t>and</w:t>
      </w:r>
      <w:r w:rsidR="00E15E1B">
        <w:t xml:space="preserve"> </w:t>
      </w:r>
      <w:r>
        <w:t>owners</w:t>
      </w:r>
      <w:r w:rsidR="00E15E1B">
        <w:t xml:space="preserve"> </w:t>
      </w:r>
      <w:r>
        <w:t>corporations,</w:t>
      </w:r>
      <w:r w:rsidR="00E15E1B">
        <w:t xml:space="preserve"> </w:t>
      </w:r>
      <w:r>
        <w:t>leaving</w:t>
      </w:r>
      <w:r w:rsidR="00E15E1B">
        <w:t xml:space="preserve"> </w:t>
      </w:r>
      <w:r>
        <w:t>us</w:t>
      </w:r>
      <w:r w:rsidR="00E15E1B">
        <w:t xml:space="preserve"> </w:t>
      </w:r>
      <w:r>
        <w:t>to</w:t>
      </w:r>
      <w:r w:rsidR="00E15E1B">
        <w:t xml:space="preserve"> </w:t>
      </w:r>
      <w:r>
        <w:t>focus</w:t>
      </w:r>
      <w:r w:rsidR="00E15E1B">
        <w:t xml:space="preserve"> </w:t>
      </w:r>
      <w:r>
        <w:t>on</w:t>
      </w:r>
      <w:r w:rsidR="00E15E1B">
        <w:t xml:space="preserve"> </w:t>
      </w:r>
      <w:r>
        <w:t>our</w:t>
      </w:r>
      <w:r w:rsidR="00E15E1B">
        <w:t xml:space="preserve"> </w:t>
      </w:r>
      <w:r>
        <w:t>compliance</w:t>
      </w:r>
      <w:r w:rsidR="00E15E1B">
        <w:t xml:space="preserve"> </w:t>
      </w:r>
      <w:r>
        <w:t>functions</w:t>
      </w:r>
      <w:r w:rsidR="00E15E1B">
        <w:t xml:space="preserve"> </w:t>
      </w:r>
      <w:r>
        <w:t>as</w:t>
      </w:r>
      <w:r w:rsidR="00E15E1B">
        <w:t xml:space="preserve"> </w:t>
      </w:r>
      <w:r>
        <w:t>a</w:t>
      </w:r>
      <w:r w:rsidR="00E15E1B">
        <w:t xml:space="preserve"> </w:t>
      </w:r>
      <w:r>
        <w:t>regulator.</w:t>
      </w:r>
    </w:p>
    <w:p w:rsidR="00156239" w:rsidRDefault="00156239" w:rsidP="00156239">
      <w:pPr>
        <w:pStyle w:val="BodyText"/>
      </w:pPr>
      <w:r>
        <w:t>To</w:t>
      </w:r>
      <w:r w:rsidR="00E15E1B">
        <w:t xml:space="preserve"> </w:t>
      </w:r>
      <w:r>
        <w:t>support</w:t>
      </w:r>
      <w:r w:rsidR="00E15E1B">
        <w:t xml:space="preserve"> </w:t>
      </w:r>
      <w:r>
        <w:t>the</w:t>
      </w:r>
      <w:r w:rsidR="00E15E1B">
        <w:t xml:space="preserve"> </w:t>
      </w:r>
      <w:r>
        <w:t>dispute</w:t>
      </w:r>
      <w:r w:rsidR="00E15E1B">
        <w:t xml:space="preserve"> </w:t>
      </w:r>
      <w:r>
        <w:t>resolution</w:t>
      </w:r>
      <w:r w:rsidR="00E15E1B">
        <w:t xml:space="preserve"> </w:t>
      </w:r>
      <w:r>
        <w:t>service</w:t>
      </w:r>
      <w:r w:rsidR="00E15E1B">
        <w:t xml:space="preserve"> </w:t>
      </w:r>
      <w:r>
        <w:t>provided</w:t>
      </w:r>
      <w:r w:rsidR="00E15E1B">
        <w:t xml:space="preserve"> </w:t>
      </w:r>
      <w:r>
        <w:t>by</w:t>
      </w:r>
      <w:r w:rsidR="00E15E1B">
        <w:t xml:space="preserve"> </w:t>
      </w:r>
      <w:r>
        <w:t>DSCV,</w:t>
      </w:r>
      <w:r w:rsidR="00E15E1B">
        <w:t xml:space="preserve"> </w:t>
      </w:r>
      <w:r>
        <w:t>we</w:t>
      </w:r>
      <w:r w:rsidR="00E15E1B">
        <w:t xml:space="preserve"> </w:t>
      </w:r>
      <w:r>
        <w:t>continue</w:t>
      </w:r>
      <w:r w:rsidR="00E15E1B">
        <w:t xml:space="preserve"> </w:t>
      </w:r>
      <w:r>
        <w:t>to</w:t>
      </w:r>
      <w:r w:rsidR="00E15E1B">
        <w:t xml:space="preserve"> </w:t>
      </w:r>
      <w:r>
        <w:t>provide</w:t>
      </w:r>
      <w:r w:rsidR="00E15E1B">
        <w:t xml:space="preserve"> </w:t>
      </w:r>
      <w:r>
        <w:t>lot</w:t>
      </w:r>
      <w:r w:rsidR="00E15E1B">
        <w:t xml:space="preserve"> </w:t>
      </w:r>
      <w:r>
        <w:t>owners,</w:t>
      </w:r>
      <w:r w:rsidR="00E15E1B">
        <w:t xml:space="preserve"> </w:t>
      </w:r>
      <w:r>
        <w:t>residents</w:t>
      </w:r>
      <w:r w:rsidR="00E15E1B">
        <w:t xml:space="preserve"> </w:t>
      </w:r>
      <w:r>
        <w:t>and</w:t>
      </w:r>
      <w:r w:rsidR="00E15E1B">
        <w:t xml:space="preserve"> </w:t>
      </w:r>
      <w:r>
        <w:t>managers</w:t>
      </w:r>
      <w:r w:rsidR="00E15E1B">
        <w:t xml:space="preserve"> </w:t>
      </w:r>
      <w:r>
        <w:t>with</w:t>
      </w:r>
      <w:r w:rsidR="00E15E1B">
        <w:t xml:space="preserve"> </w:t>
      </w:r>
      <w:r>
        <w:t>information</w:t>
      </w:r>
      <w:r w:rsidR="00E15E1B">
        <w:t xml:space="preserve"> </w:t>
      </w:r>
      <w:r>
        <w:t>and</w:t>
      </w:r>
      <w:r w:rsidR="00E15E1B">
        <w:t xml:space="preserve"> </w:t>
      </w:r>
      <w:r>
        <w:t>advice</w:t>
      </w:r>
      <w:r w:rsidR="00E15E1B">
        <w:t xml:space="preserve"> </w:t>
      </w:r>
      <w:r>
        <w:t>on</w:t>
      </w:r>
      <w:r w:rsidR="00E15E1B">
        <w:t xml:space="preserve"> </w:t>
      </w:r>
      <w:r>
        <w:t>their</w:t>
      </w:r>
      <w:r w:rsidR="00E15E1B">
        <w:t xml:space="preserve"> </w:t>
      </w:r>
      <w:r>
        <w:t>rights</w:t>
      </w:r>
      <w:r w:rsidR="00E15E1B">
        <w:t xml:space="preserve"> </w:t>
      </w:r>
      <w:r>
        <w:t>and</w:t>
      </w:r>
      <w:r w:rsidR="00E15E1B">
        <w:t xml:space="preserve"> </w:t>
      </w:r>
      <w:r>
        <w:t>responsibilities,</w:t>
      </w:r>
      <w:r w:rsidR="00E15E1B">
        <w:t xml:space="preserve"> </w:t>
      </w:r>
      <w:r>
        <w:t>including</w:t>
      </w:r>
      <w:r w:rsidR="00E15E1B">
        <w:t xml:space="preserve"> </w:t>
      </w:r>
      <w:r>
        <w:t>the</w:t>
      </w:r>
      <w:r w:rsidR="00E15E1B">
        <w:t xml:space="preserve"> </w:t>
      </w:r>
      <w:r>
        <w:t>steps</w:t>
      </w:r>
      <w:r w:rsidR="00E15E1B">
        <w:t xml:space="preserve"> </w:t>
      </w:r>
      <w:r>
        <w:t>they</w:t>
      </w:r>
      <w:r w:rsidR="00E15E1B">
        <w:t xml:space="preserve"> </w:t>
      </w:r>
      <w:r>
        <w:t>can</w:t>
      </w:r>
      <w:r w:rsidR="00E15E1B">
        <w:t xml:space="preserve"> </w:t>
      </w:r>
      <w:r>
        <w:t>take</w:t>
      </w:r>
      <w:r w:rsidR="00E15E1B">
        <w:t xml:space="preserve"> </w:t>
      </w:r>
      <w:r>
        <w:t>if</w:t>
      </w:r>
      <w:r w:rsidR="00E15E1B">
        <w:t xml:space="preserve"> </w:t>
      </w:r>
      <w:r>
        <w:t>there</w:t>
      </w:r>
      <w:r w:rsidR="00E15E1B">
        <w:t xml:space="preserve"> </w:t>
      </w:r>
      <w:r>
        <w:t>is</w:t>
      </w:r>
      <w:r w:rsidR="00E15E1B">
        <w:t xml:space="preserve"> </w:t>
      </w:r>
      <w:r>
        <w:t>a</w:t>
      </w:r>
      <w:r w:rsidR="00E15E1B">
        <w:t xml:space="preserve"> </w:t>
      </w:r>
      <w:r>
        <w:t>dispute.</w:t>
      </w:r>
      <w:r w:rsidR="00E15E1B">
        <w:t xml:space="preserve"> </w:t>
      </w:r>
      <w:r>
        <w:t>We</w:t>
      </w:r>
      <w:r w:rsidR="00E15E1B">
        <w:t xml:space="preserve"> </w:t>
      </w:r>
      <w:r>
        <w:t>will</w:t>
      </w:r>
      <w:r w:rsidR="00E15E1B">
        <w:t xml:space="preserve"> </w:t>
      </w:r>
      <w:r>
        <w:t>also</w:t>
      </w:r>
      <w:r w:rsidR="00E15E1B">
        <w:t xml:space="preserve"> </w:t>
      </w:r>
      <w:r>
        <w:t>continue</w:t>
      </w:r>
      <w:r w:rsidR="00E15E1B">
        <w:t xml:space="preserve"> </w:t>
      </w:r>
      <w:r>
        <w:t>to</w:t>
      </w:r>
      <w:r w:rsidR="00E15E1B">
        <w:t xml:space="preserve"> </w:t>
      </w:r>
      <w:r>
        <w:t>educate</w:t>
      </w:r>
      <w:r w:rsidR="00E15E1B">
        <w:t xml:space="preserve"> </w:t>
      </w:r>
      <w:r>
        <w:t>lot</w:t>
      </w:r>
      <w:r w:rsidR="00E15E1B">
        <w:t xml:space="preserve"> </w:t>
      </w:r>
      <w:r>
        <w:t>owners,</w:t>
      </w:r>
      <w:r w:rsidR="00E15E1B">
        <w:t xml:space="preserve"> </w:t>
      </w:r>
      <w:r>
        <w:t>owners</w:t>
      </w:r>
      <w:r w:rsidR="00E15E1B">
        <w:t xml:space="preserve"> </w:t>
      </w:r>
      <w:r>
        <w:t>corporations,</w:t>
      </w:r>
      <w:r w:rsidR="00E15E1B">
        <w:t xml:space="preserve"> </w:t>
      </w:r>
      <w:r>
        <w:t>retirement</w:t>
      </w:r>
      <w:r w:rsidR="00E15E1B">
        <w:t xml:space="preserve"> </w:t>
      </w:r>
      <w:r>
        <w:t>village</w:t>
      </w:r>
      <w:r w:rsidR="00E15E1B">
        <w:t xml:space="preserve"> </w:t>
      </w:r>
      <w:r>
        <w:t>operators</w:t>
      </w:r>
      <w:r w:rsidR="00E15E1B">
        <w:t xml:space="preserve"> </w:t>
      </w:r>
      <w:r>
        <w:t>and</w:t>
      </w:r>
      <w:r w:rsidR="00E15E1B">
        <w:t xml:space="preserve"> </w:t>
      </w:r>
      <w:r>
        <w:t>managers</w:t>
      </w:r>
      <w:r w:rsidR="00E15E1B">
        <w:t xml:space="preserve"> </w:t>
      </w:r>
      <w:r>
        <w:t>about</w:t>
      </w:r>
      <w:r w:rsidR="00E15E1B">
        <w:t xml:space="preserve"> </w:t>
      </w:r>
      <w:r>
        <w:t>their</w:t>
      </w:r>
      <w:r w:rsidR="00E15E1B">
        <w:t xml:space="preserve"> </w:t>
      </w:r>
      <w:r>
        <w:t>legal</w:t>
      </w:r>
      <w:r w:rsidR="00E15E1B">
        <w:t xml:space="preserve"> </w:t>
      </w:r>
      <w:r>
        <w:t>obligations,</w:t>
      </w:r>
      <w:r w:rsidR="00E15E1B">
        <w:t xml:space="preserve"> </w:t>
      </w:r>
      <w:r>
        <w:t>and</w:t>
      </w:r>
      <w:r w:rsidR="00E15E1B">
        <w:t xml:space="preserve"> </w:t>
      </w:r>
      <w:r>
        <w:t>address</w:t>
      </w:r>
      <w:r w:rsidR="00E15E1B">
        <w:t xml:space="preserve"> </w:t>
      </w:r>
      <w:r>
        <w:t>any</w:t>
      </w:r>
      <w:r w:rsidR="00E15E1B">
        <w:t xml:space="preserve"> </w:t>
      </w:r>
      <w:r>
        <w:t>identified</w:t>
      </w:r>
      <w:r w:rsidR="00E15E1B">
        <w:t xml:space="preserve"> </w:t>
      </w:r>
      <w:r>
        <w:t>breaches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law.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worked</w:t>
      </w:r>
      <w:r w:rsidR="00E15E1B">
        <w:t xml:space="preserve"> </w:t>
      </w:r>
      <w:r>
        <w:t>closely</w:t>
      </w:r>
      <w:r w:rsidR="00E15E1B">
        <w:t xml:space="preserve"> </w:t>
      </w:r>
      <w:r>
        <w:t>with</w:t>
      </w:r>
      <w:r w:rsidR="00E15E1B">
        <w:t xml:space="preserve"> </w:t>
      </w:r>
      <w:r>
        <w:t>DSCV</w:t>
      </w:r>
      <w:r w:rsidR="00E15E1B">
        <w:t xml:space="preserve"> </w:t>
      </w:r>
      <w:r>
        <w:t>to</w:t>
      </w:r>
      <w:r w:rsidR="00E15E1B">
        <w:t xml:space="preserve"> </w:t>
      </w:r>
      <w:r>
        <w:t>plan,</w:t>
      </w:r>
      <w:r w:rsidR="00E15E1B">
        <w:t xml:space="preserve"> </w:t>
      </w:r>
      <w:r>
        <w:t>develop</w:t>
      </w:r>
      <w:r w:rsidR="00E15E1B">
        <w:t xml:space="preserve"> </w:t>
      </w:r>
      <w:r>
        <w:t>and</w:t>
      </w:r>
      <w:r w:rsidR="00E15E1B">
        <w:t xml:space="preserve"> </w:t>
      </w:r>
      <w:r>
        <w:t>test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referral</w:t>
      </w:r>
      <w:r w:rsidR="00E15E1B">
        <w:t xml:space="preserve"> </w:t>
      </w:r>
      <w:r>
        <w:t>process,</w:t>
      </w:r>
      <w:r w:rsidR="00E15E1B">
        <w:t xml:space="preserve"> </w:t>
      </w:r>
      <w:r>
        <w:t>to</w:t>
      </w:r>
      <w:r w:rsidR="00E15E1B">
        <w:t xml:space="preserve"> </w:t>
      </w:r>
      <w:r>
        <w:t>ensure</w:t>
      </w:r>
      <w:r w:rsidR="00E15E1B">
        <w:t xml:space="preserve"> </w:t>
      </w:r>
      <w:r>
        <w:t>there</w:t>
      </w:r>
      <w:r w:rsidR="00E15E1B">
        <w:t xml:space="preserve"> </w:t>
      </w:r>
      <w:r>
        <w:t>was</w:t>
      </w:r>
      <w:r w:rsidR="00E15E1B">
        <w:t xml:space="preserve"> </w:t>
      </w:r>
      <w:r>
        <w:t>no</w:t>
      </w:r>
      <w:r w:rsidR="00E15E1B">
        <w:t xml:space="preserve"> </w:t>
      </w:r>
      <w:r>
        <w:t>disruption</w:t>
      </w:r>
      <w:r w:rsidR="00E15E1B">
        <w:t xml:space="preserve"> </w:t>
      </w:r>
      <w:r>
        <w:t>of</w:t>
      </w:r>
      <w:r w:rsidR="00E15E1B">
        <w:t xml:space="preserve"> </w:t>
      </w:r>
      <w:r>
        <w:t>service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community,</w:t>
      </w:r>
      <w:r w:rsidR="00E15E1B">
        <w:t xml:space="preserve"> </w:t>
      </w:r>
      <w:r>
        <w:t>and</w:t>
      </w:r>
      <w:r w:rsidR="00E15E1B">
        <w:t xml:space="preserve"> </w:t>
      </w:r>
      <w:r>
        <w:t>that</w:t>
      </w:r>
      <w:r w:rsidR="00E15E1B">
        <w:t xml:space="preserve"> </w:t>
      </w:r>
      <w:r>
        <w:t>consistent</w:t>
      </w:r>
      <w:r w:rsidR="00E15E1B">
        <w:t xml:space="preserve"> </w:t>
      </w:r>
      <w:r>
        <w:t>and</w:t>
      </w:r>
      <w:r w:rsidR="00E15E1B">
        <w:t xml:space="preserve"> </w:t>
      </w:r>
      <w:r>
        <w:t>comprehensive</w:t>
      </w:r>
      <w:r w:rsidR="00E15E1B">
        <w:t xml:space="preserve"> </w:t>
      </w:r>
      <w:r>
        <w:t>information</w:t>
      </w:r>
      <w:r w:rsidR="00E15E1B">
        <w:t xml:space="preserve"> </w:t>
      </w:r>
      <w:r>
        <w:t>was</w:t>
      </w:r>
      <w:r w:rsidR="00E15E1B">
        <w:t xml:space="preserve"> </w:t>
      </w:r>
      <w:r>
        <w:t>provided</w:t>
      </w:r>
      <w:r w:rsidR="00E15E1B">
        <w:t xml:space="preserve"> </w:t>
      </w:r>
      <w:r>
        <w:t>to</w:t>
      </w:r>
      <w:r w:rsidR="00E15E1B">
        <w:t xml:space="preserve"> </w:t>
      </w:r>
      <w:r>
        <w:t>all</w:t>
      </w:r>
      <w:r w:rsidR="00E15E1B">
        <w:t xml:space="preserve"> </w:t>
      </w:r>
      <w:r>
        <w:t>stakeholders</w:t>
      </w:r>
      <w:r w:rsidR="00E15E1B">
        <w:t xml:space="preserve"> </w:t>
      </w:r>
      <w:r>
        <w:t>and</w:t>
      </w:r>
      <w:r w:rsidR="00E15E1B">
        <w:t xml:space="preserve"> </w:t>
      </w:r>
      <w:r>
        <w:t>impacted</w:t>
      </w:r>
      <w:r w:rsidR="00E15E1B">
        <w:t xml:space="preserve"> </w:t>
      </w:r>
      <w:r>
        <w:t>organisations.</w:t>
      </w:r>
    </w:p>
    <w:p w:rsidR="00156239" w:rsidRDefault="00156239" w:rsidP="00156239">
      <w:pPr>
        <w:pStyle w:val="Heading4"/>
      </w:pPr>
      <w:r>
        <w:t>Services</w:t>
      </w:r>
      <w:r w:rsidR="00E15E1B">
        <w:t xml:space="preserve"> </w:t>
      </w:r>
      <w:r>
        <w:t>to</w:t>
      </w:r>
      <w:r w:rsidR="00E15E1B">
        <w:t xml:space="preserve"> </w:t>
      </w:r>
      <w:r>
        <w:t>help</w:t>
      </w:r>
      <w:r w:rsidR="00E15E1B">
        <w:t xml:space="preserve"> </w:t>
      </w:r>
      <w:r>
        <w:t>builders</w:t>
      </w:r>
      <w:r w:rsidR="00E15E1B">
        <w:t xml:space="preserve"> </w:t>
      </w:r>
      <w:r>
        <w:t>and</w:t>
      </w:r>
      <w:r w:rsidR="00E15E1B">
        <w:t xml:space="preserve"> </w:t>
      </w:r>
      <w:r>
        <w:t>building</w:t>
      </w:r>
      <w:r w:rsidR="00E15E1B">
        <w:t xml:space="preserve"> </w:t>
      </w:r>
      <w:r>
        <w:t>owners</w:t>
      </w:r>
    </w:p>
    <w:p w:rsidR="00156239" w:rsidRDefault="00156239" w:rsidP="00156239">
      <w:pPr>
        <w:pStyle w:val="BodyText"/>
      </w:pPr>
      <w:r>
        <w:t>Building</w:t>
      </w:r>
      <w:r w:rsidR="00E15E1B">
        <w:t xml:space="preserve"> </w:t>
      </w:r>
      <w:r>
        <w:t>or</w:t>
      </w:r>
      <w:r w:rsidR="00E15E1B">
        <w:t xml:space="preserve"> </w:t>
      </w:r>
      <w:r>
        <w:t>renovating</w:t>
      </w:r>
      <w:r w:rsidR="00E15E1B">
        <w:t xml:space="preserve"> </w:t>
      </w:r>
      <w:r>
        <w:t>a</w:t>
      </w:r>
      <w:r w:rsidR="00E15E1B">
        <w:t xml:space="preserve"> </w:t>
      </w:r>
      <w:r>
        <w:t>home</w:t>
      </w:r>
      <w:r w:rsidR="00E15E1B">
        <w:t xml:space="preserve"> </w:t>
      </w:r>
      <w:r>
        <w:t>is</w:t>
      </w:r>
      <w:r w:rsidR="00E15E1B">
        <w:t xml:space="preserve"> </w:t>
      </w:r>
      <w:r>
        <w:t>one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biggest</w:t>
      </w:r>
      <w:r w:rsidR="00E15E1B">
        <w:t xml:space="preserve"> </w:t>
      </w:r>
      <w:r>
        <w:t>financial</w:t>
      </w:r>
      <w:r w:rsidR="00E15E1B">
        <w:t xml:space="preserve"> </w:t>
      </w:r>
      <w:r>
        <w:t>decisions</w:t>
      </w:r>
      <w:r w:rsidR="00E15E1B">
        <w:t xml:space="preserve"> </w:t>
      </w:r>
      <w:r>
        <w:t>Victorians</w:t>
      </w:r>
      <w:r w:rsidR="00E15E1B">
        <w:t xml:space="preserve"> </w:t>
      </w:r>
      <w:r>
        <w:t>will</w:t>
      </w:r>
      <w:r w:rsidR="00E15E1B">
        <w:t xml:space="preserve"> </w:t>
      </w:r>
      <w:r>
        <w:t>make.</w:t>
      </w:r>
      <w:r w:rsidR="00E15E1B">
        <w:t xml:space="preserve"> </w:t>
      </w:r>
      <w:r>
        <w:t>It</w:t>
      </w:r>
      <w:r w:rsidR="00E15E1B">
        <w:t xml:space="preserve"> </w:t>
      </w:r>
      <w:r>
        <w:t>is</w:t>
      </w:r>
      <w:r w:rsidR="00E15E1B">
        <w:t xml:space="preserve"> </w:t>
      </w:r>
      <w:r>
        <w:t>important</w:t>
      </w:r>
      <w:r w:rsidR="00E15E1B">
        <w:t xml:space="preserve"> </w:t>
      </w:r>
      <w:r>
        <w:t>that</w:t>
      </w:r>
      <w:r w:rsidR="00E15E1B">
        <w:t xml:space="preserve"> </w:t>
      </w:r>
      <w:r>
        <w:t>the</w:t>
      </w:r>
      <w:r w:rsidR="00E15E1B">
        <w:t xml:space="preserve"> </w:t>
      </w:r>
      <w:r>
        <w:t>protections</w:t>
      </w:r>
      <w:r w:rsidR="00E15E1B">
        <w:t xml:space="preserve"> </w:t>
      </w:r>
      <w:r>
        <w:t>for</w:t>
      </w:r>
      <w:r w:rsidR="00E15E1B">
        <w:t xml:space="preserve"> </w:t>
      </w:r>
      <w:r>
        <w:t>consumers</w:t>
      </w:r>
      <w:r w:rsidR="00E15E1B">
        <w:t xml:space="preserve"> </w:t>
      </w:r>
      <w:r>
        <w:t>are</w:t>
      </w:r>
      <w:r w:rsidR="00E15E1B">
        <w:t xml:space="preserve"> </w:t>
      </w:r>
      <w:r>
        <w:t>strong</w:t>
      </w:r>
      <w:r w:rsidR="00E15E1B">
        <w:t xml:space="preserve"> </w:t>
      </w:r>
      <w:r>
        <w:t>and</w:t>
      </w:r>
      <w:r w:rsidR="00E15E1B">
        <w:t xml:space="preserve"> </w:t>
      </w:r>
      <w:r>
        <w:t>disputes</w:t>
      </w:r>
      <w:r w:rsidR="00E15E1B">
        <w:t xml:space="preserve"> </w:t>
      </w:r>
      <w:r>
        <w:t>are</w:t>
      </w:r>
      <w:r w:rsidR="00E15E1B">
        <w:t xml:space="preserve"> </w:t>
      </w:r>
      <w:r>
        <w:t>resolved</w:t>
      </w:r>
      <w:r w:rsidR="00E15E1B">
        <w:t xml:space="preserve"> </w:t>
      </w:r>
      <w:r>
        <w:t>quickly.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Domestic</w:t>
      </w:r>
      <w:r w:rsidR="00E15E1B">
        <w:t xml:space="preserve"> </w:t>
      </w:r>
      <w:r>
        <w:t>Building</w:t>
      </w:r>
      <w:r w:rsidR="00E15E1B">
        <w:t xml:space="preserve"> </w:t>
      </w:r>
      <w:r>
        <w:t>Dispute</w:t>
      </w:r>
      <w:r w:rsidR="00E15E1B">
        <w:t xml:space="preserve"> </w:t>
      </w:r>
      <w:r>
        <w:t>Resolution</w:t>
      </w:r>
      <w:r w:rsidR="00E15E1B">
        <w:t xml:space="preserve"> </w:t>
      </w:r>
      <w:r>
        <w:t>Victoria</w:t>
      </w:r>
      <w:r w:rsidR="00E15E1B">
        <w:t xml:space="preserve"> </w:t>
      </w:r>
      <w:r>
        <w:t>(DBDRV)</w:t>
      </w:r>
      <w:r w:rsidR="00E15E1B">
        <w:t xml:space="preserve"> </w:t>
      </w:r>
      <w:r>
        <w:t>commenced</w:t>
      </w:r>
      <w:r w:rsidR="00E15E1B">
        <w:t xml:space="preserve"> </w:t>
      </w:r>
      <w:r>
        <w:t>operating</w:t>
      </w:r>
      <w:r w:rsidR="00E15E1B">
        <w:t xml:space="preserve"> </w:t>
      </w:r>
      <w:r>
        <w:t>on</w:t>
      </w:r>
      <w:r w:rsidR="00E15E1B">
        <w:t xml:space="preserve"> </w:t>
      </w:r>
      <w:r>
        <w:t>26</w:t>
      </w:r>
      <w:r w:rsidR="00E15E1B">
        <w:t xml:space="preserve"> </w:t>
      </w:r>
      <w:r>
        <w:t>April</w:t>
      </w:r>
      <w:r w:rsidR="00E15E1B">
        <w:t xml:space="preserve"> </w:t>
      </w:r>
      <w:r>
        <w:t>2017.</w:t>
      </w:r>
      <w:r w:rsidR="00E15E1B">
        <w:t xml:space="preserve"> </w:t>
      </w:r>
      <w:r>
        <w:t>It</w:t>
      </w:r>
      <w:r w:rsidR="00E15E1B">
        <w:t xml:space="preserve"> </w:t>
      </w:r>
      <w:r>
        <w:t>was</w:t>
      </w:r>
      <w:r w:rsidR="00E15E1B">
        <w:t xml:space="preserve"> </w:t>
      </w:r>
      <w:r>
        <w:t>an</w:t>
      </w:r>
      <w:r w:rsidR="00E15E1B">
        <w:t xml:space="preserve"> </w:t>
      </w:r>
      <w:r>
        <w:t>outcome</w:t>
      </w:r>
      <w:r w:rsidR="00E15E1B">
        <w:t xml:space="preserve"> </w:t>
      </w:r>
      <w:r>
        <w:t>of</w:t>
      </w:r>
      <w:r w:rsidR="00E15E1B">
        <w:t xml:space="preserve"> </w:t>
      </w:r>
      <w:r>
        <w:t>significant</w:t>
      </w:r>
      <w:r w:rsidR="00E15E1B">
        <w:t xml:space="preserve"> </w:t>
      </w:r>
      <w:r>
        <w:t>reforms</w:t>
      </w:r>
      <w:r w:rsidR="00E15E1B">
        <w:t xml:space="preserve"> </w:t>
      </w:r>
      <w:r>
        <w:t>to</w:t>
      </w:r>
      <w:r w:rsidR="00E15E1B">
        <w:t xml:space="preserve"> </w:t>
      </w:r>
      <w:r>
        <w:t>strengthen</w:t>
      </w:r>
      <w:r w:rsidR="00E15E1B">
        <w:t xml:space="preserve"> </w:t>
      </w:r>
      <w:r>
        <w:t>the</w:t>
      </w:r>
      <w:r w:rsidR="00E15E1B">
        <w:t xml:space="preserve"> </w:t>
      </w:r>
      <w:r>
        <w:t>domestic</w:t>
      </w:r>
      <w:r w:rsidR="00E15E1B">
        <w:t xml:space="preserve"> </w:t>
      </w:r>
      <w:r>
        <w:t>building</w:t>
      </w:r>
      <w:r w:rsidR="00E15E1B">
        <w:t xml:space="preserve"> </w:t>
      </w:r>
      <w:r>
        <w:t>consumer</w:t>
      </w:r>
      <w:r w:rsidR="00E15E1B">
        <w:t xml:space="preserve"> </w:t>
      </w:r>
      <w:r>
        <w:t>protection</w:t>
      </w:r>
      <w:r w:rsidR="00E15E1B">
        <w:t xml:space="preserve"> </w:t>
      </w:r>
      <w:r>
        <w:lastRenderedPageBreak/>
        <w:t>framework.</w:t>
      </w:r>
      <w:r w:rsidR="00E15E1B">
        <w:t xml:space="preserve"> </w:t>
      </w:r>
      <w:r>
        <w:t>DBDRV</w:t>
      </w:r>
      <w:r w:rsidR="00E15E1B">
        <w:t xml:space="preserve"> </w:t>
      </w:r>
      <w:r>
        <w:t>offers</w:t>
      </w:r>
      <w:r w:rsidR="00E15E1B">
        <w:t xml:space="preserve"> </w:t>
      </w:r>
      <w:r>
        <w:t>a</w:t>
      </w:r>
      <w:r w:rsidR="00E15E1B">
        <w:t xml:space="preserve"> </w:t>
      </w:r>
      <w:r>
        <w:t>free</w:t>
      </w:r>
      <w:r w:rsidR="00E15E1B">
        <w:t xml:space="preserve"> </w:t>
      </w:r>
      <w:r>
        <w:t>service</w:t>
      </w:r>
      <w:r w:rsidR="00E15E1B">
        <w:t xml:space="preserve"> </w:t>
      </w:r>
      <w:r>
        <w:t>to</w:t>
      </w:r>
      <w:r w:rsidR="00E15E1B">
        <w:t xml:space="preserve"> </w:t>
      </w:r>
      <w:r>
        <w:t>help</w:t>
      </w:r>
      <w:r w:rsidR="00E15E1B">
        <w:t xml:space="preserve"> </w:t>
      </w:r>
      <w:r>
        <w:t>builders</w:t>
      </w:r>
      <w:r w:rsidR="00E15E1B">
        <w:t xml:space="preserve"> </w:t>
      </w:r>
      <w:r>
        <w:t>and</w:t>
      </w:r>
      <w:r w:rsidR="00E15E1B">
        <w:t xml:space="preserve"> </w:t>
      </w:r>
      <w:r>
        <w:t>home</w:t>
      </w:r>
      <w:r w:rsidR="00E15E1B">
        <w:t xml:space="preserve"> </w:t>
      </w:r>
      <w:r>
        <w:t>owners</w:t>
      </w:r>
      <w:r w:rsidR="00E15E1B">
        <w:t xml:space="preserve"> </w:t>
      </w:r>
      <w:r>
        <w:t>resolve</w:t>
      </w:r>
      <w:r w:rsidR="00E15E1B">
        <w:t xml:space="preserve"> </w:t>
      </w:r>
      <w:r>
        <w:t>their</w:t>
      </w:r>
      <w:r w:rsidR="00E15E1B">
        <w:t xml:space="preserve"> </w:t>
      </w:r>
      <w:r>
        <w:t>disputes</w:t>
      </w:r>
      <w:r w:rsidR="00E15E1B">
        <w:t xml:space="preserve"> </w:t>
      </w:r>
      <w:r>
        <w:t>without</w:t>
      </w:r>
      <w:r w:rsidR="00E15E1B">
        <w:t xml:space="preserve"> </w:t>
      </w:r>
      <w:r>
        <w:t>the</w:t>
      </w:r>
      <w:r w:rsidR="00E15E1B">
        <w:t xml:space="preserve"> </w:t>
      </w:r>
      <w:r>
        <w:t>cost</w:t>
      </w:r>
      <w:r w:rsidR="00E15E1B">
        <w:t xml:space="preserve"> </w:t>
      </w:r>
      <w:r>
        <w:t>and</w:t>
      </w:r>
      <w:r w:rsidR="00E15E1B">
        <w:t xml:space="preserve"> </w:t>
      </w:r>
      <w:r>
        <w:t>time</w:t>
      </w:r>
      <w:r w:rsidR="00E15E1B">
        <w:t xml:space="preserve"> </w:t>
      </w:r>
      <w:r>
        <w:t>often</w:t>
      </w:r>
      <w:r w:rsidR="00E15E1B">
        <w:t xml:space="preserve"> </w:t>
      </w:r>
      <w:r>
        <w:t>associated</w:t>
      </w:r>
      <w:r w:rsidR="00E15E1B">
        <w:t xml:space="preserve"> </w:t>
      </w:r>
      <w:r>
        <w:t>with</w:t>
      </w:r>
      <w:r w:rsidR="00E15E1B">
        <w:t xml:space="preserve"> </w:t>
      </w:r>
      <w:r>
        <w:t>courts</w:t>
      </w:r>
      <w:r w:rsidR="00E15E1B">
        <w:t xml:space="preserve"> </w:t>
      </w:r>
      <w:r>
        <w:t>and</w:t>
      </w:r>
      <w:r w:rsidR="00E15E1B">
        <w:t xml:space="preserve"> </w:t>
      </w:r>
      <w:r>
        <w:t>tribunals.</w:t>
      </w:r>
    </w:p>
    <w:p w:rsidR="00156239" w:rsidRDefault="00156239" w:rsidP="00156239">
      <w:pPr>
        <w:pStyle w:val="BodyText"/>
      </w:pPr>
      <w:r>
        <w:t>In</w:t>
      </w:r>
      <w:r w:rsidR="00E15E1B">
        <w:t xml:space="preserve"> </w:t>
      </w:r>
      <w:r>
        <w:t>its</w:t>
      </w:r>
      <w:r w:rsidR="00E15E1B">
        <w:t xml:space="preserve"> </w:t>
      </w:r>
      <w:r>
        <w:t>first</w:t>
      </w:r>
      <w:r w:rsidR="00E15E1B">
        <w:t xml:space="preserve"> </w:t>
      </w:r>
      <w:r>
        <w:t>year</w:t>
      </w:r>
      <w:r w:rsidR="00E15E1B">
        <w:t xml:space="preserve"> </w:t>
      </w:r>
      <w:r>
        <w:t>of</w:t>
      </w:r>
      <w:r w:rsidR="00E15E1B">
        <w:t xml:space="preserve"> </w:t>
      </w:r>
      <w:r>
        <w:t>operation,</w:t>
      </w:r>
      <w:r w:rsidR="00E15E1B">
        <w:t xml:space="preserve"> </w:t>
      </w:r>
      <w:r>
        <w:t>DBDRV</w:t>
      </w:r>
      <w:r w:rsidR="00E15E1B">
        <w:t xml:space="preserve"> </w:t>
      </w:r>
      <w:r>
        <w:t>received</w:t>
      </w:r>
      <w:r w:rsidR="00E15E1B">
        <w:t xml:space="preserve"> </w:t>
      </w:r>
      <w:r>
        <w:t>almost</w:t>
      </w:r>
      <w:r w:rsidR="00E15E1B">
        <w:t xml:space="preserve"> </w:t>
      </w:r>
      <w:r>
        <w:t>6,500</w:t>
      </w:r>
      <w:r w:rsidR="00E15E1B">
        <w:t xml:space="preserve"> </w:t>
      </w:r>
      <w:r>
        <w:t>applications,</w:t>
      </w:r>
      <w:r w:rsidR="00E15E1B">
        <w:t xml:space="preserve"> </w:t>
      </w:r>
      <w:r>
        <w:t>far</w:t>
      </w:r>
      <w:r w:rsidR="00E15E1B">
        <w:t xml:space="preserve"> </w:t>
      </w:r>
      <w:r>
        <w:t>exceeding</w:t>
      </w:r>
      <w:r w:rsidR="00E15E1B">
        <w:t xml:space="preserve"> </w:t>
      </w:r>
      <w:r>
        <w:t>initial</w:t>
      </w:r>
      <w:r w:rsidR="00E15E1B">
        <w:t xml:space="preserve"> </w:t>
      </w:r>
      <w:r>
        <w:t>expectations.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same</w:t>
      </w:r>
      <w:r w:rsidR="00E15E1B">
        <w:t xml:space="preserve"> </w:t>
      </w:r>
      <w:r>
        <w:t>timeframe,</w:t>
      </w:r>
      <w:r w:rsidR="00E15E1B">
        <w:t xml:space="preserve"> </w:t>
      </w:r>
      <w:r>
        <w:t>we</w:t>
      </w:r>
      <w:r w:rsidR="00E15E1B">
        <w:t xml:space="preserve"> </w:t>
      </w:r>
      <w:r>
        <w:t>answered</w:t>
      </w:r>
      <w:r w:rsidR="00E15E1B">
        <w:t xml:space="preserve"> </w:t>
      </w:r>
      <w:r>
        <w:t>over</w:t>
      </w:r>
      <w:r w:rsidR="00E15E1B">
        <w:t xml:space="preserve"> </w:t>
      </w:r>
      <w:r>
        <w:t>28,000</w:t>
      </w:r>
      <w:r w:rsidR="00E15E1B">
        <w:t xml:space="preserve"> </w:t>
      </w:r>
      <w:r>
        <w:t>calls</w:t>
      </w:r>
      <w:r w:rsidR="00E15E1B">
        <w:t xml:space="preserve"> </w:t>
      </w:r>
      <w:r>
        <w:t>on</w:t>
      </w:r>
      <w:r w:rsidR="00E15E1B">
        <w:t xml:space="preserve"> </w:t>
      </w:r>
      <w:r>
        <w:t>the</w:t>
      </w:r>
      <w:r w:rsidR="00E15E1B">
        <w:t xml:space="preserve"> </w:t>
      </w:r>
      <w:r>
        <w:t>building</w:t>
      </w:r>
      <w:r w:rsidR="00E15E1B">
        <w:t xml:space="preserve"> </w:t>
      </w:r>
      <w:r>
        <w:t>information</w:t>
      </w:r>
      <w:r w:rsidR="00E15E1B">
        <w:t xml:space="preserve"> </w:t>
      </w:r>
      <w:r>
        <w:t>line,</w:t>
      </w:r>
      <w:r w:rsidR="00E15E1B">
        <w:t xml:space="preserve"> </w:t>
      </w:r>
      <w:r>
        <w:t>assisting</w:t>
      </w:r>
      <w:r w:rsidR="00E15E1B">
        <w:t xml:space="preserve"> </w:t>
      </w:r>
      <w:r>
        <w:t>callers</w:t>
      </w:r>
      <w:r w:rsidR="00E15E1B">
        <w:t xml:space="preserve"> </w:t>
      </w:r>
      <w:r>
        <w:t>with</w:t>
      </w:r>
      <w:r w:rsidR="00E15E1B">
        <w:t xml:space="preserve"> </w:t>
      </w:r>
      <w:r>
        <w:t>information</w:t>
      </w:r>
      <w:r w:rsidR="00E15E1B">
        <w:t xml:space="preserve"> </w:t>
      </w:r>
      <w:r>
        <w:t>about</w:t>
      </w:r>
      <w:r w:rsidR="00E15E1B">
        <w:t xml:space="preserve"> </w:t>
      </w:r>
      <w:r>
        <w:t>how</w:t>
      </w:r>
      <w:r w:rsidR="00E15E1B">
        <w:t xml:space="preserve"> </w:t>
      </w:r>
      <w:r>
        <w:t>to</w:t>
      </w:r>
      <w:r w:rsidR="00E15E1B">
        <w:t xml:space="preserve"> </w:t>
      </w:r>
      <w:r>
        <w:t>resolve</w:t>
      </w:r>
      <w:r w:rsidR="00E15E1B">
        <w:t xml:space="preserve"> </w:t>
      </w:r>
      <w:r>
        <w:t>a</w:t>
      </w:r>
      <w:r w:rsidR="00E15E1B">
        <w:t xml:space="preserve"> </w:t>
      </w:r>
      <w:r>
        <w:t>building</w:t>
      </w:r>
      <w:r w:rsidR="00E15E1B">
        <w:t xml:space="preserve"> </w:t>
      </w:r>
      <w:r>
        <w:t>matter,</w:t>
      </w:r>
      <w:r w:rsidR="00E15E1B">
        <w:t xml:space="preserve"> </w:t>
      </w:r>
      <w:r>
        <w:t>the</w:t>
      </w:r>
      <w:r w:rsidR="00E15E1B">
        <w:t xml:space="preserve"> </w:t>
      </w:r>
      <w:r>
        <w:t>DBDRV</w:t>
      </w:r>
      <w:r w:rsidR="00E15E1B">
        <w:t xml:space="preserve"> </w:t>
      </w:r>
      <w:r>
        <w:t>service</w:t>
      </w:r>
      <w:r w:rsidR="00E15E1B">
        <w:t xml:space="preserve"> </w:t>
      </w:r>
      <w:r>
        <w:t>and</w:t>
      </w:r>
      <w:r w:rsidR="00E15E1B">
        <w:t xml:space="preserve"> </w:t>
      </w:r>
      <w:r>
        <w:t>how</w:t>
      </w:r>
      <w:r w:rsidR="00E15E1B">
        <w:t xml:space="preserve"> </w:t>
      </w:r>
      <w:r>
        <w:t>to</w:t>
      </w:r>
      <w:r w:rsidR="00E15E1B">
        <w:t xml:space="preserve"> </w:t>
      </w:r>
      <w:r>
        <w:t>lodge</w:t>
      </w:r>
      <w:r w:rsidR="00E15E1B">
        <w:t xml:space="preserve"> </w:t>
      </w:r>
      <w:r>
        <w:t>applications.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</w:t>
      </w:r>
      <w:r w:rsidR="00E15E1B">
        <w:t xml:space="preserve"> </w:t>
      </w:r>
      <w:r>
        <w:t>also</w:t>
      </w:r>
      <w:r w:rsidR="00E15E1B">
        <w:t xml:space="preserve"> </w:t>
      </w:r>
      <w:r>
        <w:t>established</w:t>
      </w:r>
      <w:r w:rsidR="00E15E1B">
        <w:t xml:space="preserve"> </w:t>
      </w:r>
      <w:r>
        <w:t>the</w:t>
      </w:r>
      <w:r w:rsidR="00E15E1B">
        <w:t xml:space="preserve"> </w:t>
      </w:r>
      <w:r>
        <w:t>Domestic</w:t>
      </w:r>
      <w:r w:rsidR="00E15E1B">
        <w:t xml:space="preserve"> </w:t>
      </w:r>
      <w:r>
        <w:t>Building</w:t>
      </w:r>
      <w:r w:rsidR="00E15E1B">
        <w:t xml:space="preserve"> </w:t>
      </w:r>
      <w:r>
        <w:t>Legal</w:t>
      </w:r>
      <w:r w:rsidR="00E15E1B">
        <w:t xml:space="preserve"> </w:t>
      </w:r>
      <w:r>
        <w:t>Service</w:t>
      </w:r>
      <w:r w:rsidR="00E15E1B">
        <w:t xml:space="preserve"> </w:t>
      </w:r>
      <w:r>
        <w:t>(DBLS),</w:t>
      </w:r>
      <w:r w:rsidR="00E15E1B">
        <w:t xml:space="preserve"> </w:t>
      </w:r>
      <w:r>
        <w:t>a</w:t>
      </w:r>
      <w:r w:rsidR="00E15E1B">
        <w:t xml:space="preserve"> </w:t>
      </w:r>
      <w:r>
        <w:t>no-cost</w:t>
      </w:r>
      <w:r w:rsidR="00E15E1B">
        <w:t xml:space="preserve"> </w:t>
      </w:r>
      <w:r>
        <w:t>legal</w:t>
      </w:r>
      <w:r w:rsidR="00E15E1B">
        <w:t xml:space="preserve"> </w:t>
      </w:r>
      <w:r>
        <w:t>advice</w:t>
      </w:r>
      <w:r w:rsidR="00E15E1B">
        <w:t xml:space="preserve"> </w:t>
      </w:r>
      <w:r>
        <w:t>service</w:t>
      </w:r>
      <w:r w:rsidR="00E15E1B">
        <w:t xml:space="preserve"> </w:t>
      </w:r>
      <w:r>
        <w:t>for</w:t>
      </w:r>
      <w:r w:rsidR="00E15E1B">
        <w:t xml:space="preserve"> </w:t>
      </w:r>
      <w:r>
        <w:t>eligible</w:t>
      </w:r>
      <w:r w:rsidR="00E15E1B">
        <w:t xml:space="preserve"> </w:t>
      </w:r>
      <w:r>
        <w:t>Victorian</w:t>
      </w:r>
      <w:r w:rsidR="00E15E1B">
        <w:t xml:space="preserve"> </w:t>
      </w:r>
      <w:r>
        <w:t>domestic</w:t>
      </w:r>
      <w:r w:rsidR="00E15E1B">
        <w:t xml:space="preserve"> </w:t>
      </w:r>
      <w:r>
        <w:t>building</w:t>
      </w:r>
      <w:r w:rsidR="00E15E1B">
        <w:t xml:space="preserve"> </w:t>
      </w:r>
      <w:r>
        <w:t>consumers</w:t>
      </w:r>
      <w:r w:rsidR="00E15E1B">
        <w:t xml:space="preserve"> </w:t>
      </w:r>
      <w:r>
        <w:t>in</w:t>
      </w:r>
      <w:r w:rsidR="00E15E1B">
        <w:t xml:space="preserve"> </w:t>
      </w:r>
      <w:r>
        <w:t>special</w:t>
      </w:r>
      <w:r w:rsidR="00E15E1B">
        <w:t xml:space="preserve"> </w:t>
      </w:r>
      <w:r>
        <w:t>need</w:t>
      </w:r>
      <w:r w:rsidR="00E15E1B">
        <w:t xml:space="preserve"> </w:t>
      </w:r>
      <w:r>
        <w:t>of</w:t>
      </w:r>
      <w:r w:rsidR="00E15E1B">
        <w:t xml:space="preserve"> </w:t>
      </w:r>
      <w:r>
        <w:t>assistance.</w:t>
      </w:r>
      <w:r w:rsidR="00E15E1B">
        <w:t xml:space="preserve"> </w:t>
      </w:r>
      <w:r>
        <w:t>The</w:t>
      </w:r>
      <w:r w:rsidR="00E15E1B">
        <w:t xml:space="preserve"> </w:t>
      </w:r>
      <w:r>
        <w:t>DBLS</w:t>
      </w:r>
      <w:r w:rsidR="00E15E1B">
        <w:t xml:space="preserve"> </w:t>
      </w:r>
      <w:r>
        <w:t>commenced</w:t>
      </w:r>
      <w:r w:rsidR="00E15E1B">
        <w:t xml:space="preserve"> </w:t>
      </w:r>
      <w:r>
        <w:t>in</w:t>
      </w:r>
      <w:r w:rsidR="00E15E1B">
        <w:t xml:space="preserve"> </w:t>
      </w:r>
      <w:r>
        <w:t>July</w:t>
      </w:r>
      <w:r w:rsidR="00E15E1B">
        <w:t xml:space="preserve"> </w:t>
      </w:r>
      <w:r>
        <w:t>2017,</w:t>
      </w:r>
      <w:r w:rsidR="00E15E1B">
        <w:t xml:space="preserve"> </w:t>
      </w:r>
      <w:r>
        <w:t>and</w:t>
      </w:r>
      <w:r w:rsidR="00E15E1B">
        <w:t xml:space="preserve"> </w:t>
      </w:r>
      <w:r>
        <w:t>is</w:t>
      </w:r>
      <w:r w:rsidR="00E15E1B">
        <w:t xml:space="preserve"> </w:t>
      </w:r>
      <w:r>
        <w:t>delivered</w:t>
      </w:r>
      <w:r w:rsidR="00E15E1B">
        <w:t xml:space="preserve"> </w:t>
      </w:r>
      <w:r>
        <w:t>by</w:t>
      </w:r>
      <w:r w:rsidR="00E15E1B">
        <w:t xml:space="preserve"> </w:t>
      </w:r>
      <w:r>
        <w:t>not-for-profit</w:t>
      </w:r>
      <w:r w:rsidR="00E15E1B">
        <w:t xml:space="preserve"> </w:t>
      </w:r>
      <w:r>
        <w:t>community</w:t>
      </w:r>
      <w:r w:rsidR="00E15E1B">
        <w:t xml:space="preserve"> </w:t>
      </w:r>
      <w:r>
        <w:t>legal</w:t>
      </w:r>
      <w:r w:rsidR="00E15E1B">
        <w:t xml:space="preserve"> </w:t>
      </w:r>
      <w:r>
        <w:t>service</w:t>
      </w:r>
      <w:r w:rsidR="00E15E1B">
        <w:t xml:space="preserve"> </w:t>
      </w:r>
      <w:r>
        <w:t>Justice</w:t>
      </w:r>
      <w:r w:rsidR="00E15E1B">
        <w:t xml:space="preserve"> </w:t>
      </w:r>
      <w:r>
        <w:t>Connect,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assistance</w:t>
      </w:r>
      <w:r w:rsidR="00E15E1B">
        <w:t xml:space="preserve"> </w:t>
      </w:r>
      <w:r>
        <w:t>of</w:t>
      </w:r>
      <w:r w:rsidR="00E15E1B">
        <w:t xml:space="preserve"> </w:t>
      </w:r>
      <w:r>
        <w:t>pro</w:t>
      </w:r>
      <w:r w:rsidR="00E15E1B">
        <w:t xml:space="preserve"> </w:t>
      </w:r>
      <w:r>
        <w:t>bono</w:t>
      </w:r>
      <w:r w:rsidR="00E15E1B">
        <w:t xml:space="preserve"> </w:t>
      </w:r>
      <w:r>
        <w:t>legal</w:t>
      </w:r>
      <w:r w:rsidR="00E15E1B">
        <w:t xml:space="preserve"> </w:t>
      </w:r>
      <w:r>
        <w:t>practitioners.</w:t>
      </w:r>
    </w:p>
    <w:p w:rsidR="00AD429A" w:rsidRPr="00AD429A" w:rsidRDefault="00AD429A" w:rsidP="00AD429A">
      <w:pPr>
        <w:pStyle w:val="BodyText"/>
      </w:pPr>
      <w:r w:rsidRPr="00AD429A">
        <w:br w:type="page"/>
      </w:r>
    </w:p>
    <w:p w:rsidR="00156239" w:rsidRDefault="00156239" w:rsidP="00156239">
      <w:pPr>
        <w:pStyle w:val="Heading3"/>
      </w:pPr>
      <w:bookmarkStart w:id="14" w:name="_Toc525132664"/>
      <w:r>
        <w:lastRenderedPageBreak/>
        <w:t>Goal</w:t>
      </w:r>
      <w:r w:rsidR="00E15E1B">
        <w:t xml:space="preserve"> </w:t>
      </w:r>
      <w:r>
        <w:t>3:</w:t>
      </w:r>
      <w:r w:rsidR="00E15E1B">
        <w:t xml:space="preserve"> </w:t>
      </w:r>
      <w:r>
        <w:t>A</w:t>
      </w:r>
      <w:r w:rsidR="00E15E1B">
        <w:t xml:space="preserve"> </w:t>
      </w:r>
      <w:r>
        <w:t>fair</w:t>
      </w:r>
      <w:r w:rsidR="00E15E1B">
        <w:t xml:space="preserve"> </w:t>
      </w:r>
      <w:r>
        <w:t>and</w:t>
      </w:r>
      <w:r w:rsidR="00E15E1B">
        <w:t xml:space="preserve"> </w:t>
      </w:r>
      <w:r>
        <w:t>safe</w:t>
      </w:r>
      <w:r w:rsidR="00E15E1B">
        <w:t xml:space="preserve"> </w:t>
      </w:r>
      <w:r>
        <w:t>rental</w:t>
      </w:r>
      <w:r w:rsidR="00E15E1B">
        <w:t xml:space="preserve"> </w:t>
      </w:r>
      <w:r>
        <w:t>market</w:t>
      </w:r>
      <w:bookmarkEnd w:id="14"/>
    </w:p>
    <w:p w:rsidR="00156239" w:rsidRDefault="00156239" w:rsidP="00156239">
      <w:pPr>
        <w:pStyle w:val="BodyText"/>
      </w:pPr>
      <w:r>
        <w:t>As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regulator</w:t>
      </w:r>
      <w:r w:rsidR="00E15E1B">
        <w:t xml:space="preserve"> </w:t>
      </w:r>
      <w:r>
        <w:t>of</w:t>
      </w:r>
      <w:r w:rsidR="00E15E1B">
        <w:t xml:space="preserve"> </w:t>
      </w:r>
      <w:r>
        <w:t>residential</w:t>
      </w:r>
      <w:r w:rsidR="00E15E1B">
        <w:t xml:space="preserve"> </w:t>
      </w:r>
      <w:r>
        <w:t>tenancies,</w:t>
      </w:r>
      <w:r w:rsidR="00E15E1B">
        <w:t xml:space="preserve"> </w:t>
      </w:r>
      <w:r>
        <w:t>we</w:t>
      </w:r>
      <w:r w:rsidR="00E15E1B">
        <w:t xml:space="preserve"> </w:t>
      </w:r>
      <w:r>
        <w:t>work</w:t>
      </w:r>
      <w:r w:rsidR="00E15E1B">
        <w:t xml:space="preserve"> </w:t>
      </w:r>
      <w:r>
        <w:t>to</w:t>
      </w:r>
      <w:r w:rsidR="00E15E1B">
        <w:t xml:space="preserve"> </w:t>
      </w:r>
      <w:r>
        <w:t>achieve</w:t>
      </w:r>
      <w:r w:rsidR="00E15E1B">
        <w:t xml:space="preserve"> </w:t>
      </w:r>
      <w:r>
        <w:t>fair</w:t>
      </w:r>
      <w:r w:rsidR="00E15E1B">
        <w:t xml:space="preserve"> </w:t>
      </w:r>
      <w:r>
        <w:t>and</w:t>
      </w:r>
      <w:r w:rsidR="00E15E1B">
        <w:t xml:space="preserve"> </w:t>
      </w:r>
      <w:r>
        <w:t>safe</w:t>
      </w:r>
      <w:r w:rsidR="00E15E1B">
        <w:t xml:space="preserve"> </w:t>
      </w:r>
      <w:r>
        <w:t>rental</w:t>
      </w:r>
      <w:r w:rsidR="00E15E1B">
        <w:t xml:space="preserve"> </w:t>
      </w:r>
      <w:r>
        <w:t>housing.</w:t>
      </w:r>
      <w:r w:rsidR="00E15E1B">
        <w:t xml:space="preserve"> </w:t>
      </w:r>
      <w:r>
        <w:t>Our</w:t>
      </w:r>
      <w:r w:rsidR="00E15E1B">
        <w:t xml:space="preserve"> </w:t>
      </w:r>
      <w:r>
        <w:t>priority</w:t>
      </w:r>
      <w:r w:rsidR="00E15E1B">
        <w:t xml:space="preserve"> </w:t>
      </w:r>
      <w:r>
        <w:t>is</w:t>
      </w:r>
      <w:r w:rsidR="00E15E1B">
        <w:t xml:space="preserve"> </w:t>
      </w:r>
      <w:r>
        <w:t>to</w:t>
      </w:r>
      <w:r w:rsidR="00E15E1B">
        <w:t xml:space="preserve"> </w:t>
      </w:r>
      <w:r>
        <w:t>ensure</w:t>
      </w:r>
      <w:r w:rsidR="00E15E1B">
        <w:t xml:space="preserve"> </w:t>
      </w:r>
      <w:r>
        <w:t>that</w:t>
      </w:r>
      <w:r w:rsidR="00E15E1B">
        <w:t xml:space="preserve"> </w:t>
      </w:r>
      <w:r>
        <w:t>the</w:t>
      </w:r>
      <w:r w:rsidR="00E15E1B">
        <w:t xml:space="preserve"> </w:t>
      </w:r>
      <w:r>
        <w:t>residential</w:t>
      </w:r>
      <w:r w:rsidR="00E15E1B">
        <w:t xml:space="preserve"> </w:t>
      </w:r>
      <w:r>
        <w:t>tenancy</w:t>
      </w:r>
      <w:r w:rsidR="00E15E1B">
        <w:t xml:space="preserve"> </w:t>
      </w:r>
      <w:r>
        <w:t>framework</w:t>
      </w:r>
      <w:r w:rsidR="00E15E1B">
        <w:t xml:space="preserve"> </w:t>
      </w:r>
      <w:r>
        <w:t>in</w:t>
      </w:r>
      <w:r w:rsidR="00E15E1B">
        <w:t xml:space="preserve"> </w:t>
      </w:r>
      <w:r>
        <w:t>Victoria</w:t>
      </w:r>
      <w:r w:rsidR="00E15E1B">
        <w:t xml:space="preserve"> </w:t>
      </w:r>
      <w:r>
        <w:t>reflects</w:t>
      </w:r>
      <w:r w:rsidR="00E15E1B">
        <w:t xml:space="preserve"> </w:t>
      </w:r>
      <w:r>
        <w:t>the</w:t>
      </w:r>
      <w:r w:rsidR="00E15E1B">
        <w:t xml:space="preserve"> </w:t>
      </w:r>
      <w:r>
        <w:t>modern</w:t>
      </w:r>
      <w:r w:rsidR="00E15E1B">
        <w:t xml:space="preserve"> </w:t>
      </w:r>
      <w:r>
        <w:t>marketplace,</w:t>
      </w:r>
      <w:r w:rsidR="00E15E1B">
        <w:t xml:space="preserve"> </w:t>
      </w:r>
      <w:r>
        <w:t>delivering</w:t>
      </w:r>
      <w:r w:rsidR="00E15E1B">
        <w:t xml:space="preserve"> </w:t>
      </w:r>
      <w:r>
        <w:t>the</w:t>
      </w:r>
      <w:r w:rsidR="00E15E1B">
        <w:t xml:space="preserve"> </w:t>
      </w:r>
      <w:r>
        <w:t>best</w:t>
      </w:r>
      <w:r w:rsidR="00E15E1B">
        <w:t xml:space="preserve"> </w:t>
      </w:r>
      <w:r>
        <w:t>results</w:t>
      </w:r>
      <w:r w:rsidR="00E15E1B">
        <w:t xml:space="preserve"> </w:t>
      </w:r>
      <w:r>
        <w:t>for</w:t>
      </w:r>
      <w:r w:rsidR="00E15E1B">
        <w:t xml:space="preserve"> </w:t>
      </w:r>
      <w:r>
        <w:t>all.</w:t>
      </w:r>
      <w:r w:rsidR="00E15E1B">
        <w:t xml:space="preserve"> </w:t>
      </w:r>
      <w:r>
        <w:t>This</w:t>
      </w:r>
      <w:r w:rsidR="00E15E1B">
        <w:t xml:space="preserve"> </w:t>
      </w:r>
      <w:r>
        <w:t>includes</w:t>
      </w:r>
      <w:r w:rsidR="00E15E1B">
        <w:t xml:space="preserve"> </w:t>
      </w:r>
      <w:r>
        <w:t>increased</w:t>
      </w:r>
      <w:r w:rsidR="00E15E1B">
        <w:t xml:space="preserve"> </w:t>
      </w:r>
      <w:r>
        <w:t>collaboration</w:t>
      </w:r>
      <w:r w:rsidR="00E15E1B">
        <w:t xml:space="preserve"> </w:t>
      </w:r>
      <w:r>
        <w:t>with</w:t>
      </w:r>
      <w:r w:rsidR="00E15E1B">
        <w:t xml:space="preserve"> </w:t>
      </w:r>
      <w:r>
        <w:t>partners</w:t>
      </w:r>
      <w:r w:rsidR="00E15E1B">
        <w:t xml:space="preserve"> </w:t>
      </w:r>
      <w:r>
        <w:t>so</w:t>
      </w:r>
      <w:r w:rsidR="00E15E1B">
        <w:t xml:space="preserve"> </w:t>
      </w:r>
      <w:r>
        <w:t>we</w:t>
      </w:r>
      <w:r w:rsidR="00E15E1B">
        <w:t xml:space="preserve"> </w:t>
      </w:r>
      <w:r>
        <w:t>can</w:t>
      </w:r>
      <w:r w:rsidR="00E15E1B">
        <w:t xml:space="preserve"> </w:t>
      </w:r>
      <w:r>
        <w:t>continue</w:t>
      </w:r>
      <w:r w:rsidR="00E15E1B">
        <w:t xml:space="preserve"> </w:t>
      </w:r>
      <w:r>
        <w:t>to</w:t>
      </w:r>
      <w:r w:rsidR="00E15E1B">
        <w:t xml:space="preserve"> </w:t>
      </w:r>
      <w:r>
        <w:t>improve</w:t>
      </w:r>
      <w:r w:rsidR="00E15E1B">
        <w:t xml:space="preserve"> </w:t>
      </w:r>
      <w:r>
        <w:t>our</w:t>
      </w:r>
      <w:r w:rsidR="00E15E1B">
        <w:t xml:space="preserve"> </w:t>
      </w:r>
      <w:r>
        <w:t>understanding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needs</w:t>
      </w:r>
      <w:r w:rsidR="00E15E1B">
        <w:t xml:space="preserve"> </w:t>
      </w:r>
      <w:r>
        <w:t>of</w:t>
      </w:r>
      <w:r w:rsidR="00E15E1B">
        <w:t xml:space="preserve"> </w:t>
      </w:r>
      <w:r>
        <w:t>a</w:t>
      </w:r>
      <w:r w:rsidR="00E15E1B">
        <w:t xml:space="preserve"> </w:t>
      </w:r>
      <w:r>
        <w:t>modern</w:t>
      </w:r>
      <w:r w:rsidR="00E15E1B">
        <w:t xml:space="preserve"> </w:t>
      </w:r>
      <w:r>
        <w:t>market,</w:t>
      </w:r>
      <w:r w:rsidR="00E15E1B">
        <w:t xml:space="preserve"> </w:t>
      </w:r>
      <w:r>
        <w:t>and</w:t>
      </w:r>
      <w:r w:rsidR="00E15E1B">
        <w:t xml:space="preserve"> </w:t>
      </w:r>
      <w:r>
        <w:t>make</w:t>
      </w:r>
      <w:r w:rsidR="00E15E1B">
        <w:t xml:space="preserve"> </w:t>
      </w:r>
      <w:r>
        <w:t>positive</w:t>
      </w:r>
      <w:r w:rsidR="00E15E1B">
        <w:t xml:space="preserve"> </w:t>
      </w:r>
      <w:r>
        <w:t>changes</w:t>
      </w:r>
      <w:r w:rsidR="00E15E1B">
        <w:t xml:space="preserve"> </w:t>
      </w:r>
      <w:r>
        <w:t>across</w:t>
      </w:r>
      <w:r w:rsidR="00E15E1B">
        <w:t xml:space="preserve"> </w:t>
      </w:r>
      <w:r>
        <w:t>the</w:t>
      </w:r>
      <w:r w:rsidR="00E15E1B">
        <w:t xml:space="preserve"> </w:t>
      </w:r>
      <w:r>
        <w:t>sector.</w:t>
      </w:r>
    </w:p>
    <w:p w:rsidR="00156239" w:rsidRDefault="00156239" w:rsidP="00156239">
      <w:pPr>
        <w:pStyle w:val="Heading4"/>
      </w:pPr>
      <w:r>
        <w:t>Highlights</w:t>
      </w:r>
    </w:p>
    <w:p w:rsidR="00156239" w:rsidRDefault="00156239" w:rsidP="00156239">
      <w:pPr>
        <w:pStyle w:val="BodyText"/>
      </w:pP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past</w:t>
      </w:r>
      <w:r w:rsidR="00E15E1B">
        <w:t xml:space="preserve"> </w:t>
      </w:r>
      <w:r>
        <w:t>year</w:t>
      </w:r>
      <w:r w:rsidR="00E15E1B">
        <w:t xml:space="preserve"> </w:t>
      </w:r>
      <w:r>
        <w:t>we</w:t>
      </w:r>
      <w:r w:rsidR="00E15E1B">
        <w:t xml:space="preserve"> </w:t>
      </w:r>
      <w:r>
        <w:t>responded</w:t>
      </w:r>
      <w:r w:rsidR="00E15E1B">
        <w:t xml:space="preserve"> </w:t>
      </w:r>
      <w:r>
        <w:t>to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67,800</w:t>
      </w:r>
      <w:r w:rsidR="00E15E1B">
        <w:t xml:space="preserve"> </w:t>
      </w:r>
      <w:r>
        <w:t>calls</w:t>
      </w:r>
      <w:r w:rsidR="00E15E1B">
        <w:t xml:space="preserve"> </w:t>
      </w:r>
      <w:r>
        <w:t>about</w:t>
      </w:r>
      <w:r w:rsidR="00E15E1B">
        <w:t xml:space="preserve"> </w:t>
      </w:r>
      <w:r>
        <w:t>residential</w:t>
      </w:r>
      <w:r w:rsidR="00E15E1B">
        <w:t xml:space="preserve"> </w:t>
      </w:r>
      <w:r>
        <w:t>tenancies</w:t>
      </w:r>
      <w:r w:rsidR="00E15E1B">
        <w:t xml:space="preserve"> </w:t>
      </w:r>
      <w:r>
        <w:t>and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71,300</w:t>
      </w:r>
      <w:r w:rsidR="00E15E1B">
        <w:t xml:space="preserve"> </w:t>
      </w:r>
      <w:r>
        <w:t>calls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Residential</w:t>
      </w:r>
      <w:r w:rsidR="00E15E1B">
        <w:t xml:space="preserve"> </w:t>
      </w:r>
      <w:r>
        <w:t>Tenancies</w:t>
      </w:r>
      <w:r w:rsidR="00E15E1B">
        <w:t xml:space="preserve"> </w:t>
      </w:r>
      <w:r>
        <w:t>Bond</w:t>
      </w:r>
      <w:r w:rsidR="00E15E1B">
        <w:t xml:space="preserve"> </w:t>
      </w:r>
      <w:r>
        <w:t>Authority</w:t>
      </w:r>
      <w:r w:rsidR="00E15E1B">
        <w:t xml:space="preserve"> </w:t>
      </w:r>
      <w:r>
        <w:t>(RTBA).</w:t>
      </w:r>
      <w:r w:rsidR="00E15E1B">
        <w:t xml:space="preserve"> </w:t>
      </w:r>
      <w:r>
        <w:t>The</w:t>
      </w:r>
      <w:r w:rsidR="00E15E1B">
        <w:t xml:space="preserve"> </w:t>
      </w:r>
      <w:r>
        <w:t>renting</w:t>
      </w:r>
      <w:r w:rsidR="00E15E1B">
        <w:t xml:space="preserve"> </w:t>
      </w:r>
      <w:r>
        <w:t>section</w:t>
      </w:r>
      <w:r w:rsidR="00E15E1B">
        <w:t xml:space="preserve"> </w:t>
      </w:r>
      <w:r>
        <w:t>received</w:t>
      </w:r>
      <w:r w:rsidR="00E15E1B">
        <w:t xml:space="preserve"> </w:t>
      </w:r>
      <w:r>
        <w:t>over</w:t>
      </w:r>
      <w:r w:rsidR="00E15E1B">
        <w:t xml:space="preserve"> </w:t>
      </w:r>
      <w:r>
        <w:t>2</w:t>
      </w:r>
      <w:r w:rsidR="00E15E1B">
        <w:t xml:space="preserve"> </w:t>
      </w:r>
      <w:r>
        <w:t>million</w:t>
      </w:r>
      <w:r w:rsidR="00E15E1B">
        <w:t xml:space="preserve"> </w:t>
      </w:r>
      <w:r>
        <w:t>visits,</w:t>
      </w:r>
      <w:r w:rsidR="00E15E1B">
        <w:t xml:space="preserve"> </w:t>
      </w:r>
      <w:r>
        <w:t>and</w:t>
      </w:r>
      <w:r w:rsidR="00E15E1B">
        <w:t xml:space="preserve"> </w:t>
      </w:r>
      <w:r>
        <w:t>continues</w:t>
      </w:r>
      <w:r w:rsidR="00E15E1B">
        <w:t xml:space="preserve"> </w:t>
      </w:r>
      <w:r>
        <w:t>to</w:t>
      </w:r>
      <w:r w:rsidR="00E15E1B">
        <w:t xml:space="preserve"> </w:t>
      </w:r>
      <w:r>
        <w:t>be</w:t>
      </w:r>
      <w:r w:rsidR="00E15E1B">
        <w:t xml:space="preserve"> </w:t>
      </w:r>
      <w:r>
        <w:t>the</w:t>
      </w:r>
      <w:r w:rsidR="00E15E1B">
        <w:t xml:space="preserve"> </w:t>
      </w:r>
      <w:r>
        <w:t>most</w:t>
      </w:r>
      <w:r w:rsidR="00E15E1B">
        <w:t xml:space="preserve"> </w:t>
      </w:r>
      <w:r>
        <w:t>viewed</w:t>
      </w:r>
      <w:r w:rsidR="00E15E1B">
        <w:t xml:space="preserve"> </w:t>
      </w:r>
      <w:r>
        <w:t>on</w:t>
      </w:r>
      <w:r w:rsidR="00E15E1B">
        <w:t xml:space="preserve"> </w:t>
      </w:r>
      <w:r>
        <w:t>our</w:t>
      </w:r>
      <w:r w:rsidR="00E15E1B">
        <w:t xml:space="preserve"> </w:t>
      </w:r>
      <w:r>
        <w:t>website.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number</w:t>
      </w:r>
      <w:r w:rsidR="00E15E1B">
        <w:t xml:space="preserve"> </w:t>
      </w:r>
      <w:r>
        <w:t>of</w:t>
      </w:r>
      <w:r w:rsidR="00E15E1B">
        <w:t xml:space="preserve"> </w:t>
      </w:r>
      <w:r>
        <w:t>bonds</w:t>
      </w:r>
      <w:r w:rsidR="00E15E1B">
        <w:t xml:space="preserve"> </w:t>
      </w:r>
      <w:r>
        <w:t>held</w:t>
      </w:r>
      <w:r w:rsidR="00E15E1B">
        <w:t xml:space="preserve"> </w:t>
      </w:r>
      <w:r>
        <w:t>in</w:t>
      </w:r>
      <w:r w:rsidR="00E15E1B">
        <w:t xml:space="preserve"> </w:t>
      </w:r>
      <w:r>
        <w:t>trust</w:t>
      </w:r>
      <w:r w:rsidR="00E15E1B">
        <w:t xml:space="preserve"> </w:t>
      </w:r>
      <w:r>
        <w:t>by</w:t>
      </w:r>
      <w:r w:rsidR="00E15E1B">
        <w:t xml:space="preserve"> </w:t>
      </w:r>
      <w:r>
        <w:t>the</w:t>
      </w:r>
      <w:r w:rsidR="00E15E1B">
        <w:t xml:space="preserve"> </w:t>
      </w:r>
      <w:r>
        <w:t>RTBA</w:t>
      </w:r>
      <w:r w:rsidR="00E15E1B">
        <w:t xml:space="preserve"> </w:t>
      </w:r>
      <w:r>
        <w:t>increased</w:t>
      </w:r>
      <w:r w:rsidR="00E15E1B">
        <w:t xml:space="preserve"> </w:t>
      </w:r>
      <w:r>
        <w:t>to</w:t>
      </w:r>
      <w:r w:rsidR="00E15E1B">
        <w:t xml:space="preserve"> </w:t>
      </w:r>
      <w:r>
        <w:t>644,229,</w:t>
      </w:r>
      <w:r w:rsidR="00E15E1B">
        <w:t xml:space="preserve"> </w:t>
      </w:r>
      <w:r>
        <w:t>with</w:t>
      </w:r>
      <w:r w:rsidR="00E15E1B">
        <w:t xml:space="preserve"> </w:t>
      </w:r>
      <w:r>
        <w:t>a</w:t>
      </w:r>
      <w:r w:rsidR="00E15E1B">
        <w:t xml:space="preserve"> </w:t>
      </w:r>
      <w:r>
        <w:t>total</w:t>
      </w:r>
      <w:r w:rsidR="00E15E1B">
        <w:t xml:space="preserve"> </w:t>
      </w:r>
      <w:r>
        <w:t>value</w:t>
      </w:r>
      <w:r w:rsidR="00E15E1B">
        <w:t xml:space="preserve"> </w:t>
      </w:r>
      <w:r>
        <w:t>of</w:t>
      </w:r>
      <w:r w:rsidR="00E15E1B">
        <w:t xml:space="preserve"> </w:t>
      </w:r>
      <w:r>
        <w:t>$1.13</w:t>
      </w:r>
      <w:r w:rsidR="00E15E1B">
        <w:t xml:space="preserve"> </w:t>
      </w:r>
      <w:r>
        <w:t>billion.</w:t>
      </w:r>
    </w:p>
    <w:p w:rsidR="00156239" w:rsidRDefault="00156239" w:rsidP="00156239">
      <w:pPr>
        <w:pStyle w:val="BodyText"/>
      </w:pPr>
      <w:r>
        <w:t>As</w:t>
      </w:r>
      <w:r w:rsidR="00E15E1B">
        <w:t xml:space="preserve"> </w:t>
      </w:r>
      <w:r>
        <w:t>funding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advocacy</w:t>
      </w:r>
      <w:r w:rsidR="00E15E1B">
        <w:t xml:space="preserve"> </w:t>
      </w:r>
      <w:r>
        <w:t>services</w:t>
      </w:r>
      <w:r w:rsidR="00E15E1B">
        <w:t xml:space="preserve"> </w:t>
      </w:r>
      <w:r>
        <w:t>increased</w:t>
      </w:r>
      <w:r w:rsidR="00E15E1B">
        <w:t xml:space="preserve"> </w:t>
      </w:r>
      <w:r>
        <w:t>by</w:t>
      </w:r>
      <w:r w:rsidR="00E15E1B">
        <w:t xml:space="preserve"> </w:t>
      </w:r>
      <w:r>
        <w:t>over</w:t>
      </w:r>
      <w:r w:rsidR="00E15E1B">
        <w:t xml:space="preserve"> </w:t>
      </w:r>
      <w:r>
        <w:t>$1</w:t>
      </w:r>
      <w:r w:rsidR="00E15E1B">
        <w:t xml:space="preserve"> </w:t>
      </w:r>
      <w:r>
        <w:t>million</w:t>
      </w:r>
      <w:r w:rsidR="00E15E1B">
        <w:t xml:space="preserve"> </w:t>
      </w:r>
      <w:r>
        <w:t>in</w:t>
      </w:r>
      <w:r w:rsidR="00E15E1B">
        <w:t xml:space="preserve"> </w:t>
      </w:r>
      <w:r>
        <w:t>2017–18,</w:t>
      </w:r>
      <w:r w:rsidR="00E15E1B">
        <w:t xml:space="preserve"> </w:t>
      </w:r>
      <w:r>
        <w:t>we</w:t>
      </w:r>
      <w:r w:rsidR="00E15E1B">
        <w:t xml:space="preserve"> </w:t>
      </w:r>
      <w:r>
        <w:t>provided</w:t>
      </w:r>
      <w:r w:rsidR="00E15E1B">
        <w:t xml:space="preserve"> </w:t>
      </w:r>
      <w:r>
        <w:t>intensive</w:t>
      </w:r>
      <w:r w:rsidR="00E15E1B">
        <w:t xml:space="preserve"> </w:t>
      </w:r>
      <w:r>
        <w:t>assistance</w:t>
      </w:r>
      <w:r w:rsidR="00E15E1B">
        <w:t xml:space="preserve"> </w:t>
      </w:r>
      <w:r>
        <w:t>to</w:t>
      </w:r>
      <w:r w:rsidR="00E15E1B">
        <w:t xml:space="preserve"> </w:t>
      </w:r>
      <w:r>
        <w:t>over</w:t>
      </w:r>
      <w:r w:rsidR="00E15E1B">
        <w:t xml:space="preserve"> </w:t>
      </w:r>
      <w:r>
        <w:t>6,800</w:t>
      </w:r>
      <w:r w:rsidR="00E15E1B">
        <w:t xml:space="preserve"> </w:t>
      </w:r>
      <w:r>
        <w:t>vulnerable</w:t>
      </w:r>
      <w:r w:rsidR="00E15E1B">
        <w:t xml:space="preserve"> </w:t>
      </w:r>
      <w:r>
        <w:t>and</w:t>
      </w:r>
      <w:r w:rsidR="00E15E1B">
        <w:t xml:space="preserve"> </w:t>
      </w:r>
      <w:r>
        <w:t>disadvantaged</w:t>
      </w:r>
      <w:r w:rsidR="00E15E1B">
        <w:t xml:space="preserve"> </w:t>
      </w:r>
      <w:r>
        <w:t>Victorians</w:t>
      </w:r>
      <w:r w:rsidR="00E15E1B">
        <w:t xml:space="preserve"> </w:t>
      </w:r>
      <w:r>
        <w:t>through</w:t>
      </w:r>
      <w:r w:rsidR="00E15E1B">
        <w:t xml:space="preserve"> </w:t>
      </w:r>
      <w:r>
        <w:t>our</w:t>
      </w:r>
      <w:r w:rsidR="00E15E1B">
        <w:t xml:space="preserve"> </w:t>
      </w:r>
      <w:r>
        <w:t>Tenancy</w:t>
      </w:r>
      <w:r w:rsidR="00E15E1B">
        <w:t xml:space="preserve"> </w:t>
      </w:r>
      <w:r>
        <w:t>Advice</w:t>
      </w:r>
      <w:r w:rsidR="00E15E1B">
        <w:t xml:space="preserve"> </w:t>
      </w:r>
      <w:r>
        <w:t>and</w:t>
      </w:r>
      <w:r w:rsidR="00E15E1B">
        <w:t xml:space="preserve"> </w:t>
      </w:r>
      <w:r>
        <w:t>Assistance</w:t>
      </w:r>
      <w:r w:rsidR="00E15E1B">
        <w:t xml:space="preserve"> </w:t>
      </w:r>
      <w:r>
        <w:t>Program,</w:t>
      </w:r>
      <w:r w:rsidR="00E15E1B">
        <w:t xml:space="preserve"> </w:t>
      </w:r>
      <w:r>
        <w:t>up</w:t>
      </w:r>
      <w:r w:rsidR="00E15E1B">
        <w:t xml:space="preserve"> </w:t>
      </w:r>
      <w:r>
        <w:t>from</w:t>
      </w:r>
      <w:r w:rsidR="00E15E1B">
        <w:t xml:space="preserve"> </w:t>
      </w:r>
      <w:r>
        <w:t>6,186</w:t>
      </w:r>
      <w:r w:rsidR="00E15E1B">
        <w:t xml:space="preserve"> </w:t>
      </w:r>
      <w:r>
        <w:t>in</w:t>
      </w:r>
      <w:r w:rsidR="00E15E1B">
        <w:t xml:space="preserve"> </w:t>
      </w:r>
      <w:r>
        <w:t>2016–17.</w:t>
      </w:r>
    </w:p>
    <w:p w:rsidR="00156239" w:rsidRDefault="00156239" w:rsidP="00156239">
      <w:pPr>
        <w:pStyle w:val="BodyText"/>
      </w:pPr>
      <w:r>
        <w:t>Table</w:t>
      </w:r>
      <w:r w:rsidR="00E15E1B">
        <w:t xml:space="preserve"> </w:t>
      </w:r>
      <w:r>
        <w:t>5</w:t>
      </w:r>
      <w:r w:rsidR="00E15E1B">
        <w:t xml:space="preserve"> </w:t>
      </w:r>
      <w:r>
        <w:t>provides</w:t>
      </w:r>
      <w:r w:rsidR="00E15E1B">
        <w:t xml:space="preserve"> </w:t>
      </w:r>
      <w:r>
        <w:t>more</w:t>
      </w:r>
      <w:r w:rsidR="00E15E1B">
        <w:t xml:space="preserve"> </w:t>
      </w:r>
      <w:r>
        <w:t>details</w:t>
      </w:r>
      <w:r w:rsidR="00E15E1B">
        <w:t xml:space="preserve"> </w:t>
      </w:r>
      <w:r>
        <w:t>about</w:t>
      </w:r>
      <w:r w:rsidR="00E15E1B">
        <w:t xml:space="preserve"> </w:t>
      </w:r>
      <w:r>
        <w:t>our</w:t>
      </w:r>
      <w:r w:rsidR="00E15E1B">
        <w:t xml:space="preserve"> </w:t>
      </w:r>
      <w:r>
        <w:t>activities</w:t>
      </w:r>
      <w:r w:rsidR="00E15E1B">
        <w:t xml:space="preserve"> </w:t>
      </w:r>
      <w:r>
        <w:t>related</w:t>
      </w:r>
      <w:r w:rsidR="00E15E1B">
        <w:t xml:space="preserve"> </w:t>
      </w:r>
      <w:r>
        <w:t>to</w:t>
      </w:r>
      <w:r w:rsidR="00E15E1B">
        <w:t xml:space="preserve"> </w:t>
      </w:r>
      <w:r>
        <w:t>residential</w:t>
      </w:r>
      <w:r w:rsidR="00E15E1B">
        <w:t xml:space="preserve"> </w:t>
      </w:r>
      <w:r>
        <w:t>tenancies</w:t>
      </w:r>
      <w:r w:rsidR="00E15E1B">
        <w:t xml:space="preserve"> </w:t>
      </w:r>
      <w:r>
        <w:t>in</w:t>
      </w:r>
      <w:r w:rsidR="00E15E1B">
        <w:t xml:space="preserve"> </w:t>
      </w:r>
      <w:r>
        <w:t>2017–18.</w:t>
      </w:r>
    </w:p>
    <w:p w:rsidR="00156239" w:rsidRDefault="00156239" w:rsidP="00156239">
      <w:pPr>
        <w:pStyle w:val="BodyText"/>
      </w:pPr>
      <w:r>
        <w:t>Our</w:t>
      </w:r>
      <w:r w:rsidR="00E15E1B">
        <w:t xml:space="preserve"> </w:t>
      </w:r>
      <w:r>
        <w:t>comprehensive</w:t>
      </w:r>
      <w:r w:rsidR="00E15E1B">
        <w:t xml:space="preserve"> </w:t>
      </w:r>
      <w:r>
        <w:t>and</w:t>
      </w:r>
      <w:r w:rsidR="00E15E1B">
        <w:t xml:space="preserve"> </w:t>
      </w:r>
      <w:r>
        <w:t>evidence-based</w:t>
      </w:r>
      <w:r w:rsidR="00E15E1B">
        <w:t xml:space="preserve"> </w:t>
      </w:r>
      <w:r>
        <w:t>review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Residential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Tenancies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1997</w:t>
      </w:r>
      <w:r w:rsidR="00E15E1B">
        <w:t xml:space="preserve"> </w:t>
      </w:r>
      <w:r>
        <w:t>is</w:t>
      </w:r>
      <w:r w:rsidR="00E15E1B">
        <w:t xml:space="preserve"> </w:t>
      </w:r>
      <w:r>
        <w:t>progressing.</w:t>
      </w:r>
      <w:r w:rsidR="00E15E1B">
        <w:t xml:space="preserve"> </w:t>
      </w:r>
      <w:r>
        <w:t>The</w:t>
      </w:r>
      <w:r w:rsidR="00E15E1B">
        <w:t xml:space="preserve"> </w:t>
      </w:r>
      <w:r>
        <w:t>full</w:t>
      </w:r>
      <w:r w:rsidR="00E15E1B">
        <w:t xml:space="preserve"> </w:t>
      </w:r>
      <w:r>
        <w:t>reform</w:t>
      </w:r>
      <w:r w:rsidR="00E15E1B">
        <w:t xml:space="preserve"> </w:t>
      </w:r>
      <w:r>
        <w:t>package</w:t>
      </w:r>
      <w:r w:rsidR="00E15E1B">
        <w:t xml:space="preserve"> </w:t>
      </w:r>
      <w:r>
        <w:t>was</w:t>
      </w:r>
      <w:r w:rsidR="00E15E1B">
        <w:t xml:space="preserve"> </w:t>
      </w:r>
      <w:r>
        <w:t>introduced</w:t>
      </w:r>
      <w:r w:rsidR="00E15E1B">
        <w:t xml:space="preserve"> </w:t>
      </w:r>
      <w:r>
        <w:t>into</w:t>
      </w:r>
      <w:r w:rsidR="00E15E1B">
        <w:t xml:space="preserve"> </w:t>
      </w:r>
      <w:r>
        <w:t>Parliament</w:t>
      </w:r>
      <w:r w:rsidR="00E15E1B">
        <w:t xml:space="preserve"> </w:t>
      </w:r>
      <w:r>
        <w:t>in</w:t>
      </w:r>
      <w:r w:rsidR="00E15E1B">
        <w:t xml:space="preserve"> </w:t>
      </w:r>
      <w:r>
        <w:t>August</w:t>
      </w:r>
      <w:r w:rsidR="00E15E1B">
        <w:t xml:space="preserve"> </w:t>
      </w:r>
      <w:r>
        <w:t>2018.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continue</w:t>
      </w:r>
      <w:r w:rsidR="00E15E1B">
        <w:t xml:space="preserve"> </w:t>
      </w:r>
      <w:r>
        <w:t>our</w:t>
      </w:r>
      <w:r w:rsidR="00E15E1B">
        <w:t xml:space="preserve"> </w:t>
      </w:r>
      <w:r>
        <w:t>work</w:t>
      </w:r>
      <w:r w:rsidR="00E15E1B">
        <w:t xml:space="preserve"> </w:t>
      </w:r>
      <w:r>
        <w:t>toward</w:t>
      </w:r>
      <w:r w:rsidR="00E15E1B">
        <w:t xml:space="preserve"> </w:t>
      </w:r>
      <w:r>
        <w:t>introducing</w:t>
      </w:r>
      <w:r w:rsidR="00E15E1B">
        <w:t xml:space="preserve"> </w:t>
      </w:r>
      <w:r>
        <w:t>long-term</w:t>
      </w:r>
      <w:r w:rsidR="00E15E1B">
        <w:t xml:space="preserve"> </w:t>
      </w:r>
      <w:r>
        <w:t>tenancy</w:t>
      </w:r>
      <w:r w:rsidR="00E15E1B">
        <w:t xml:space="preserve"> </w:t>
      </w:r>
      <w:r>
        <w:t>agreements,</w:t>
      </w:r>
      <w:r w:rsidR="00E15E1B">
        <w:t xml:space="preserve"> </w:t>
      </w:r>
      <w:r>
        <w:t>part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Government’s</w:t>
      </w:r>
      <w:r w:rsidR="00E15E1B">
        <w:t xml:space="preserve"> </w:t>
      </w:r>
      <w:r>
        <w:t>Homes</w:t>
      </w:r>
      <w:r w:rsidR="00E15E1B">
        <w:t xml:space="preserve"> </w:t>
      </w:r>
      <w:r>
        <w:t>for</w:t>
      </w:r>
      <w:r w:rsidR="00E15E1B">
        <w:t xml:space="preserve"> </w:t>
      </w:r>
      <w:r>
        <w:t>Victorians</w:t>
      </w:r>
      <w:r w:rsidR="00E15E1B">
        <w:t xml:space="preserve"> </w:t>
      </w:r>
      <w:r>
        <w:t>housing</w:t>
      </w:r>
      <w:r w:rsidR="00E15E1B">
        <w:t xml:space="preserve"> </w:t>
      </w:r>
      <w:r>
        <w:t>strategy.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monitored</w:t>
      </w:r>
      <w:r w:rsidR="00E15E1B">
        <w:t xml:space="preserve"> </w:t>
      </w:r>
      <w:r>
        <w:t>and</w:t>
      </w:r>
      <w:r w:rsidR="00E15E1B">
        <w:t xml:space="preserve"> </w:t>
      </w:r>
      <w:r>
        <w:t>supported</w:t>
      </w:r>
      <w:r w:rsidR="00E15E1B">
        <w:t xml:space="preserve"> </w:t>
      </w:r>
      <w:r>
        <w:t>over</w:t>
      </w:r>
      <w:r w:rsidR="00E15E1B">
        <w:t xml:space="preserve"> </w:t>
      </w:r>
      <w:r>
        <w:t>860</w:t>
      </w:r>
      <w:r w:rsidR="00E15E1B">
        <w:t xml:space="preserve"> </w:t>
      </w:r>
      <w:r>
        <w:t>licensees</w:t>
      </w:r>
      <w:r w:rsidR="00E15E1B">
        <w:t xml:space="preserve"> </w:t>
      </w:r>
      <w:r>
        <w:t>through</w:t>
      </w:r>
      <w:r w:rsidR="00E15E1B">
        <w:t xml:space="preserve"> </w:t>
      </w:r>
      <w:r>
        <w:t>the</w:t>
      </w:r>
      <w:r w:rsidR="00E15E1B">
        <w:t xml:space="preserve"> </w:t>
      </w:r>
      <w:r>
        <w:t>rooming</w:t>
      </w:r>
      <w:r w:rsidR="00E15E1B">
        <w:t xml:space="preserve"> </w:t>
      </w:r>
      <w:r>
        <w:t>house</w:t>
      </w:r>
      <w:r w:rsidR="00E15E1B">
        <w:t xml:space="preserve"> </w:t>
      </w:r>
      <w:r>
        <w:t>licensing</w:t>
      </w:r>
      <w:r w:rsidR="00E15E1B">
        <w:t xml:space="preserve"> </w:t>
      </w:r>
      <w:r>
        <w:t>scheme,</w:t>
      </w:r>
      <w:r w:rsidR="00E15E1B">
        <w:t xml:space="preserve"> </w:t>
      </w:r>
      <w:r>
        <w:t>which</w:t>
      </w:r>
      <w:r w:rsidR="00E15E1B">
        <w:t xml:space="preserve"> </w:t>
      </w:r>
      <w:r>
        <w:t>commenced</w:t>
      </w:r>
      <w:r w:rsidR="00E15E1B">
        <w:t xml:space="preserve"> </w:t>
      </w:r>
      <w:r>
        <w:t>in</w:t>
      </w:r>
      <w:r w:rsidR="00E15E1B">
        <w:t xml:space="preserve"> </w:t>
      </w:r>
      <w:r>
        <w:t>April</w:t>
      </w:r>
      <w:r w:rsidR="00E15E1B">
        <w:t xml:space="preserve"> </w:t>
      </w:r>
      <w:r>
        <w:t>2017.</w:t>
      </w:r>
    </w:p>
    <w:p w:rsidR="00410D44" w:rsidRPr="00410D44" w:rsidRDefault="00410D44" w:rsidP="00410D44">
      <w:pPr>
        <w:pStyle w:val="BodyText"/>
      </w:pPr>
      <w:r w:rsidRPr="00410D44">
        <w:br w:type="page"/>
      </w:r>
    </w:p>
    <w:p w:rsidR="00156239" w:rsidRDefault="00156239" w:rsidP="00156239">
      <w:pPr>
        <w:pStyle w:val="Caption"/>
      </w:pPr>
      <w:r>
        <w:lastRenderedPageBreak/>
        <w:t>Table</w:t>
      </w:r>
      <w:r w:rsidR="00E15E1B">
        <w:t xml:space="preserve"> </w:t>
      </w:r>
      <w:r>
        <w:t>5:</w:t>
      </w:r>
      <w:r w:rsidR="00E15E1B">
        <w:t xml:space="preserve"> </w:t>
      </w:r>
      <w:r>
        <w:t>Information,</w:t>
      </w:r>
      <w:r w:rsidR="00E15E1B">
        <w:t xml:space="preserve"> </w:t>
      </w:r>
      <w:r>
        <w:t>advice</w:t>
      </w:r>
      <w:r w:rsidR="00E15E1B">
        <w:t xml:space="preserve"> </w:t>
      </w:r>
      <w:r>
        <w:t>and</w:t>
      </w:r>
      <w:r w:rsidR="00E15E1B">
        <w:t xml:space="preserve"> </w:t>
      </w:r>
      <w:r>
        <w:t>service</w:t>
      </w:r>
      <w:r w:rsidR="00E15E1B">
        <w:t xml:space="preserve"> </w:t>
      </w:r>
      <w:r>
        <w:t>delivery</w:t>
      </w:r>
      <w:r w:rsidR="00E15E1B">
        <w:t xml:space="preserve"> </w:t>
      </w:r>
      <w:r>
        <w:t>to</w:t>
      </w:r>
      <w:r w:rsidR="00E15E1B">
        <w:t xml:space="preserve"> </w:t>
      </w:r>
      <w:r>
        <w:t>tenants,</w:t>
      </w:r>
      <w:r w:rsidR="00E15E1B">
        <w:t xml:space="preserve"> </w:t>
      </w:r>
      <w:r>
        <w:t>landlords</w:t>
      </w:r>
      <w:r w:rsidR="00E15E1B">
        <w:t xml:space="preserve"> </w:t>
      </w:r>
      <w:r>
        <w:t>and</w:t>
      </w:r>
      <w:r w:rsidR="00E15E1B">
        <w:t xml:space="preserve"> </w:t>
      </w:r>
      <w:r>
        <w:t>agents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5209"/>
        <w:gridCol w:w="1288"/>
        <w:gridCol w:w="1287"/>
        <w:gridCol w:w="1288"/>
      </w:tblGrid>
      <w:tr w:rsidR="00156239" w:rsidRPr="00625180" w:rsidTr="00104254">
        <w:trPr>
          <w:trHeight w:val="60"/>
          <w:tblHeader/>
        </w:trPr>
        <w:tc>
          <w:tcPr>
            <w:tcW w:w="5556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Pr="00625180" w:rsidRDefault="00156239" w:rsidP="009A28FC">
            <w:pPr>
              <w:pStyle w:val="TableColHead"/>
            </w:pPr>
          </w:p>
        </w:tc>
        <w:tc>
          <w:tcPr>
            <w:tcW w:w="13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41A61">
            <w:pPr>
              <w:pStyle w:val="TableColHeadRight"/>
            </w:pPr>
            <w:r>
              <w:t>2015–16</w:t>
            </w:r>
          </w:p>
        </w:tc>
        <w:tc>
          <w:tcPr>
            <w:tcW w:w="13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41A61">
            <w:pPr>
              <w:pStyle w:val="TableColHeadRight"/>
            </w:pPr>
            <w:r>
              <w:t>2016–17</w:t>
            </w:r>
          </w:p>
        </w:tc>
        <w:tc>
          <w:tcPr>
            <w:tcW w:w="1361" w:type="dxa"/>
            <w:tcBorders>
              <w:lef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41A61">
            <w:pPr>
              <w:pStyle w:val="TableColHeadRight"/>
            </w:pPr>
            <w:r>
              <w:t>2017–18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4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Information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advice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Website</w:t>
            </w:r>
            <w:r w:rsidR="00E15E1B">
              <w:t xml:space="preserve"> </w:t>
            </w:r>
            <w:r>
              <w:t>page</w:t>
            </w:r>
            <w:r w:rsidR="00E15E1B">
              <w:t xml:space="preserve"> </w:t>
            </w:r>
            <w:r>
              <w:t>views</w:t>
            </w:r>
            <w:r w:rsidR="00E15E1B">
              <w:t xml:space="preserve"> </w:t>
            </w:r>
            <w:r>
              <w:t>-</w:t>
            </w:r>
            <w:r w:rsidR="00E15E1B">
              <w:t xml:space="preserve"> </w:t>
            </w:r>
            <w:r>
              <w:t>renting</w:t>
            </w:r>
            <w:r w:rsidR="00E15E1B">
              <w:t xml:space="preserve"> </w:t>
            </w:r>
            <w:r>
              <w:t>section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1,552,271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1,878,001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2,174,527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Calls</w:t>
            </w:r>
            <w:r w:rsidR="00E15E1B">
              <w:t xml:space="preserve"> </w:t>
            </w:r>
            <w:r>
              <w:t>answered</w:t>
            </w:r>
            <w:r w:rsidR="00E15E1B">
              <w:t xml:space="preserve"> </w:t>
            </w:r>
            <w:r>
              <w:t>–</w:t>
            </w:r>
            <w:r w:rsidR="00E15E1B">
              <w:t xml:space="preserve"> </w:t>
            </w:r>
            <w:r>
              <w:t>residential</w:t>
            </w:r>
            <w:r w:rsidR="00E15E1B">
              <w:t xml:space="preserve"> </w:t>
            </w:r>
            <w:r>
              <w:t>tenancies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69,365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69,472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67,813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Calls</w:t>
            </w:r>
            <w:r w:rsidR="00E15E1B">
              <w:t xml:space="preserve"> </w:t>
            </w:r>
            <w:r>
              <w:t>answered</w:t>
            </w:r>
            <w:r w:rsidR="00E15E1B">
              <w:t xml:space="preserve"> </w:t>
            </w:r>
            <w:r>
              <w:t>–</w:t>
            </w:r>
            <w:r w:rsidR="00E15E1B">
              <w:t xml:space="preserve"> </w:t>
            </w:r>
            <w:r>
              <w:t>RTBA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90,224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77,487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71,378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RentRight</w:t>
            </w:r>
            <w:r w:rsidR="00E15E1B">
              <w:t xml:space="preserve"> </w:t>
            </w:r>
            <w:r>
              <w:t>app</w:t>
            </w:r>
            <w:r w:rsidR="00E15E1B">
              <w:t xml:space="preserve"> </w:t>
            </w:r>
            <w:r>
              <w:t>downloads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6,567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7,780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6,917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4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Compliance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Rooming</w:t>
            </w:r>
            <w:r w:rsidR="00E15E1B">
              <w:t xml:space="preserve"> </w:t>
            </w:r>
            <w:r>
              <w:t>house</w:t>
            </w:r>
            <w:r w:rsidR="00E15E1B">
              <w:t xml:space="preserve"> </w:t>
            </w:r>
            <w:r>
              <w:t>inspections</w:t>
            </w:r>
            <w:r w:rsidR="00E15E1B">
              <w:t xml:space="preserve"> </w:t>
            </w:r>
            <w:r>
              <w:t>(including</w:t>
            </w:r>
            <w:r w:rsidR="00E15E1B">
              <w:t xml:space="preserve"> </w:t>
            </w:r>
            <w:r>
              <w:t>repeat</w:t>
            </w:r>
            <w:r w:rsidR="00E15E1B">
              <w:t xml:space="preserve"> </w:t>
            </w:r>
            <w:r>
              <w:t>visits)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1,252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621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738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Rooming</w:t>
            </w:r>
            <w:r w:rsidR="00E15E1B">
              <w:t xml:space="preserve"> </w:t>
            </w:r>
            <w:r>
              <w:t>houses</w:t>
            </w:r>
            <w:r w:rsidR="00E15E1B">
              <w:t xml:space="preserve"> </w:t>
            </w:r>
            <w:r>
              <w:t>registered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1,157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1,184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1,256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4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Transactions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Bonds</w:t>
            </w:r>
            <w:r w:rsidR="00E15E1B">
              <w:t xml:space="preserve"> </w:t>
            </w:r>
            <w:r>
              <w:t>lodged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236,971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241,489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241,534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Bond</w:t>
            </w:r>
            <w:r w:rsidR="00E15E1B">
              <w:t xml:space="preserve"> </w:t>
            </w:r>
            <w:r>
              <w:t>repayments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210,963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212,749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219,603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Bonds</w:t>
            </w:r>
            <w:r w:rsidR="00E15E1B">
              <w:t xml:space="preserve"> </w:t>
            </w:r>
            <w:r>
              <w:t>transferred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79,258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89,375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87,848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Bonds</w:t>
            </w:r>
            <w:r w:rsidR="00E15E1B">
              <w:t xml:space="preserve"> </w:t>
            </w:r>
            <w:r>
              <w:t>held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593,558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622,298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644,229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Value</w:t>
            </w:r>
            <w:r w:rsidR="00E15E1B">
              <w:t xml:space="preserve"> </w:t>
            </w:r>
            <w:r>
              <w:t>held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$951</w:t>
            </w:r>
            <w:r w:rsidR="00E15E1B">
              <w:t xml:space="preserve"> </w:t>
            </w:r>
            <w:r>
              <w:t>million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$1.04</w:t>
            </w:r>
            <w:r w:rsidR="00E15E1B">
              <w:t xml:space="preserve"> </w:t>
            </w:r>
            <w:r>
              <w:t>billion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$1.13</w:t>
            </w:r>
            <w:r w:rsidR="00E15E1B">
              <w:t xml:space="preserve"> </w:t>
            </w:r>
            <w:r>
              <w:t>billion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Total</w:t>
            </w:r>
            <w:r w:rsidR="00E15E1B">
              <w:t xml:space="preserve"> </w:t>
            </w:r>
            <w:r>
              <w:t>transactions</w:t>
            </w:r>
            <w:r w:rsidR="00E15E1B">
              <w:t xml:space="preserve"> </w:t>
            </w:r>
            <w:r>
              <w:t>–</w:t>
            </w:r>
            <w:r w:rsidR="00E15E1B">
              <w:t xml:space="preserve"> </w:t>
            </w:r>
            <w:r>
              <w:t>RTBA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447,934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454,238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461,137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4"/>
            <w:shd w:val="clear" w:color="auto" w:fill="B2D5F0"/>
          </w:tcPr>
          <w:p w:rsidR="00156239" w:rsidRDefault="00156239" w:rsidP="00FC025D">
            <w:pPr>
              <w:pStyle w:val="TableTextBold"/>
            </w:pPr>
            <w:r>
              <w:t>Face-to-face</w:t>
            </w:r>
            <w:r w:rsidR="00E15E1B">
              <w:t xml:space="preserve"> </w:t>
            </w:r>
            <w:r>
              <w:t>or</w:t>
            </w:r>
            <w:r w:rsidR="00E15E1B">
              <w:t xml:space="preserve"> </w:t>
            </w:r>
            <w:r>
              <w:t>intensive</w:t>
            </w:r>
            <w:r w:rsidR="00E15E1B">
              <w:t xml:space="preserve"> </w:t>
            </w:r>
            <w:r>
              <w:t>assistance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4"/>
            <w:shd w:val="clear" w:color="auto" w:fill="CCE3F5"/>
          </w:tcPr>
          <w:p w:rsidR="00156239" w:rsidRPr="00E96742" w:rsidRDefault="00156239" w:rsidP="00FC025D">
            <w:pPr>
              <w:pStyle w:val="TableText"/>
              <w:rPr>
                <w:rStyle w:val="Strong"/>
              </w:rPr>
            </w:pPr>
            <w:r w:rsidRPr="00E96742">
              <w:rPr>
                <w:rStyle w:val="Strong"/>
              </w:rPr>
              <w:t>Funded</w:t>
            </w:r>
            <w:r w:rsidR="00E15E1B">
              <w:rPr>
                <w:rStyle w:val="Strong"/>
              </w:rPr>
              <w:t xml:space="preserve"> </w:t>
            </w:r>
            <w:r w:rsidRPr="00E96742">
              <w:rPr>
                <w:rStyle w:val="Strong"/>
              </w:rPr>
              <w:t>community</w:t>
            </w:r>
            <w:r w:rsidR="00E15E1B">
              <w:rPr>
                <w:rStyle w:val="Strong"/>
              </w:rPr>
              <w:t xml:space="preserve"> </w:t>
            </w:r>
            <w:r w:rsidRPr="00E96742">
              <w:rPr>
                <w:rStyle w:val="Strong"/>
              </w:rPr>
              <w:t>services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Tenants</w:t>
            </w:r>
            <w:r w:rsidR="00E15E1B">
              <w:t xml:space="preserve"> </w:t>
            </w:r>
            <w:r>
              <w:t>assisted</w:t>
            </w:r>
            <w:r w:rsidR="00E15E1B">
              <w:t xml:space="preserve"> </w:t>
            </w:r>
            <w:r>
              <w:t>under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>
              <w:t>Tenancy</w:t>
            </w:r>
            <w:r w:rsidR="00E15E1B">
              <w:t xml:space="preserve"> </w:t>
            </w:r>
            <w:r>
              <w:t>Assistance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Advocacy</w:t>
            </w:r>
            <w:r w:rsidR="00E15E1B">
              <w:t xml:space="preserve"> </w:t>
            </w:r>
            <w:r>
              <w:t>Program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5,758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6,186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6,893</w:t>
            </w:r>
          </w:p>
        </w:tc>
      </w:tr>
      <w:tr w:rsidR="00156239" w:rsidRPr="00F41A61" w:rsidTr="00104254">
        <w:trPr>
          <w:trHeight w:val="60"/>
        </w:trPr>
        <w:tc>
          <w:tcPr>
            <w:tcW w:w="9638" w:type="dxa"/>
            <w:gridSpan w:val="4"/>
            <w:shd w:val="clear" w:color="auto" w:fill="CCE3F5"/>
          </w:tcPr>
          <w:p w:rsidR="00156239" w:rsidRPr="00E96742" w:rsidRDefault="00156239" w:rsidP="00FC025D">
            <w:pPr>
              <w:pStyle w:val="TableText"/>
              <w:rPr>
                <w:rStyle w:val="Strong"/>
              </w:rPr>
            </w:pPr>
            <w:r w:rsidRPr="00E96742">
              <w:rPr>
                <w:rStyle w:val="Strong"/>
              </w:rPr>
              <w:t>Assessments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Repair</w:t>
            </w:r>
            <w:r w:rsidR="00E15E1B">
              <w:t xml:space="preserve"> </w:t>
            </w:r>
            <w:r>
              <w:t>reports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916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948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1,050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Goods</w:t>
            </w:r>
            <w:r w:rsidR="00E15E1B">
              <w:t xml:space="preserve"> </w:t>
            </w:r>
            <w:r>
              <w:t>left</w:t>
            </w:r>
            <w:r w:rsidR="00E15E1B">
              <w:t xml:space="preserve"> </w:t>
            </w:r>
            <w:r>
              <w:t>behind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3,861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3,531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3,223</w:t>
            </w:r>
          </w:p>
        </w:tc>
      </w:tr>
      <w:tr w:rsidR="00156239" w:rsidRPr="00F41A61" w:rsidTr="00104254">
        <w:trPr>
          <w:trHeight w:val="60"/>
        </w:trPr>
        <w:tc>
          <w:tcPr>
            <w:tcW w:w="5556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Rental</w:t>
            </w:r>
            <w:r w:rsidR="00E15E1B">
              <w:t xml:space="preserve"> </w:t>
            </w:r>
            <w:r>
              <w:t>reports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1,068</w:t>
            </w:r>
          </w:p>
        </w:tc>
        <w:tc>
          <w:tcPr>
            <w:tcW w:w="1360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1,234</w:t>
            </w:r>
          </w:p>
        </w:tc>
        <w:tc>
          <w:tcPr>
            <w:tcW w:w="136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1,373</w:t>
            </w:r>
          </w:p>
        </w:tc>
      </w:tr>
    </w:tbl>
    <w:p w:rsidR="00156239" w:rsidRDefault="00156239" w:rsidP="00156239">
      <w:pPr>
        <w:pStyle w:val="Heading4"/>
      </w:pPr>
      <w:r>
        <w:t>Residential</w:t>
      </w:r>
      <w:r w:rsidR="00E15E1B">
        <w:t xml:space="preserve"> </w:t>
      </w:r>
      <w:r>
        <w:t>Tenancies</w:t>
      </w:r>
      <w:r w:rsidR="00E15E1B">
        <w:t xml:space="preserve"> </w:t>
      </w:r>
      <w:r>
        <w:t>review</w:t>
      </w:r>
    </w:p>
    <w:p w:rsidR="00156239" w:rsidRDefault="00156239" w:rsidP="00156239">
      <w:pPr>
        <w:pStyle w:val="BodyText"/>
      </w:pPr>
      <w:r>
        <w:t>Since</w:t>
      </w:r>
      <w:r w:rsidR="00E15E1B">
        <w:t xml:space="preserve"> </w:t>
      </w:r>
      <w:r>
        <w:t>mid-2015,</w:t>
      </w:r>
      <w:r w:rsidR="00E15E1B">
        <w:t xml:space="preserve"> </w:t>
      </w:r>
      <w:r>
        <w:t>we</w:t>
      </w:r>
      <w:r w:rsidR="00E15E1B">
        <w:t xml:space="preserve"> </w:t>
      </w:r>
      <w:r>
        <w:t>have</w:t>
      </w:r>
      <w:r w:rsidR="00E15E1B">
        <w:t xml:space="preserve"> </w:t>
      </w:r>
      <w:r>
        <w:t>led</w:t>
      </w:r>
      <w:r w:rsidR="00E15E1B">
        <w:t xml:space="preserve"> </w:t>
      </w:r>
      <w:r>
        <w:t>a</w:t>
      </w:r>
      <w:r w:rsidR="00E15E1B">
        <w:t xml:space="preserve"> </w:t>
      </w:r>
      <w:r>
        <w:t>comprehensive</w:t>
      </w:r>
      <w:r w:rsidR="00E15E1B">
        <w:t xml:space="preserve"> </w:t>
      </w:r>
      <w:r>
        <w:t>and</w:t>
      </w:r>
      <w:r w:rsidR="00E15E1B">
        <w:t xml:space="preserve"> </w:t>
      </w:r>
      <w:r>
        <w:t>evidence-based</w:t>
      </w:r>
      <w:r w:rsidR="00E15E1B">
        <w:t xml:space="preserve"> </w:t>
      </w:r>
      <w:r>
        <w:t>review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Residential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Tenancies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1997</w:t>
      </w:r>
      <w:r>
        <w:t>.</w:t>
      </w:r>
      <w:r w:rsidR="00E15E1B">
        <w:t xml:space="preserve"> </w:t>
      </w:r>
      <w:r>
        <w:t>The</w:t>
      </w:r>
      <w:r w:rsidR="00E15E1B">
        <w:t xml:space="preserve"> </w:t>
      </w:r>
      <w:r>
        <w:t>review</w:t>
      </w:r>
      <w:r w:rsidR="00E15E1B">
        <w:t xml:space="preserve"> </w:t>
      </w:r>
      <w:r>
        <w:t>fulfils</w:t>
      </w:r>
      <w:r w:rsidR="00E15E1B">
        <w:t xml:space="preserve"> </w:t>
      </w:r>
      <w:r>
        <w:t>a</w:t>
      </w:r>
      <w:r w:rsidR="00E15E1B">
        <w:t xml:space="preserve"> </w:t>
      </w:r>
      <w:r>
        <w:t>commitment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Government’s</w:t>
      </w:r>
      <w:r w:rsidR="00E15E1B">
        <w:t xml:space="preserve"> </w:t>
      </w:r>
      <w:r w:rsidRPr="00E96742">
        <w:rPr>
          <w:rStyle w:val="Emphasis"/>
        </w:rPr>
        <w:t>Fairer,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Safer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Housing</w:t>
      </w:r>
      <w:r w:rsidR="00E15E1B">
        <w:t xml:space="preserve"> </w:t>
      </w:r>
      <w:r>
        <w:t>plan,</w:t>
      </w:r>
      <w:r w:rsidR="00E15E1B">
        <w:t xml:space="preserve"> </w:t>
      </w:r>
      <w:r>
        <w:t>and</w:t>
      </w:r>
      <w:r w:rsidR="00E15E1B">
        <w:t xml:space="preserve"> </w:t>
      </w:r>
      <w:r>
        <w:t>responds</w:t>
      </w:r>
      <w:r w:rsidR="00E15E1B">
        <w:t xml:space="preserve"> </w:t>
      </w:r>
      <w:r>
        <w:t>to</w:t>
      </w:r>
      <w:r w:rsidR="00E15E1B">
        <w:t xml:space="preserve"> </w:t>
      </w:r>
      <w:r>
        <w:t>substantial</w:t>
      </w:r>
      <w:r w:rsidR="00E15E1B">
        <w:t xml:space="preserve"> </w:t>
      </w:r>
      <w:r>
        <w:t>changes</w:t>
      </w:r>
      <w:r w:rsidR="00E15E1B">
        <w:t xml:space="preserve"> </w:t>
      </w:r>
      <w:r>
        <w:t>in</w:t>
      </w:r>
      <w:r w:rsidR="00E15E1B">
        <w:t xml:space="preserve"> </w:t>
      </w:r>
      <w:r>
        <w:t>market</w:t>
      </w:r>
      <w:r w:rsidR="00E15E1B">
        <w:t xml:space="preserve"> </w:t>
      </w:r>
      <w:r>
        <w:t>conditions</w:t>
      </w:r>
      <w:r w:rsidR="00E15E1B">
        <w:t xml:space="preserve"> </w:t>
      </w:r>
      <w:r>
        <w:t>since</w:t>
      </w:r>
      <w:r w:rsidR="00E15E1B">
        <w:t xml:space="preserve"> </w:t>
      </w:r>
      <w:r>
        <w:t>this</w:t>
      </w:r>
      <w:r w:rsidR="00E15E1B">
        <w:t xml:space="preserve"> </w:t>
      </w:r>
      <w:r>
        <w:t>Act</w:t>
      </w:r>
      <w:r w:rsidR="00E15E1B">
        <w:t xml:space="preserve"> </w:t>
      </w:r>
      <w:r>
        <w:t>was</w:t>
      </w:r>
      <w:r w:rsidR="00E15E1B">
        <w:t xml:space="preserve"> </w:t>
      </w:r>
      <w:r>
        <w:t>passed</w:t>
      </w:r>
      <w:r w:rsidR="00E15E1B">
        <w:t xml:space="preserve"> </w:t>
      </w:r>
      <w:r>
        <w:t>almost</w:t>
      </w:r>
      <w:r w:rsidR="00E15E1B">
        <w:t xml:space="preserve"> </w:t>
      </w:r>
      <w:r>
        <w:t>20</w:t>
      </w:r>
      <w:r w:rsidR="00E15E1B">
        <w:t xml:space="preserve"> </w:t>
      </w:r>
      <w:r>
        <w:t>years</w:t>
      </w:r>
      <w:r w:rsidR="00E15E1B">
        <w:t xml:space="preserve"> </w:t>
      </w:r>
      <w:r>
        <w:t>ago.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reform</w:t>
      </w:r>
      <w:r w:rsidR="00E15E1B">
        <w:t xml:space="preserve"> </w:t>
      </w:r>
      <w:r>
        <w:t>package</w:t>
      </w:r>
      <w:r w:rsidR="00E15E1B">
        <w:t xml:space="preserve"> </w:t>
      </w:r>
      <w:r>
        <w:t>will</w:t>
      </w:r>
      <w:r w:rsidR="00E15E1B">
        <w:t xml:space="preserve"> </w:t>
      </w:r>
      <w:r>
        <w:t>promote</w:t>
      </w:r>
      <w:r w:rsidR="00E15E1B">
        <w:t xml:space="preserve"> </w:t>
      </w:r>
      <w:r>
        <w:t>a</w:t>
      </w:r>
      <w:r w:rsidR="00E15E1B">
        <w:t xml:space="preserve"> </w:t>
      </w:r>
      <w:r>
        <w:t>modern</w:t>
      </w:r>
      <w:r w:rsidR="00E15E1B">
        <w:t xml:space="preserve"> </w:t>
      </w:r>
      <w:r>
        <w:t>and</w:t>
      </w:r>
      <w:r w:rsidR="00E15E1B">
        <w:t xml:space="preserve"> </w:t>
      </w:r>
      <w:r>
        <w:t>dynamic</w:t>
      </w:r>
      <w:r w:rsidR="00E15E1B">
        <w:t xml:space="preserve"> </w:t>
      </w:r>
      <w:r>
        <w:t>rental</w:t>
      </w:r>
      <w:r w:rsidR="00E15E1B">
        <w:t xml:space="preserve"> </w:t>
      </w:r>
      <w:r>
        <w:t>market</w:t>
      </w:r>
      <w:r w:rsidR="00E15E1B">
        <w:t xml:space="preserve"> </w:t>
      </w:r>
      <w:r>
        <w:t>that</w:t>
      </w:r>
      <w:r w:rsidR="00E15E1B">
        <w:t xml:space="preserve"> </w:t>
      </w:r>
      <w:r>
        <w:t>meets</w:t>
      </w:r>
      <w:r w:rsidR="00E15E1B">
        <w:t xml:space="preserve"> </w:t>
      </w:r>
      <w:r>
        <w:t>the</w:t>
      </w:r>
      <w:r w:rsidR="00E15E1B">
        <w:t xml:space="preserve"> </w:t>
      </w:r>
      <w:r>
        <w:t>needs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community</w:t>
      </w:r>
      <w:r w:rsidR="00E15E1B">
        <w:t xml:space="preserve"> </w:t>
      </w:r>
      <w:r>
        <w:t>now</w:t>
      </w:r>
      <w:r w:rsidR="00E15E1B">
        <w:t xml:space="preserve"> </w:t>
      </w:r>
      <w:r>
        <w:t>and</w:t>
      </w:r>
      <w:r w:rsidR="00E15E1B">
        <w:t xml:space="preserve"> </w:t>
      </w:r>
      <w:r>
        <w:t>into</w:t>
      </w:r>
      <w:r w:rsidR="00E15E1B">
        <w:t xml:space="preserve"> </w:t>
      </w:r>
      <w:r>
        <w:t>the</w:t>
      </w:r>
      <w:r w:rsidR="00E15E1B">
        <w:t xml:space="preserve"> </w:t>
      </w:r>
      <w:r>
        <w:t>future.</w:t>
      </w:r>
      <w:r w:rsidR="00E15E1B">
        <w:t xml:space="preserve"> </w:t>
      </w:r>
      <w:r>
        <w:t>The</w:t>
      </w:r>
      <w:r w:rsidR="00E15E1B">
        <w:t xml:space="preserve"> </w:t>
      </w:r>
      <w:r>
        <w:t>proposed</w:t>
      </w:r>
      <w:r w:rsidR="00E15E1B">
        <w:t xml:space="preserve"> </w:t>
      </w:r>
      <w:r>
        <w:t>new</w:t>
      </w:r>
      <w:r w:rsidR="00E15E1B">
        <w:t xml:space="preserve"> </w:t>
      </w:r>
      <w:r>
        <w:t>laws</w:t>
      </w:r>
      <w:r w:rsidR="00E15E1B">
        <w:t xml:space="preserve"> </w:t>
      </w:r>
      <w:r>
        <w:t>will</w:t>
      </w:r>
      <w:r w:rsidR="00E15E1B">
        <w:t xml:space="preserve"> </w:t>
      </w:r>
      <w:r>
        <w:t>also</w:t>
      </w:r>
      <w:r w:rsidR="00E15E1B">
        <w:t xml:space="preserve"> </w:t>
      </w:r>
      <w:r>
        <w:t>address</w:t>
      </w:r>
      <w:r w:rsidR="00E15E1B">
        <w:t xml:space="preserve"> </w:t>
      </w:r>
      <w:r>
        <w:t>recommendations</w:t>
      </w:r>
      <w:r w:rsidR="00E15E1B">
        <w:t xml:space="preserve"> </w:t>
      </w:r>
      <w:r>
        <w:t>from</w:t>
      </w:r>
      <w:r w:rsidR="00E15E1B">
        <w:t xml:space="preserve"> </w:t>
      </w:r>
      <w:r>
        <w:t>the</w:t>
      </w:r>
      <w:r w:rsidR="00E15E1B">
        <w:t xml:space="preserve"> </w:t>
      </w:r>
      <w:r>
        <w:t>Royal</w:t>
      </w:r>
      <w:r w:rsidR="00E15E1B">
        <w:t xml:space="preserve"> </w:t>
      </w:r>
      <w:r>
        <w:t>Commission</w:t>
      </w:r>
      <w:r w:rsidR="00E15E1B">
        <w:t xml:space="preserve"> </w:t>
      </w:r>
      <w:r>
        <w:t>into</w:t>
      </w:r>
      <w:r w:rsidR="00E15E1B">
        <w:t xml:space="preserve"> </w:t>
      </w:r>
      <w:r>
        <w:t>Family</w:t>
      </w:r>
      <w:r w:rsidR="00E15E1B">
        <w:t xml:space="preserve"> </w:t>
      </w:r>
      <w:r>
        <w:t>Violence</w:t>
      </w:r>
      <w:r w:rsidR="00E15E1B">
        <w:t xml:space="preserve"> </w:t>
      </w:r>
      <w:r>
        <w:t>to</w:t>
      </w:r>
      <w:r w:rsidR="00E15E1B">
        <w:t xml:space="preserve"> </w:t>
      </w:r>
      <w:r>
        <w:t>better</w:t>
      </w:r>
      <w:r w:rsidR="00E15E1B">
        <w:t xml:space="preserve"> </w:t>
      </w:r>
      <w:r>
        <w:t>protect</w:t>
      </w:r>
      <w:r w:rsidR="00E15E1B">
        <w:t xml:space="preserve"> </w:t>
      </w:r>
      <w:r>
        <w:t>family</w:t>
      </w:r>
      <w:r w:rsidR="00E15E1B">
        <w:t xml:space="preserve"> </w:t>
      </w:r>
      <w:r>
        <w:t>violence</w:t>
      </w:r>
      <w:r w:rsidR="00E15E1B">
        <w:t xml:space="preserve"> </w:t>
      </w:r>
      <w:r>
        <w:t>survivors</w:t>
      </w:r>
      <w:r w:rsidR="00E15E1B">
        <w:t xml:space="preserve"> </w:t>
      </w:r>
      <w:r>
        <w:t>in</w:t>
      </w:r>
      <w:r w:rsidR="00E15E1B">
        <w:t xml:space="preserve"> </w:t>
      </w:r>
      <w:r>
        <w:t>rental</w:t>
      </w:r>
      <w:r w:rsidR="00E15E1B">
        <w:t xml:space="preserve"> </w:t>
      </w:r>
      <w:r>
        <w:t>accommodation.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</w:t>
      </w:r>
      <w:r w:rsidR="00E15E1B">
        <w:t xml:space="preserve"> </w:t>
      </w:r>
      <w:r>
        <w:t>has</w:t>
      </w:r>
      <w:r w:rsidR="00E15E1B">
        <w:t xml:space="preserve"> </w:t>
      </w:r>
      <w:r>
        <w:t>already</w:t>
      </w:r>
      <w:r w:rsidR="00E15E1B">
        <w:t xml:space="preserve"> </w:t>
      </w:r>
      <w:r>
        <w:t>approved</w:t>
      </w:r>
      <w:r w:rsidR="00E15E1B">
        <w:t xml:space="preserve"> </w:t>
      </w:r>
      <w:r>
        <w:t>a</w:t>
      </w:r>
      <w:r w:rsidR="00E15E1B">
        <w:t xml:space="preserve"> </w:t>
      </w:r>
      <w:r>
        <w:t>selection</w:t>
      </w:r>
      <w:r w:rsidR="00E15E1B">
        <w:t xml:space="preserve"> </w:t>
      </w:r>
      <w:r>
        <w:t>of</w:t>
      </w:r>
      <w:r w:rsidR="00E15E1B">
        <w:t xml:space="preserve"> </w:t>
      </w:r>
      <w:r>
        <w:t>reforms</w:t>
      </w:r>
      <w:r w:rsidR="00E15E1B">
        <w:t xml:space="preserve"> </w:t>
      </w:r>
      <w:r>
        <w:t>specifically</w:t>
      </w:r>
      <w:r w:rsidR="00E15E1B">
        <w:t xml:space="preserve"> </w:t>
      </w:r>
      <w:r>
        <w:t>focused</w:t>
      </w:r>
      <w:r w:rsidR="00E15E1B">
        <w:t xml:space="preserve"> </w:t>
      </w:r>
      <w:r>
        <w:t>on</w:t>
      </w:r>
      <w:r w:rsidR="00E15E1B">
        <w:t xml:space="preserve"> </w:t>
      </w:r>
      <w:r>
        <w:t>increasing</w:t>
      </w:r>
      <w:r w:rsidR="00E15E1B">
        <w:t xml:space="preserve"> </w:t>
      </w:r>
      <w:r>
        <w:t>the</w:t>
      </w:r>
      <w:r w:rsidR="00E15E1B">
        <w:t xml:space="preserve"> </w:t>
      </w:r>
      <w:r>
        <w:t>security</w:t>
      </w:r>
      <w:r w:rsidR="00E15E1B">
        <w:t xml:space="preserve"> </w:t>
      </w:r>
      <w:r>
        <w:t>and</w:t>
      </w:r>
      <w:r w:rsidR="00E15E1B">
        <w:t xml:space="preserve"> </w:t>
      </w:r>
      <w:r>
        <w:t>rights</w:t>
      </w:r>
      <w:r w:rsidR="00E15E1B">
        <w:t xml:space="preserve"> </w:t>
      </w:r>
      <w:r>
        <w:t>of</w:t>
      </w:r>
      <w:r w:rsidR="00E15E1B">
        <w:t xml:space="preserve"> </w:t>
      </w:r>
      <w:r>
        <w:t>Victorians</w:t>
      </w:r>
      <w:r w:rsidR="00E15E1B">
        <w:t xml:space="preserve"> </w:t>
      </w:r>
      <w:r>
        <w:t>who</w:t>
      </w:r>
      <w:r w:rsidR="00E15E1B">
        <w:t xml:space="preserve"> </w:t>
      </w:r>
      <w:r>
        <w:t>rent.</w:t>
      </w:r>
      <w:r w:rsidR="00E15E1B">
        <w:t xml:space="preserve"> </w:t>
      </w:r>
      <w:r>
        <w:t>The</w:t>
      </w:r>
      <w:r w:rsidR="00E15E1B">
        <w:t xml:space="preserve"> </w:t>
      </w:r>
      <w:r>
        <w:t>full</w:t>
      </w:r>
      <w:r w:rsidR="00E15E1B">
        <w:t xml:space="preserve"> </w:t>
      </w:r>
      <w:r>
        <w:t>reform</w:t>
      </w:r>
      <w:r w:rsidR="00E15E1B">
        <w:t xml:space="preserve"> </w:t>
      </w:r>
      <w:r>
        <w:t>package</w:t>
      </w:r>
      <w:r w:rsidR="00E15E1B">
        <w:t xml:space="preserve"> </w:t>
      </w:r>
      <w:r>
        <w:t>was</w:t>
      </w:r>
      <w:r w:rsidR="00E15E1B">
        <w:t xml:space="preserve"> </w:t>
      </w:r>
      <w:r>
        <w:t>introduced</w:t>
      </w:r>
      <w:r w:rsidR="00E15E1B">
        <w:t xml:space="preserve"> </w:t>
      </w:r>
      <w:r>
        <w:t>into</w:t>
      </w:r>
      <w:r w:rsidR="00E15E1B">
        <w:t xml:space="preserve"> </w:t>
      </w:r>
      <w:r>
        <w:t>Parliament</w:t>
      </w:r>
      <w:r w:rsidR="00E15E1B">
        <w:t xml:space="preserve"> </w:t>
      </w:r>
      <w:r>
        <w:t>in</w:t>
      </w:r>
      <w:r w:rsidR="00E15E1B">
        <w:t xml:space="preserve"> </w:t>
      </w:r>
      <w:r>
        <w:t>August</w:t>
      </w:r>
      <w:r w:rsidR="00E15E1B">
        <w:t xml:space="preserve"> </w:t>
      </w:r>
      <w:r>
        <w:t>2018.</w:t>
      </w:r>
    </w:p>
    <w:p w:rsidR="00156239" w:rsidRDefault="00156239" w:rsidP="00156239">
      <w:pPr>
        <w:pStyle w:val="Heading4"/>
      </w:pPr>
      <w:r>
        <w:lastRenderedPageBreak/>
        <w:t>Long-term</w:t>
      </w:r>
      <w:r w:rsidR="00E15E1B">
        <w:t xml:space="preserve"> </w:t>
      </w:r>
      <w:r>
        <w:t>lease</w:t>
      </w:r>
      <w:r w:rsidR="00E15E1B">
        <w:t xml:space="preserve"> </w:t>
      </w:r>
      <w:r>
        <w:t>agreements</w:t>
      </w:r>
    </w:p>
    <w:p w:rsidR="00156239" w:rsidRDefault="00156239" w:rsidP="00156239">
      <w:pPr>
        <w:pStyle w:val="BodyText"/>
      </w:pPr>
      <w:r>
        <w:t>Many</w:t>
      </w:r>
      <w:r w:rsidR="00E15E1B">
        <w:t xml:space="preserve"> </w:t>
      </w:r>
      <w:r>
        <w:t>Victorians</w:t>
      </w:r>
      <w:r w:rsidR="00E15E1B">
        <w:t xml:space="preserve"> </w:t>
      </w:r>
      <w:r>
        <w:t>want</w:t>
      </w:r>
      <w:r w:rsidR="00E15E1B">
        <w:t xml:space="preserve"> </w:t>
      </w:r>
      <w:r>
        <w:t>the</w:t>
      </w:r>
      <w:r w:rsidR="00E15E1B">
        <w:t xml:space="preserve"> </w:t>
      </w:r>
      <w:r>
        <w:t>certainty</w:t>
      </w:r>
      <w:r w:rsidR="00E15E1B">
        <w:t xml:space="preserve"> </w:t>
      </w:r>
      <w:r>
        <w:t>and</w:t>
      </w:r>
      <w:r w:rsidR="00E15E1B">
        <w:t xml:space="preserve"> </w:t>
      </w:r>
      <w:r>
        <w:t>stability</w:t>
      </w:r>
      <w:r w:rsidR="00E15E1B">
        <w:t xml:space="preserve"> </w:t>
      </w:r>
      <w:r>
        <w:t>provided</w:t>
      </w:r>
      <w:r w:rsidR="00E15E1B">
        <w:t xml:space="preserve"> </w:t>
      </w:r>
      <w:r>
        <w:t>by</w:t>
      </w:r>
      <w:r w:rsidR="00E15E1B">
        <w:t xml:space="preserve"> </w:t>
      </w:r>
      <w:r>
        <w:t>a</w:t>
      </w:r>
      <w:r w:rsidR="00E15E1B">
        <w:t xml:space="preserve"> </w:t>
      </w:r>
      <w:r>
        <w:t>longer-term</w:t>
      </w:r>
      <w:r w:rsidR="00E15E1B">
        <w:t xml:space="preserve"> </w:t>
      </w:r>
      <w:r>
        <w:t>tenancy</w:t>
      </w:r>
      <w:r w:rsidR="00E15E1B">
        <w:t xml:space="preserve"> </w:t>
      </w:r>
      <w:r>
        <w:t>agreement.</w:t>
      </w:r>
      <w:r w:rsidR="00E15E1B">
        <w:t xml:space="preserve"> </w:t>
      </w:r>
      <w:r>
        <w:t>Families</w:t>
      </w:r>
      <w:r w:rsidR="00E15E1B">
        <w:t xml:space="preserve"> </w:t>
      </w:r>
      <w:r>
        <w:t>are</w:t>
      </w:r>
      <w:r w:rsidR="00E15E1B">
        <w:t xml:space="preserve"> </w:t>
      </w:r>
      <w:r>
        <w:t>the</w:t>
      </w:r>
      <w:r w:rsidR="00E15E1B">
        <w:t xml:space="preserve"> </w:t>
      </w:r>
      <w:r>
        <w:t>most</w:t>
      </w:r>
      <w:r w:rsidR="00E15E1B">
        <w:t xml:space="preserve"> </w:t>
      </w:r>
      <w:r>
        <w:t>common</w:t>
      </w:r>
      <w:r w:rsidR="00E15E1B">
        <w:t xml:space="preserve"> </w:t>
      </w:r>
      <w:r>
        <w:t>renters</w:t>
      </w:r>
      <w:r w:rsidR="00E15E1B">
        <w:t xml:space="preserve"> </w:t>
      </w:r>
      <w:r>
        <w:t>in</w:t>
      </w:r>
      <w:r w:rsidR="00E15E1B">
        <w:t xml:space="preserve"> </w:t>
      </w:r>
      <w:r>
        <w:t>Victoria</w:t>
      </w:r>
      <w:r w:rsidR="00E15E1B">
        <w:t xml:space="preserve"> </w:t>
      </w:r>
      <w:r>
        <w:t>and</w:t>
      </w:r>
      <w:r w:rsidR="00E15E1B">
        <w:t xml:space="preserve"> </w:t>
      </w:r>
      <w:r>
        <w:t>there</w:t>
      </w:r>
      <w:r w:rsidR="00E15E1B">
        <w:t xml:space="preserve"> </w:t>
      </w:r>
      <w:r>
        <w:t>are</w:t>
      </w:r>
      <w:r w:rsidR="00E15E1B">
        <w:t xml:space="preserve"> </w:t>
      </w:r>
      <w:r>
        <w:t>many</w:t>
      </w:r>
      <w:r w:rsidR="00E15E1B">
        <w:t xml:space="preserve"> </w:t>
      </w:r>
      <w:r>
        <w:t>who</w:t>
      </w:r>
      <w:r w:rsidR="00E15E1B">
        <w:t xml:space="preserve"> </w:t>
      </w:r>
      <w:r>
        <w:t>would</w:t>
      </w:r>
      <w:r w:rsidR="00E15E1B">
        <w:t xml:space="preserve"> </w:t>
      </w:r>
      <w:r>
        <w:t>benefit</w:t>
      </w:r>
      <w:r w:rsidR="00E15E1B">
        <w:t xml:space="preserve"> </w:t>
      </w:r>
      <w:r>
        <w:t>from</w:t>
      </w:r>
      <w:r w:rsidR="00E15E1B">
        <w:t xml:space="preserve"> </w:t>
      </w:r>
      <w:r>
        <w:t>a</w:t>
      </w:r>
      <w:r w:rsidR="00E15E1B">
        <w:t xml:space="preserve"> </w:t>
      </w:r>
      <w:r>
        <w:t>long-term</w:t>
      </w:r>
      <w:r w:rsidR="00E15E1B">
        <w:t xml:space="preserve"> </w:t>
      </w:r>
      <w:r>
        <w:t>lease</w:t>
      </w:r>
      <w:r w:rsidR="00E15E1B">
        <w:t xml:space="preserve"> </w:t>
      </w:r>
      <w:r>
        <w:t>arrangement</w:t>
      </w:r>
      <w:r w:rsidR="00E15E1B">
        <w:t xml:space="preserve"> </w:t>
      </w:r>
      <w:r>
        <w:t>to</w:t>
      </w:r>
      <w:r w:rsidR="00E15E1B">
        <w:t xml:space="preserve"> </w:t>
      </w:r>
      <w:r>
        <w:t>be</w:t>
      </w:r>
      <w:r w:rsidR="00E15E1B">
        <w:t xml:space="preserve"> </w:t>
      </w:r>
      <w:r>
        <w:t>able</w:t>
      </w:r>
      <w:r w:rsidR="00E15E1B">
        <w:t xml:space="preserve"> </w:t>
      </w:r>
      <w:r>
        <w:t>to</w:t>
      </w:r>
      <w:r w:rsidR="00E15E1B">
        <w:t xml:space="preserve"> </w:t>
      </w:r>
      <w:r>
        <w:t>lay</w:t>
      </w:r>
      <w:r w:rsidR="00E15E1B">
        <w:t xml:space="preserve"> </w:t>
      </w:r>
      <w:r>
        <w:t>down</w:t>
      </w:r>
      <w:r w:rsidR="00E15E1B">
        <w:t xml:space="preserve"> </w:t>
      </w:r>
      <w:r>
        <w:t>roots,</w:t>
      </w:r>
      <w:r w:rsidR="00E15E1B">
        <w:t xml:space="preserve"> </w:t>
      </w:r>
      <w:r>
        <w:t>including</w:t>
      </w:r>
      <w:r w:rsidR="00E15E1B">
        <w:t xml:space="preserve"> </w:t>
      </w:r>
      <w:r>
        <w:t>to</w:t>
      </w:r>
      <w:r w:rsidR="00E15E1B">
        <w:t xml:space="preserve"> </w:t>
      </w:r>
      <w:r>
        <w:t>find</w:t>
      </w:r>
      <w:r w:rsidR="00E15E1B">
        <w:t xml:space="preserve"> </w:t>
      </w:r>
      <w:r>
        <w:t>a</w:t>
      </w:r>
      <w:r w:rsidR="00E15E1B">
        <w:t xml:space="preserve"> </w:t>
      </w:r>
      <w:r>
        <w:t>local</w:t>
      </w:r>
      <w:r w:rsidR="00E15E1B">
        <w:t xml:space="preserve"> </w:t>
      </w:r>
      <w:r>
        <w:t>job,</w:t>
      </w:r>
      <w:r w:rsidR="00E15E1B">
        <w:t xml:space="preserve"> </w:t>
      </w:r>
      <w:r>
        <w:t>enrol</w:t>
      </w:r>
      <w:r w:rsidR="00E15E1B">
        <w:t xml:space="preserve"> </w:t>
      </w:r>
      <w:r>
        <w:t>their</w:t>
      </w:r>
      <w:r w:rsidR="00E15E1B">
        <w:t xml:space="preserve"> </w:t>
      </w:r>
      <w:r>
        <w:t>kids</w:t>
      </w:r>
      <w:r w:rsidR="00E15E1B">
        <w:t xml:space="preserve"> </w:t>
      </w:r>
      <w:r>
        <w:t>in</w:t>
      </w:r>
      <w:r w:rsidR="00E15E1B">
        <w:t xml:space="preserve"> </w:t>
      </w:r>
      <w:r>
        <w:t>school</w:t>
      </w:r>
      <w:r w:rsidR="00E15E1B">
        <w:t xml:space="preserve"> </w:t>
      </w:r>
      <w:r>
        <w:t>and</w:t>
      </w:r>
      <w:r w:rsidR="00E15E1B">
        <w:t xml:space="preserve"> </w:t>
      </w:r>
      <w:r>
        <w:t>establish</w:t>
      </w:r>
      <w:r w:rsidR="00E15E1B">
        <w:t xml:space="preserve"> </w:t>
      </w:r>
      <w:r>
        <w:t>themselves</w:t>
      </w:r>
      <w:r w:rsidR="00E15E1B">
        <w:t xml:space="preserve"> </w:t>
      </w:r>
      <w:r>
        <w:t>in</w:t>
      </w:r>
      <w:r w:rsidR="00E15E1B">
        <w:t xml:space="preserve"> </w:t>
      </w:r>
      <w:r>
        <w:t>a</w:t>
      </w:r>
      <w:r w:rsidR="00E15E1B">
        <w:t xml:space="preserve"> </w:t>
      </w:r>
      <w:r>
        <w:t>community.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 w:rsidRPr="00E96742">
        <w:rPr>
          <w:rStyle w:val="Emphasis"/>
        </w:rPr>
        <w:t>Residential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Tenancies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Amendment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(Long-term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Tenancy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Agreements)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2018</w:t>
      </w:r>
      <w:r w:rsidR="00E15E1B">
        <w:t xml:space="preserve"> </w:t>
      </w:r>
      <w:r>
        <w:t>received</w:t>
      </w:r>
      <w:r w:rsidR="00E15E1B">
        <w:t xml:space="preserve"> </w:t>
      </w:r>
      <w:r>
        <w:t>the</w:t>
      </w:r>
      <w:r w:rsidR="00E15E1B">
        <w:t xml:space="preserve"> </w:t>
      </w:r>
      <w:r>
        <w:t>Royal</w:t>
      </w:r>
      <w:r w:rsidR="00E15E1B">
        <w:t xml:space="preserve"> </w:t>
      </w:r>
      <w:r>
        <w:t>Assent</w:t>
      </w:r>
      <w:r w:rsidR="00E15E1B">
        <w:t xml:space="preserve"> </w:t>
      </w:r>
      <w:r>
        <w:t>on</w:t>
      </w:r>
      <w:r w:rsidR="00E15E1B">
        <w:t xml:space="preserve"> </w:t>
      </w:r>
      <w:r>
        <w:t>28</w:t>
      </w:r>
      <w:r w:rsidR="00E15E1B">
        <w:t xml:space="preserve"> </w:t>
      </w:r>
      <w:r>
        <w:t>August</w:t>
      </w:r>
      <w:r w:rsidR="00E15E1B">
        <w:t xml:space="preserve"> </w:t>
      </w:r>
      <w:r>
        <w:t>2018.</w:t>
      </w:r>
      <w:r w:rsidR="00E15E1B">
        <w:t xml:space="preserve"> </w:t>
      </w:r>
      <w:r>
        <w:t>A</w:t>
      </w:r>
      <w:r w:rsidR="00E15E1B">
        <w:t xml:space="preserve"> </w:t>
      </w:r>
      <w:r>
        <w:t>draft</w:t>
      </w:r>
      <w:r w:rsidR="00E15E1B">
        <w:t xml:space="preserve"> </w:t>
      </w:r>
      <w:r>
        <w:t>standard</w:t>
      </w:r>
      <w:r w:rsidR="00E15E1B">
        <w:t xml:space="preserve"> </w:t>
      </w:r>
      <w:r>
        <w:t>long-term</w:t>
      </w:r>
      <w:r w:rsidR="00E15E1B">
        <w:t xml:space="preserve"> </w:t>
      </w:r>
      <w:r>
        <w:t>tenancy</w:t>
      </w:r>
      <w:r w:rsidR="00E15E1B">
        <w:t xml:space="preserve"> </w:t>
      </w:r>
      <w:r>
        <w:t>agreement,</w:t>
      </w:r>
      <w:r w:rsidR="00E15E1B">
        <w:t xml:space="preserve"> </w:t>
      </w:r>
      <w:r>
        <w:t>to</w:t>
      </w:r>
      <w:r w:rsidR="00E15E1B">
        <w:t xml:space="preserve"> </w:t>
      </w:r>
      <w:r>
        <w:t>enable</w:t>
      </w:r>
      <w:r w:rsidR="00E15E1B">
        <w:t xml:space="preserve"> </w:t>
      </w:r>
      <w:r>
        <w:t>leases</w:t>
      </w:r>
      <w:r w:rsidR="00E15E1B">
        <w:t xml:space="preserve"> </w:t>
      </w:r>
      <w:r>
        <w:t>of</w:t>
      </w:r>
      <w:r w:rsidR="00E15E1B">
        <w:t xml:space="preserve"> </w:t>
      </w:r>
      <w:r>
        <w:t>five</w:t>
      </w:r>
      <w:r w:rsidR="00E15E1B">
        <w:t xml:space="preserve"> </w:t>
      </w:r>
      <w:r>
        <w:t>years</w:t>
      </w:r>
      <w:r w:rsidR="00E15E1B">
        <w:t xml:space="preserve"> </w:t>
      </w:r>
      <w:r>
        <w:t>or</w:t>
      </w:r>
      <w:r w:rsidR="00E15E1B">
        <w:t xml:space="preserve"> </w:t>
      </w:r>
      <w:r>
        <w:t>more,</w:t>
      </w:r>
      <w:r w:rsidR="00E15E1B">
        <w:t xml:space="preserve"> </w:t>
      </w:r>
      <w:r>
        <w:t>is</w:t>
      </w:r>
      <w:r w:rsidR="00E15E1B">
        <w:t xml:space="preserve"> </w:t>
      </w:r>
      <w:r>
        <w:t>being</w:t>
      </w:r>
      <w:r w:rsidR="00E15E1B">
        <w:t xml:space="preserve"> </w:t>
      </w:r>
      <w:r>
        <w:t>developed</w:t>
      </w:r>
      <w:r w:rsidR="00E15E1B">
        <w:t xml:space="preserve"> </w:t>
      </w:r>
      <w:r>
        <w:t>after</w:t>
      </w:r>
      <w:r w:rsidR="00E15E1B">
        <w:t xml:space="preserve"> </w:t>
      </w:r>
      <w:r>
        <w:t>consultation</w:t>
      </w:r>
      <w:r w:rsidR="00E15E1B">
        <w:t xml:space="preserve"> </w:t>
      </w:r>
      <w:r>
        <w:t>with</w:t>
      </w:r>
      <w:r w:rsidR="00E15E1B">
        <w:t xml:space="preserve"> </w:t>
      </w:r>
      <w:r>
        <w:t>key</w:t>
      </w:r>
      <w:r w:rsidR="00E15E1B">
        <w:t xml:space="preserve"> </w:t>
      </w:r>
      <w:r>
        <w:t>stakeholders.</w:t>
      </w:r>
      <w:r w:rsidR="00E15E1B">
        <w:t xml:space="preserve"> </w:t>
      </w:r>
      <w:r>
        <w:t>The</w:t>
      </w:r>
      <w:r w:rsidR="00E15E1B">
        <w:t xml:space="preserve"> </w:t>
      </w:r>
      <w:r>
        <w:t>agreement</w:t>
      </w:r>
      <w:r w:rsidR="00E15E1B">
        <w:t xml:space="preserve"> </w:t>
      </w:r>
      <w:r>
        <w:t>is</w:t>
      </w:r>
      <w:r w:rsidR="00E15E1B">
        <w:t xml:space="preserve"> </w:t>
      </w:r>
      <w:r>
        <w:t>expected</w:t>
      </w:r>
      <w:r w:rsidR="00E15E1B">
        <w:t xml:space="preserve"> </w:t>
      </w:r>
      <w:r>
        <w:t>to</w:t>
      </w:r>
      <w:r w:rsidR="00E15E1B">
        <w:t xml:space="preserve"> </w:t>
      </w:r>
      <w:r>
        <w:t>be</w:t>
      </w:r>
      <w:r w:rsidR="00E15E1B">
        <w:t xml:space="preserve"> </w:t>
      </w:r>
      <w:r>
        <w:t>available</w:t>
      </w:r>
      <w:r w:rsidR="00E15E1B">
        <w:t xml:space="preserve"> </w:t>
      </w:r>
      <w:r>
        <w:t>to</w:t>
      </w:r>
      <w:r w:rsidR="00E15E1B">
        <w:t xml:space="preserve"> </w:t>
      </w:r>
      <w:r>
        <w:t>landlords</w:t>
      </w:r>
      <w:r w:rsidR="00E15E1B">
        <w:t xml:space="preserve"> </w:t>
      </w:r>
      <w:r>
        <w:t>and</w:t>
      </w:r>
      <w:r w:rsidR="00E15E1B">
        <w:t xml:space="preserve"> </w:t>
      </w:r>
      <w:r>
        <w:t>tenants</w:t>
      </w:r>
      <w:r w:rsidR="00E15E1B">
        <w:t xml:space="preserve"> </w:t>
      </w:r>
      <w:r>
        <w:t>in</w:t>
      </w:r>
      <w:r w:rsidR="00E15E1B">
        <w:t xml:space="preserve"> </w:t>
      </w:r>
      <w:r>
        <w:t>early</w:t>
      </w:r>
      <w:r w:rsidR="00E15E1B">
        <w:t xml:space="preserve"> </w:t>
      </w:r>
      <w:r>
        <w:t>2019.</w:t>
      </w:r>
    </w:p>
    <w:p w:rsidR="00156239" w:rsidRDefault="00156239" w:rsidP="00156239">
      <w:pPr>
        <w:pStyle w:val="BodyText"/>
      </w:pPr>
      <w:r>
        <w:t>Long-term</w:t>
      </w:r>
      <w:r w:rsidR="00E15E1B">
        <w:t xml:space="preserve"> </w:t>
      </w:r>
      <w:r>
        <w:t>leasing</w:t>
      </w:r>
      <w:r w:rsidR="00E15E1B">
        <w:t xml:space="preserve"> </w:t>
      </w:r>
      <w:r>
        <w:t>agreements</w:t>
      </w:r>
      <w:r w:rsidR="00E15E1B">
        <w:t xml:space="preserve"> </w:t>
      </w:r>
      <w:r>
        <w:t>are</w:t>
      </w:r>
      <w:r w:rsidR="00E15E1B">
        <w:t xml:space="preserve"> </w:t>
      </w:r>
      <w:r>
        <w:t>part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Government’s</w:t>
      </w:r>
      <w:r w:rsidR="00E15E1B">
        <w:t xml:space="preserve"> </w:t>
      </w:r>
      <w:r>
        <w:t>Homes</w:t>
      </w:r>
      <w:r w:rsidR="00E15E1B">
        <w:t xml:space="preserve"> </w:t>
      </w:r>
      <w:r>
        <w:t>for</w:t>
      </w:r>
      <w:r w:rsidR="00E15E1B">
        <w:t xml:space="preserve"> </w:t>
      </w:r>
      <w:r>
        <w:t>Victorians</w:t>
      </w:r>
      <w:r w:rsidR="00E15E1B">
        <w:t xml:space="preserve"> </w:t>
      </w:r>
      <w:r>
        <w:t>strategy</w:t>
      </w:r>
      <w:r w:rsidR="00E15E1B">
        <w:t xml:space="preserve"> </w:t>
      </w:r>
      <w:r>
        <w:t>and</w:t>
      </w:r>
      <w:r w:rsidR="00E15E1B">
        <w:t xml:space="preserve"> </w:t>
      </w:r>
      <w:r>
        <w:t>its</w:t>
      </w:r>
      <w:r w:rsidR="00E15E1B">
        <w:t xml:space="preserve"> </w:t>
      </w:r>
      <w:r w:rsidRPr="00E96742">
        <w:rPr>
          <w:rStyle w:val="Emphasis"/>
        </w:rPr>
        <w:t>Fairer,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Safer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Housing</w:t>
      </w:r>
      <w:r w:rsidR="00E15E1B">
        <w:t xml:space="preserve"> </w:t>
      </w:r>
      <w:r>
        <w:t>plan.</w:t>
      </w:r>
    </w:p>
    <w:p w:rsidR="00156239" w:rsidRDefault="00156239" w:rsidP="00156239">
      <w:pPr>
        <w:pStyle w:val="BodyText"/>
      </w:pPr>
      <w:r>
        <w:t>To</w:t>
      </w:r>
      <w:r w:rsidR="00E15E1B">
        <w:t xml:space="preserve"> </w:t>
      </w:r>
      <w:r>
        <w:t>support</w:t>
      </w:r>
      <w:r w:rsidR="00E15E1B">
        <w:t xml:space="preserve"> </w:t>
      </w:r>
      <w:r>
        <w:t>this</w:t>
      </w:r>
      <w:r w:rsidR="00E15E1B">
        <w:t xml:space="preserve"> </w:t>
      </w:r>
      <w:r>
        <w:t>initiative,</w:t>
      </w:r>
      <w:r w:rsidR="00E15E1B">
        <w:t xml:space="preserve"> </w:t>
      </w:r>
      <w:r>
        <w:t>an</w:t>
      </w:r>
      <w:r w:rsidR="00E15E1B">
        <w:t xml:space="preserve"> </w:t>
      </w:r>
      <w:r>
        <w:t>online</w:t>
      </w:r>
      <w:r w:rsidR="00E15E1B">
        <w:t xml:space="preserve"> </w:t>
      </w:r>
      <w:r>
        <w:t>matching</w:t>
      </w:r>
      <w:r w:rsidR="00E15E1B">
        <w:t xml:space="preserve"> </w:t>
      </w:r>
      <w:r>
        <w:t>service</w:t>
      </w:r>
      <w:r w:rsidR="00E15E1B">
        <w:t xml:space="preserve"> </w:t>
      </w:r>
      <w:r>
        <w:t>is</w:t>
      </w:r>
      <w:r w:rsidR="00E15E1B">
        <w:t xml:space="preserve"> </w:t>
      </w:r>
      <w:r>
        <w:t>being</w:t>
      </w:r>
      <w:r w:rsidR="00E15E1B">
        <w:t xml:space="preserve"> </w:t>
      </w:r>
      <w:r>
        <w:t>developed</w:t>
      </w:r>
      <w:r w:rsidR="00E15E1B">
        <w:t xml:space="preserve"> </w:t>
      </w:r>
      <w:r>
        <w:t>to</w:t>
      </w:r>
      <w:r w:rsidR="00E15E1B">
        <w:t xml:space="preserve"> </w:t>
      </w:r>
      <w:r>
        <w:t>connect</w:t>
      </w:r>
      <w:r w:rsidR="00E15E1B">
        <w:t xml:space="preserve"> </w:t>
      </w:r>
      <w:r>
        <w:t>tenants</w:t>
      </w:r>
      <w:r w:rsidR="00E15E1B">
        <w:t xml:space="preserve"> </w:t>
      </w:r>
      <w:r>
        <w:t>and</w:t>
      </w:r>
      <w:r w:rsidR="00E15E1B">
        <w:t xml:space="preserve"> </w:t>
      </w:r>
      <w:r>
        <w:t>landlords</w:t>
      </w:r>
      <w:r w:rsidR="00E15E1B">
        <w:t xml:space="preserve"> </w:t>
      </w:r>
      <w:r>
        <w:t>who</w:t>
      </w:r>
      <w:r w:rsidR="00E15E1B">
        <w:t xml:space="preserve"> </w:t>
      </w:r>
      <w:r>
        <w:t>are</w:t>
      </w:r>
      <w:r w:rsidR="00E15E1B">
        <w:t xml:space="preserve"> </w:t>
      </w:r>
      <w:r>
        <w:t>interested</w:t>
      </w:r>
      <w:r w:rsidR="00E15E1B">
        <w:t xml:space="preserve"> </w:t>
      </w:r>
      <w:r>
        <w:t>in</w:t>
      </w:r>
      <w:r w:rsidR="00E15E1B">
        <w:t xml:space="preserve"> </w:t>
      </w:r>
      <w:r>
        <w:t>long-term</w:t>
      </w:r>
      <w:r w:rsidR="00E15E1B">
        <w:t xml:space="preserve"> </w:t>
      </w:r>
      <w:r>
        <w:t>leases.</w:t>
      </w:r>
    </w:p>
    <w:p w:rsidR="00156239" w:rsidRDefault="00156239" w:rsidP="00156239">
      <w:pPr>
        <w:pStyle w:val="Heading4"/>
      </w:pPr>
      <w:r>
        <w:t>Implementation</w:t>
      </w:r>
      <w:r w:rsidR="00E15E1B">
        <w:t xml:space="preserve"> </w:t>
      </w:r>
      <w:r>
        <w:t>of</w:t>
      </w:r>
      <w:r w:rsidR="00E15E1B">
        <w:t xml:space="preserve"> </w:t>
      </w:r>
      <w:r>
        <w:t>new</w:t>
      </w:r>
      <w:r w:rsidR="00E15E1B">
        <w:t xml:space="preserve"> </w:t>
      </w:r>
      <w:r>
        <w:t>rooming</w:t>
      </w:r>
      <w:r w:rsidR="00E15E1B">
        <w:t xml:space="preserve"> </w:t>
      </w:r>
      <w:r>
        <w:t>house</w:t>
      </w:r>
      <w:r w:rsidR="00E15E1B">
        <w:t xml:space="preserve"> </w:t>
      </w:r>
      <w:r>
        <w:t>licensing</w:t>
      </w:r>
      <w:r w:rsidR="00E15E1B">
        <w:t xml:space="preserve"> </w:t>
      </w:r>
      <w:r>
        <w:t>scheme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commenced</w:t>
      </w:r>
      <w:r w:rsidR="00E15E1B">
        <w:t xml:space="preserve"> </w:t>
      </w:r>
      <w:r>
        <w:t>a</w:t>
      </w:r>
      <w:r w:rsidR="00E15E1B">
        <w:t xml:space="preserve"> </w:t>
      </w:r>
      <w:r>
        <w:t>new</w:t>
      </w:r>
      <w:r w:rsidR="00E15E1B">
        <w:t xml:space="preserve"> </w:t>
      </w:r>
      <w:r>
        <w:t>licensing</w:t>
      </w:r>
      <w:r w:rsidR="00E15E1B">
        <w:t xml:space="preserve"> </w:t>
      </w:r>
      <w:r>
        <w:t>scheme</w:t>
      </w:r>
      <w:r w:rsidR="00E15E1B">
        <w:t xml:space="preserve"> </w:t>
      </w:r>
      <w:r>
        <w:t>after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Rooming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House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Operators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2016</w:t>
      </w:r>
      <w:r w:rsidR="00E15E1B">
        <w:t xml:space="preserve"> </w:t>
      </w:r>
      <w:r>
        <w:t>came</w:t>
      </w:r>
      <w:r w:rsidR="00E15E1B">
        <w:t xml:space="preserve"> </w:t>
      </w:r>
      <w:r>
        <w:t>into</w:t>
      </w:r>
      <w:r w:rsidR="00E15E1B">
        <w:t xml:space="preserve"> </w:t>
      </w:r>
      <w:r>
        <w:t>effect</w:t>
      </w:r>
      <w:r w:rsidR="00E15E1B">
        <w:t xml:space="preserve"> </w:t>
      </w:r>
      <w:r>
        <w:t>in</w:t>
      </w:r>
      <w:r w:rsidR="00E15E1B">
        <w:t xml:space="preserve"> </w:t>
      </w:r>
      <w:r>
        <w:t>April</w:t>
      </w:r>
      <w:r w:rsidR="00E15E1B">
        <w:t xml:space="preserve"> </w:t>
      </w:r>
      <w:r>
        <w:t>2017.</w:t>
      </w:r>
      <w:r w:rsidR="00E15E1B">
        <w:t xml:space="preserve"> </w:t>
      </w:r>
      <w:r>
        <w:t>This</w:t>
      </w:r>
      <w:r w:rsidR="00E15E1B">
        <w:t xml:space="preserve"> </w:t>
      </w:r>
      <w:r>
        <w:t>scheme</w:t>
      </w:r>
      <w:r w:rsidR="00E15E1B">
        <w:t xml:space="preserve"> </w:t>
      </w:r>
      <w:r>
        <w:t>will</w:t>
      </w:r>
      <w:r w:rsidR="00E15E1B">
        <w:t xml:space="preserve"> </w:t>
      </w:r>
      <w:r>
        <w:t>foster</w:t>
      </w:r>
      <w:r w:rsidR="00E15E1B">
        <w:t xml:space="preserve"> </w:t>
      </w:r>
      <w:r>
        <w:t>professionalism</w:t>
      </w:r>
      <w:r w:rsidR="00E15E1B">
        <w:t xml:space="preserve"> </w:t>
      </w:r>
      <w:r>
        <w:t>and</w:t>
      </w:r>
      <w:r w:rsidR="00E15E1B">
        <w:t xml:space="preserve"> </w:t>
      </w:r>
      <w:r>
        <w:t>reduce</w:t>
      </w:r>
      <w:r w:rsidR="00E15E1B">
        <w:t xml:space="preserve"> </w:t>
      </w:r>
      <w:r>
        <w:t>exploitative</w:t>
      </w:r>
      <w:r w:rsidR="00E15E1B">
        <w:t xml:space="preserve"> </w:t>
      </w:r>
      <w:r>
        <w:t>and</w:t>
      </w:r>
      <w:r w:rsidR="00E15E1B">
        <w:t xml:space="preserve"> </w:t>
      </w:r>
      <w:r>
        <w:t>undesirable</w:t>
      </w:r>
      <w:r w:rsidR="00E15E1B">
        <w:t xml:space="preserve"> </w:t>
      </w:r>
      <w:r>
        <w:t>practices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rooming</w:t>
      </w:r>
      <w:r w:rsidR="00E15E1B">
        <w:t xml:space="preserve"> </w:t>
      </w:r>
      <w:r>
        <w:t>house</w:t>
      </w:r>
      <w:r w:rsidR="00E15E1B">
        <w:t xml:space="preserve"> </w:t>
      </w:r>
      <w:r>
        <w:t>sector.</w:t>
      </w:r>
    </w:p>
    <w:p w:rsidR="00156239" w:rsidRDefault="00156239" w:rsidP="00156239">
      <w:pPr>
        <w:pStyle w:val="BodyText"/>
      </w:pPr>
      <w:r>
        <w:t>Rooming</w:t>
      </w:r>
      <w:r w:rsidR="00E15E1B">
        <w:t xml:space="preserve"> </w:t>
      </w:r>
      <w:r>
        <w:t>houses</w:t>
      </w:r>
      <w:r w:rsidR="00E15E1B">
        <w:t xml:space="preserve"> </w:t>
      </w:r>
      <w:r>
        <w:t>often</w:t>
      </w:r>
      <w:r w:rsidR="00E15E1B">
        <w:t xml:space="preserve"> </w:t>
      </w:r>
      <w:r>
        <w:t>attract</w:t>
      </w:r>
      <w:r w:rsidR="00E15E1B">
        <w:t xml:space="preserve"> </w:t>
      </w:r>
      <w:r>
        <w:t>the</w:t>
      </w:r>
      <w:r w:rsidR="00E15E1B">
        <w:t xml:space="preserve"> </w:t>
      </w:r>
      <w:r>
        <w:t>most</w:t>
      </w:r>
      <w:r w:rsidR="00E15E1B">
        <w:t xml:space="preserve"> </w:t>
      </w:r>
      <w:r>
        <w:t>vulnerable</w:t>
      </w:r>
      <w:r w:rsidR="00E15E1B">
        <w:t xml:space="preserve"> </w:t>
      </w:r>
      <w:r>
        <w:t>Victorians,</w:t>
      </w:r>
      <w:r w:rsidR="00E15E1B">
        <w:t xml:space="preserve"> </w:t>
      </w:r>
      <w:r>
        <w:t>who</w:t>
      </w:r>
      <w:r w:rsidR="00E15E1B">
        <w:t xml:space="preserve"> </w:t>
      </w:r>
      <w:r>
        <w:t>are</w:t>
      </w:r>
      <w:r w:rsidR="00E15E1B">
        <w:t xml:space="preserve"> </w:t>
      </w:r>
      <w:r>
        <w:t>unable</w:t>
      </w:r>
      <w:r w:rsidR="00E15E1B">
        <w:t xml:space="preserve"> </w:t>
      </w:r>
      <w:r>
        <w:t>to</w:t>
      </w:r>
      <w:r w:rsidR="00E15E1B">
        <w:t xml:space="preserve"> </w:t>
      </w:r>
      <w:r>
        <w:t>obtain</w:t>
      </w:r>
      <w:r w:rsidR="00E15E1B">
        <w:t xml:space="preserve"> </w:t>
      </w:r>
      <w:r>
        <w:t>any</w:t>
      </w:r>
      <w:r w:rsidR="00E15E1B">
        <w:t xml:space="preserve"> </w:t>
      </w:r>
      <w:r>
        <w:t>other</w:t>
      </w:r>
      <w:r w:rsidR="00E15E1B">
        <w:t xml:space="preserve"> </w:t>
      </w:r>
      <w:r>
        <w:t>form</w:t>
      </w:r>
      <w:r w:rsidR="00E15E1B">
        <w:t xml:space="preserve"> </w:t>
      </w:r>
      <w:r>
        <w:t>of</w:t>
      </w:r>
      <w:r w:rsidR="00E15E1B">
        <w:t xml:space="preserve"> </w:t>
      </w:r>
      <w:r>
        <w:t>accommodation.</w:t>
      </w:r>
      <w:r w:rsidR="00E15E1B">
        <w:t xml:space="preserve"> </w:t>
      </w:r>
      <w:r>
        <w:t>Residents</w:t>
      </w:r>
      <w:r w:rsidR="00E15E1B">
        <w:t xml:space="preserve"> </w:t>
      </w:r>
      <w:r>
        <w:t>include</w:t>
      </w:r>
      <w:r w:rsidR="00E15E1B">
        <w:t xml:space="preserve"> </w:t>
      </w:r>
      <w:r>
        <w:t>the</w:t>
      </w:r>
      <w:r w:rsidR="00E15E1B">
        <w:t xml:space="preserve"> </w:t>
      </w:r>
      <w:r>
        <w:t>long-term</w:t>
      </w:r>
      <w:r w:rsidR="00E15E1B">
        <w:t xml:space="preserve"> </w:t>
      </w:r>
      <w:r>
        <w:t>homeless,</w:t>
      </w:r>
      <w:r w:rsidR="00E15E1B">
        <w:t xml:space="preserve"> </w:t>
      </w:r>
      <w:r>
        <w:t>people</w:t>
      </w:r>
      <w:r w:rsidR="00E15E1B">
        <w:t xml:space="preserve"> </w:t>
      </w:r>
      <w:r>
        <w:t>in</w:t>
      </w:r>
      <w:r w:rsidR="00E15E1B">
        <w:t xml:space="preserve"> </w:t>
      </w:r>
      <w:r>
        <w:t>need</w:t>
      </w:r>
      <w:r w:rsidR="00E15E1B">
        <w:t xml:space="preserve"> </w:t>
      </w:r>
      <w:r>
        <w:t>of</w:t>
      </w:r>
      <w:r w:rsidR="00E15E1B">
        <w:t xml:space="preserve"> </w:t>
      </w:r>
      <w:r>
        <w:t>crisis</w:t>
      </w:r>
      <w:r w:rsidR="00E15E1B">
        <w:t xml:space="preserve"> </w:t>
      </w:r>
      <w:r>
        <w:t>housing,</w:t>
      </w:r>
      <w:r w:rsidR="00E15E1B">
        <w:t xml:space="preserve"> </w:t>
      </w:r>
      <w:r>
        <w:t>single</w:t>
      </w:r>
      <w:r w:rsidR="00E15E1B">
        <w:t xml:space="preserve"> </w:t>
      </w:r>
      <w:r>
        <w:t>people</w:t>
      </w:r>
      <w:r w:rsidR="00E15E1B">
        <w:t xml:space="preserve"> </w:t>
      </w:r>
      <w:r>
        <w:t>on</w:t>
      </w:r>
      <w:r w:rsidR="00E15E1B">
        <w:t xml:space="preserve"> </w:t>
      </w:r>
      <w:r>
        <w:t>low</w:t>
      </w:r>
      <w:r w:rsidR="00E15E1B">
        <w:t xml:space="preserve"> </w:t>
      </w:r>
      <w:r>
        <w:t>incomes</w:t>
      </w:r>
      <w:r w:rsidR="00E15E1B">
        <w:t xml:space="preserve"> </w:t>
      </w:r>
      <w:r>
        <w:t>and</w:t>
      </w:r>
      <w:r w:rsidR="00E15E1B">
        <w:t xml:space="preserve"> </w:t>
      </w:r>
      <w:r>
        <w:t>a</w:t>
      </w:r>
      <w:r w:rsidR="00E15E1B">
        <w:t xml:space="preserve"> </w:t>
      </w:r>
      <w:r>
        <w:t>growing</w:t>
      </w:r>
      <w:r w:rsidR="00E15E1B">
        <w:t xml:space="preserve"> </w:t>
      </w:r>
      <w:r>
        <w:t>number</w:t>
      </w:r>
      <w:r w:rsidR="00E15E1B">
        <w:t xml:space="preserve"> </w:t>
      </w:r>
      <w:r>
        <w:t>of</w:t>
      </w:r>
      <w:r w:rsidR="00E15E1B">
        <w:t xml:space="preserve"> </w:t>
      </w:r>
      <w:r>
        <w:t>older</w:t>
      </w:r>
      <w:r w:rsidR="00E15E1B">
        <w:t xml:space="preserve"> </w:t>
      </w:r>
      <w:r>
        <w:t>women,</w:t>
      </w:r>
      <w:r w:rsidR="00E15E1B">
        <w:t xml:space="preserve"> </w:t>
      </w:r>
      <w:r>
        <w:t>international</w:t>
      </w:r>
      <w:r w:rsidR="00E15E1B">
        <w:t xml:space="preserve"> </w:t>
      </w:r>
      <w:r>
        <w:t>students</w:t>
      </w:r>
      <w:r w:rsidR="00E15E1B">
        <w:t xml:space="preserve"> </w:t>
      </w:r>
      <w:r>
        <w:t>and</w:t>
      </w:r>
      <w:r w:rsidR="00E15E1B">
        <w:t xml:space="preserve"> </w:t>
      </w:r>
      <w:r>
        <w:t>recently</w:t>
      </w:r>
      <w:r w:rsidR="00E15E1B">
        <w:t xml:space="preserve"> </w:t>
      </w:r>
      <w:r>
        <w:t>arrived</w:t>
      </w:r>
      <w:r w:rsidR="00E15E1B">
        <w:t xml:space="preserve"> </w:t>
      </w:r>
      <w:r>
        <w:t>migrants.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monitored</w:t>
      </w:r>
      <w:r w:rsidR="00E15E1B">
        <w:t xml:space="preserve"> </w:t>
      </w:r>
      <w:r>
        <w:t>and</w:t>
      </w:r>
      <w:r w:rsidR="00E15E1B">
        <w:t xml:space="preserve"> </w:t>
      </w:r>
      <w:r>
        <w:t>supported</w:t>
      </w:r>
      <w:r w:rsidR="00E15E1B">
        <w:t xml:space="preserve"> </w:t>
      </w:r>
      <w:r>
        <w:t>licensees</w:t>
      </w:r>
      <w:r w:rsidR="00E15E1B">
        <w:t xml:space="preserve"> </w:t>
      </w:r>
      <w:r>
        <w:t>through</w:t>
      </w:r>
      <w:r w:rsidR="00E15E1B">
        <w:t xml:space="preserve"> </w:t>
      </w:r>
      <w:r>
        <w:t>the</w:t>
      </w:r>
      <w:r w:rsidR="00E15E1B">
        <w:t xml:space="preserve"> </w:t>
      </w:r>
      <w:r>
        <w:t>application</w:t>
      </w:r>
      <w:r w:rsidR="00E15E1B">
        <w:t xml:space="preserve"> </w:t>
      </w:r>
      <w:r>
        <w:t>process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Business</w:t>
      </w:r>
      <w:r w:rsidR="00E15E1B">
        <w:t xml:space="preserve"> </w:t>
      </w:r>
      <w:r>
        <w:t>Licensing</w:t>
      </w:r>
      <w:r w:rsidR="00E15E1B">
        <w:t xml:space="preserve"> </w:t>
      </w:r>
      <w:r>
        <w:t>Authority</w:t>
      </w:r>
      <w:r w:rsidR="00E15E1B">
        <w:t xml:space="preserve"> </w:t>
      </w:r>
      <w:r>
        <w:t>approving</w:t>
      </w:r>
      <w:r w:rsidR="00E15E1B">
        <w:t xml:space="preserve"> </w:t>
      </w:r>
      <w:r>
        <w:t>over</w:t>
      </w:r>
      <w:r w:rsidR="00E15E1B">
        <w:t xml:space="preserve"> </w:t>
      </w:r>
      <w:r>
        <w:t>860</w:t>
      </w:r>
      <w:r w:rsidR="00E15E1B">
        <w:t xml:space="preserve"> </w:t>
      </w:r>
      <w:r>
        <w:t>rooming</w:t>
      </w:r>
      <w:r w:rsidR="00E15E1B">
        <w:t xml:space="preserve"> </w:t>
      </w:r>
      <w:r>
        <w:t>house</w:t>
      </w:r>
      <w:r w:rsidR="00E15E1B">
        <w:t xml:space="preserve"> </w:t>
      </w:r>
      <w:r>
        <w:t>operator</w:t>
      </w:r>
      <w:r w:rsidR="00E15E1B">
        <w:t xml:space="preserve"> </w:t>
      </w:r>
      <w:r>
        <w:t>licences.</w:t>
      </w:r>
    </w:p>
    <w:p w:rsidR="00156239" w:rsidRDefault="00156239" w:rsidP="00156239">
      <w:pPr>
        <w:pStyle w:val="BodyText"/>
      </w:pPr>
      <w:r>
        <w:t>Our</w:t>
      </w:r>
      <w:r w:rsidR="00E15E1B">
        <w:t xml:space="preserve"> </w:t>
      </w:r>
      <w:r>
        <w:t>compliance</w:t>
      </w:r>
      <w:r w:rsidR="00E15E1B">
        <w:t xml:space="preserve"> </w:t>
      </w:r>
      <w:r>
        <w:t>inspection</w:t>
      </w:r>
      <w:r w:rsidR="00E15E1B">
        <w:t xml:space="preserve"> </w:t>
      </w:r>
      <w:r>
        <w:t>program</w:t>
      </w:r>
      <w:r w:rsidR="00E15E1B">
        <w:t xml:space="preserve"> </w:t>
      </w:r>
      <w:r>
        <w:t>ensures</w:t>
      </w:r>
      <w:r w:rsidR="00E15E1B">
        <w:t xml:space="preserve"> </w:t>
      </w:r>
      <w:r>
        <w:t>operators</w:t>
      </w:r>
      <w:r w:rsidR="00E15E1B">
        <w:t xml:space="preserve"> </w:t>
      </w:r>
      <w:r>
        <w:t>are</w:t>
      </w:r>
      <w:r w:rsidR="00E15E1B">
        <w:t xml:space="preserve"> </w:t>
      </w:r>
      <w:r>
        <w:t>licensed</w:t>
      </w:r>
      <w:r w:rsidR="00E15E1B">
        <w:t xml:space="preserve"> </w:t>
      </w:r>
      <w:r>
        <w:t>and</w:t>
      </w:r>
      <w:r w:rsidR="00E15E1B">
        <w:t xml:space="preserve"> </w:t>
      </w:r>
      <w:r>
        <w:t>comply</w:t>
      </w:r>
      <w:r w:rsidR="00E15E1B">
        <w:t xml:space="preserve"> </w:t>
      </w:r>
      <w:r>
        <w:t>with</w:t>
      </w:r>
      <w:r w:rsidR="00E15E1B">
        <w:t xml:space="preserve"> </w:t>
      </w:r>
      <w:r>
        <w:t>minimum</w:t>
      </w:r>
      <w:r w:rsidR="00E15E1B">
        <w:t xml:space="preserve"> </w:t>
      </w:r>
      <w:r>
        <w:t>standards.</w:t>
      </w:r>
      <w:r w:rsidR="00E15E1B">
        <w:t xml:space="preserve"> </w:t>
      </w:r>
      <w:r>
        <w:t>We</w:t>
      </w:r>
      <w:r w:rsidR="00E15E1B">
        <w:t xml:space="preserve"> </w:t>
      </w:r>
      <w:r>
        <w:t>take</w:t>
      </w:r>
      <w:r w:rsidR="00E15E1B">
        <w:t xml:space="preserve"> </w:t>
      </w:r>
      <w:r>
        <w:t>a</w:t>
      </w:r>
      <w:r w:rsidR="00E15E1B">
        <w:t xml:space="preserve"> </w:t>
      </w:r>
      <w:r>
        <w:t>zero</w:t>
      </w:r>
      <w:r w:rsidR="00E15E1B">
        <w:t xml:space="preserve"> </w:t>
      </w:r>
      <w:r>
        <w:t>tolerance</w:t>
      </w:r>
      <w:r w:rsidR="00E15E1B">
        <w:t xml:space="preserve"> </w:t>
      </w:r>
      <w:r>
        <w:t>approach</w:t>
      </w:r>
      <w:r w:rsidR="00E15E1B">
        <w:t xml:space="preserve"> </w:t>
      </w:r>
      <w:r>
        <w:t>to</w:t>
      </w:r>
      <w:r w:rsidR="00E15E1B">
        <w:t xml:space="preserve"> </w:t>
      </w:r>
      <w:r>
        <w:t>safety</w:t>
      </w:r>
      <w:r w:rsidR="00E15E1B">
        <w:t xml:space="preserve"> </w:t>
      </w:r>
      <w:r>
        <w:t>and</w:t>
      </w:r>
      <w:r w:rsidR="00E15E1B">
        <w:t xml:space="preserve"> </w:t>
      </w:r>
      <w:r>
        <w:t>security</w:t>
      </w:r>
      <w:r w:rsidR="00E15E1B">
        <w:t xml:space="preserve"> </w:t>
      </w:r>
      <w:r>
        <w:t>breaches.</w:t>
      </w:r>
      <w:r w:rsidR="00E15E1B">
        <w:t xml:space="preserve"> </w:t>
      </w:r>
      <w:r>
        <w:t>All</w:t>
      </w:r>
      <w:r w:rsidR="00E15E1B">
        <w:t xml:space="preserve"> </w:t>
      </w:r>
      <w:r>
        <w:t>rooming</w:t>
      </w:r>
      <w:r w:rsidR="00E15E1B">
        <w:t xml:space="preserve"> </w:t>
      </w:r>
      <w:r>
        <w:t>houses</w:t>
      </w:r>
      <w:r w:rsidR="00E15E1B">
        <w:t xml:space="preserve"> </w:t>
      </w:r>
      <w:r>
        <w:t>are</w:t>
      </w:r>
      <w:r w:rsidR="00E15E1B">
        <w:t xml:space="preserve"> </w:t>
      </w:r>
      <w:r>
        <w:t>required</w:t>
      </w:r>
      <w:r w:rsidR="00E15E1B">
        <w:t xml:space="preserve"> </w:t>
      </w:r>
      <w:r>
        <w:t>to</w:t>
      </w:r>
      <w:r w:rsidR="00E15E1B">
        <w:t xml:space="preserve"> </w:t>
      </w:r>
      <w:r>
        <w:t>have</w:t>
      </w:r>
      <w:r w:rsidR="00E15E1B">
        <w:t xml:space="preserve"> </w:t>
      </w:r>
      <w:r>
        <w:t>current</w:t>
      </w:r>
      <w:r w:rsidR="00E15E1B">
        <w:t xml:space="preserve"> </w:t>
      </w:r>
      <w:r>
        <w:t>electrical</w:t>
      </w:r>
      <w:r w:rsidR="00E15E1B">
        <w:t xml:space="preserve"> </w:t>
      </w:r>
      <w:r>
        <w:t>and</w:t>
      </w:r>
      <w:r w:rsidR="00E15E1B">
        <w:t xml:space="preserve"> </w:t>
      </w:r>
      <w:r>
        <w:t>gas</w:t>
      </w:r>
      <w:r w:rsidR="00E15E1B">
        <w:t xml:space="preserve"> </w:t>
      </w:r>
      <w:r>
        <w:t>safety</w:t>
      </w:r>
      <w:r w:rsidR="00E15E1B">
        <w:t xml:space="preserve"> </w:t>
      </w:r>
      <w:r>
        <w:t>checks,</w:t>
      </w:r>
      <w:r w:rsidR="00E15E1B">
        <w:t xml:space="preserve"> </w:t>
      </w:r>
      <w:r>
        <w:t>which</w:t>
      </w:r>
      <w:r w:rsidR="00E15E1B">
        <w:t xml:space="preserve"> </w:t>
      </w:r>
      <w:r>
        <w:t>are</w:t>
      </w:r>
      <w:r w:rsidR="00E15E1B">
        <w:t xml:space="preserve"> </w:t>
      </w:r>
      <w:r>
        <w:t>monitored</w:t>
      </w:r>
      <w:r w:rsidR="00E15E1B">
        <w:t xml:space="preserve"> </w:t>
      </w:r>
      <w:r>
        <w:t>as</w:t>
      </w:r>
      <w:r w:rsidR="00E15E1B">
        <w:t xml:space="preserve"> </w:t>
      </w:r>
      <w:r>
        <w:t>part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State</w:t>
      </w:r>
      <w:r w:rsidR="00E15E1B">
        <w:t xml:space="preserve"> </w:t>
      </w:r>
      <w:r>
        <w:t>Inspection</w:t>
      </w:r>
      <w:r w:rsidR="00E15E1B">
        <w:t xml:space="preserve"> </w:t>
      </w:r>
      <w:r>
        <w:t>Program.</w:t>
      </w:r>
    </w:p>
    <w:p w:rsidR="00156239" w:rsidRDefault="00156239" w:rsidP="00156239">
      <w:pPr>
        <w:pStyle w:val="Heading4"/>
      </w:pPr>
      <w:r>
        <w:t>More</w:t>
      </w:r>
      <w:r w:rsidR="00E15E1B">
        <w:t xml:space="preserve"> </w:t>
      </w:r>
      <w:r>
        <w:t>homes</w:t>
      </w:r>
      <w:r w:rsidR="00E15E1B">
        <w:t xml:space="preserve"> </w:t>
      </w:r>
      <w:r>
        <w:t>for</w:t>
      </w:r>
      <w:r w:rsidR="00E15E1B">
        <w:t xml:space="preserve"> </w:t>
      </w:r>
      <w:r>
        <w:t>family</w:t>
      </w:r>
      <w:r w:rsidR="00E15E1B">
        <w:t xml:space="preserve"> </w:t>
      </w:r>
      <w:r>
        <w:t>violence</w:t>
      </w:r>
      <w:r w:rsidR="00E15E1B">
        <w:t xml:space="preserve"> </w:t>
      </w:r>
      <w:r>
        <w:t>victims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</w:t>
      </w:r>
      <w:r w:rsidR="00E15E1B">
        <w:t xml:space="preserve"> </w:t>
      </w:r>
      <w:r>
        <w:t>has</w:t>
      </w:r>
      <w:r w:rsidR="00E15E1B">
        <w:t xml:space="preserve"> </w:t>
      </w:r>
      <w:r>
        <w:t>delivered</w:t>
      </w:r>
      <w:r w:rsidR="00E15E1B">
        <w:t xml:space="preserve"> </w:t>
      </w:r>
      <w:r>
        <w:t>another</w:t>
      </w:r>
      <w:r w:rsidR="00E15E1B">
        <w:t xml:space="preserve"> </w:t>
      </w:r>
      <w:r>
        <w:t>20</w:t>
      </w:r>
      <w:r w:rsidR="00E15E1B">
        <w:t xml:space="preserve"> </w:t>
      </w:r>
      <w:r>
        <w:t>affordable</w:t>
      </w:r>
      <w:r w:rsidR="00E15E1B">
        <w:t xml:space="preserve"> </w:t>
      </w:r>
      <w:r>
        <w:t>homes</w:t>
      </w:r>
      <w:r w:rsidR="00E15E1B">
        <w:t xml:space="preserve"> </w:t>
      </w:r>
      <w:r>
        <w:t>in</w:t>
      </w:r>
      <w:r w:rsidR="00E15E1B">
        <w:t xml:space="preserve"> </w:t>
      </w:r>
      <w:r>
        <w:t>Melbourne’s</w:t>
      </w:r>
      <w:r w:rsidR="00E15E1B">
        <w:t xml:space="preserve"> </w:t>
      </w:r>
      <w:r>
        <w:t>inner</w:t>
      </w:r>
      <w:r w:rsidR="00E15E1B">
        <w:t xml:space="preserve"> </w:t>
      </w:r>
      <w:r>
        <w:t>west</w:t>
      </w:r>
      <w:r w:rsidR="00E15E1B">
        <w:t xml:space="preserve"> </w:t>
      </w:r>
      <w:r>
        <w:t>for</w:t>
      </w:r>
      <w:r w:rsidR="00E15E1B">
        <w:t xml:space="preserve"> </w:t>
      </w:r>
      <w:r>
        <w:t>women</w:t>
      </w:r>
      <w:r w:rsidR="00E15E1B">
        <w:t xml:space="preserve"> </w:t>
      </w:r>
      <w:r>
        <w:t>and</w:t>
      </w:r>
      <w:r w:rsidR="00E15E1B">
        <w:t xml:space="preserve"> </w:t>
      </w:r>
      <w:r>
        <w:t>children</w:t>
      </w:r>
      <w:r w:rsidR="00E15E1B">
        <w:t xml:space="preserve"> </w:t>
      </w:r>
      <w:r>
        <w:t>escaping</w:t>
      </w:r>
      <w:r w:rsidR="00E15E1B">
        <w:t xml:space="preserve"> </w:t>
      </w:r>
      <w:r>
        <w:t>family</w:t>
      </w:r>
      <w:r w:rsidR="00E15E1B">
        <w:t xml:space="preserve"> </w:t>
      </w:r>
      <w:r>
        <w:t>violence.</w:t>
      </w:r>
    </w:p>
    <w:p w:rsidR="00156239" w:rsidRDefault="00156239" w:rsidP="00156239">
      <w:pPr>
        <w:pStyle w:val="BodyText"/>
      </w:pPr>
      <w:r>
        <w:t>In</w:t>
      </w:r>
      <w:r w:rsidR="00E15E1B">
        <w:t xml:space="preserve"> </w:t>
      </w:r>
      <w:r>
        <w:t>March</w:t>
      </w:r>
      <w:r w:rsidR="00E15E1B">
        <w:t xml:space="preserve"> </w:t>
      </w:r>
      <w:r>
        <w:t>2018,</w:t>
      </w:r>
      <w:r w:rsidR="00E15E1B">
        <w:t xml:space="preserve"> </w:t>
      </w:r>
      <w:r>
        <w:t>Minister</w:t>
      </w:r>
      <w:r w:rsidR="00E15E1B">
        <w:t xml:space="preserve"> </w:t>
      </w:r>
      <w:r>
        <w:t>for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Marlene</w:t>
      </w:r>
      <w:r w:rsidR="00E15E1B">
        <w:t xml:space="preserve"> </w:t>
      </w:r>
      <w:r>
        <w:t>Kairouz</w:t>
      </w:r>
      <w:r w:rsidR="00E15E1B">
        <w:t xml:space="preserve"> </w:t>
      </w:r>
      <w:r>
        <w:t>joined</w:t>
      </w:r>
      <w:r w:rsidR="00E15E1B">
        <w:t xml:space="preserve"> </w:t>
      </w:r>
      <w:r>
        <w:t>Williamstown</w:t>
      </w:r>
      <w:r w:rsidR="00E15E1B">
        <w:t xml:space="preserve"> </w:t>
      </w:r>
      <w:r>
        <w:t>MP</w:t>
      </w:r>
      <w:r w:rsidR="00E15E1B">
        <w:t xml:space="preserve"> </w:t>
      </w:r>
      <w:r>
        <w:t>Wade</w:t>
      </w:r>
      <w:r w:rsidR="00E15E1B">
        <w:t xml:space="preserve"> </w:t>
      </w:r>
      <w:r>
        <w:t>Noonan</w:t>
      </w:r>
      <w:r w:rsidR="00E15E1B">
        <w:t xml:space="preserve"> </w:t>
      </w:r>
      <w:r>
        <w:t>to</w:t>
      </w:r>
      <w:r w:rsidR="00E15E1B">
        <w:t xml:space="preserve"> </w:t>
      </w:r>
      <w:r>
        <w:t>officially</w:t>
      </w:r>
      <w:r w:rsidR="00E15E1B">
        <w:t xml:space="preserve"> </w:t>
      </w:r>
      <w:r>
        <w:t>open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units,</w:t>
      </w:r>
      <w:r w:rsidR="00E15E1B">
        <w:t xml:space="preserve"> </w:t>
      </w:r>
      <w:r>
        <w:t>which</w:t>
      </w:r>
      <w:r w:rsidR="00E15E1B">
        <w:t xml:space="preserve"> </w:t>
      </w:r>
      <w:r>
        <w:t>will</w:t>
      </w:r>
      <w:r w:rsidR="00E15E1B">
        <w:t xml:space="preserve"> </w:t>
      </w:r>
      <w:r>
        <w:t>provide</w:t>
      </w:r>
      <w:r w:rsidR="00E15E1B">
        <w:t xml:space="preserve"> </w:t>
      </w:r>
      <w:r>
        <w:t>a</w:t>
      </w:r>
      <w:r w:rsidR="00E15E1B">
        <w:t xml:space="preserve"> </w:t>
      </w:r>
      <w:r>
        <w:t>safe</w:t>
      </w:r>
      <w:r w:rsidR="00E15E1B">
        <w:t xml:space="preserve"> </w:t>
      </w:r>
      <w:r>
        <w:t>haven</w:t>
      </w:r>
      <w:r w:rsidR="00E15E1B">
        <w:t xml:space="preserve"> </w:t>
      </w:r>
      <w:r>
        <w:t>for</w:t>
      </w:r>
      <w:r w:rsidR="00E15E1B">
        <w:t xml:space="preserve"> </w:t>
      </w:r>
      <w:r>
        <w:t>family</w:t>
      </w:r>
      <w:r w:rsidR="00E15E1B">
        <w:t xml:space="preserve"> </w:t>
      </w:r>
      <w:r>
        <w:t>violence</w:t>
      </w:r>
      <w:r w:rsidR="00E15E1B">
        <w:t xml:space="preserve"> </w:t>
      </w:r>
      <w:r>
        <w:t>victims</w:t>
      </w:r>
      <w:r w:rsidR="00E15E1B">
        <w:t xml:space="preserve"> </w:t>
      </w:r>
      <w:r>
        <w:t>and</w:t>
      </w:r>
      <w:r w:rsidR="00E15E1B">
        <w:t xml:space="preserve"> </w:t>
      </w:r>
      <w:r>
        <w:t>women</w:t>
      </w:r>
      <w:r w:rsidR="00E15E1B">
        <w:t xml:space="preserve"> </w:t>
      </w:r>
      <w:r>
        <w:t>aged</w:t>
      </w:r>
      <w:r w:rsidR="00E15E1B">
        <w:t xml:space="preserve"> </w:t>
      </w:r>
      <w:r>
        <w:t>over</w:t>
      </w:r>
      <w:r w:rsidR="00E15E1B">
        <w:t xml:space="preserve"> </w:t>
      </w:r>
      <w:r>
        <w:t>55</w:t>
      </w:r>
      <w:r w:rsidR="00E15E1B">
        <w:t xml:space="preserve"> </w:t>
      </w:r>
      <w:r>
        <w:t>who</w:t>
      </w:r>
      <w:r w:rsidR="00E15E1B">
        <w:t xml:space="preserve"> </w:t>
      </w:r>
      <w:r>
        <w:t>have</w:t>
      </w:r>
      <w:r w:rsidR="00E15E1B">
        <w:t xml:space="preserve"> </w:t>
      </w:r>
      <w:r>
        <w:t>had</w:t>
      </w:r>
      <w:r w:rsidR="00E15E1B">
        <w:t xml:space="preserve"> </w:t>
      </w:r>
      <w:r>
        <w:t>trouble</w:t>
      </w:r>
      <w:r w:rsidR="00E15E1B">
        <w:t xml:space="preserve"> </w:t>
      </w:r>
      <w:r>
        <w:t>finding</w:t>
      </w:r>
      <w:r w:rsidR="00E15E1B">
        <w:t xml:space="preserve"> </w:t>
      </w:r>
      <w:r>
        <w:t>a</w:t>
      </w:r>
      <w:r w:rsidR="00E15E1B">
        <w:t xml:space="preserve"> </w:t>
      </w:r>
      <w:r>
        <w:t>home.</w:t>
      </w:r>
    </w:p>
    <w:p w:rsidR="00156239" w:rsidRDefault="00156239" w:rsidP="00156239">
      <w:pPr>
        <w:pStyle w:val="BodyText"/>
      </w:pPr>
      <w:r>
        <w:t>Through</w:t>
      </w:r>
      <w:r w:rsidR="00E15E1B">
        <w:t xml:space="preserve"> </w:t>
      </w:r>
      <w:r>
        <w:t>the</w:t>
      </w:r>
      <w:r w:rsidR="00E15E1B">
        <w:t xml:space="preserve"> </w:t>
      </w:r>
      <w:r>
        <w:t>project,</w:t>
      </w:r>
      <w:r w:rsidR="00E15E1B">
        <w:t xml:space="preserve"> </w:t>
      </w:r>
      <w:r>
        <w:t>seven</w:t>
      </w:r>
      <w:r w:rsidR="00E15E1B">
        <w:t xml:space="preserve"> </w:t>
      </w:r>
      <w:r>
        <w:t>outdated</w:t>
      </w:r>
      <w:r w:rsidR="00E15E1B">
        <w:t xml:space="preserve"> </w:t>
      </w:r>
      <w:r>
        <w:t>units</w:t>
      </w:r>
      <w:r w:rsidR="00E15E1B">
        <w:t xml:space="preserve"> </w:t>
      </w:r>
      <w:r>
        <w:t>in</w:t>
      </w:r>
      <w:r w:rsidR="00E15E1B">
        <w:t xml:space="preserve"> </w:t>
      </w:r>
      <w:r>
        <w:t>Newport</w:t>
      </w:r>
      <w:r w:rsidR="00E15E1B">
        <w:t xml:space="preserve"> </w:t>
      </w:r>
      <w:r>
        <w:t>were</w:t>
      </w:r>
      <w:r w:rsidR="00E15E1B">
        <w:t xml:space="preserve"> </w:t>
      </w:r>
      <w:r>
        <w:t>demolished</w:t>
      </w:r>
      <w:r w:rsidR="00E15E1B">
        <w:t xml:space="preserve"> </w:t>
      </w:r>
      <w:r>
        <w:t>and</w:t>
      </w:r>
      <w:r w:rsidR="00E15E1B">
        <w:t xml:space="preserve"> </w:t>
      </w:r>
      <w:r>
        <w:t>replaced</w:t>
      </w:r>
      <w:r w:rsidR="00E15E1B">
        <w:t xml:space="preserve"> </w:t>
      </w:r>
      <w:r>
        <w:t>by</w:t>
      </w:r>
      <w:r w:rsidR="00E15E1B">
        <w:t xml:space="preserve"> </w:t>
      </w:r>
      <w:r>
        <w:t>nine</w:t>
      </w:r>
      <w:r w:rsidR="00E15E1B">
        <w:t xml:space="preserve"> </w:t>
      </w:r>
      <w:r>
        <w:t>one-bedroom</w:t>
      </w:r>
      <w:r w:rsidR="00E15E1B">
        <w:t xml:space="preserve"> </w:t>
      </w:r>
      <w:r>
        <w:t>and</w:t>
      </w:r>
      <w:r w:rsidR="00E15E1B">
        <w:t xml:space="preserve"> </w:t>
      </w:r>
      <w:r>
        <w:t>11</w:t>
      </w:r>
      <w:r w:rsidR="00E15E1B">
        <w:t xml:space="preserve"> </w:t>
      </w:r>
      <w:r>
        <w:t>two-bedroom</w:t>
      </w:r>
      <w:r w:rsidR="00E15E1B">
        <w:t xml:space="preserve"> </w:t>
      </w:r>
      <w:r>
        <w:t>homes.</w:t>
      </w:r>
      <w:r w:rsidR="00E15E1B">
        <w:t xml:space="preserve"> </w:t>
      </w:r>
      <w:r>
        <w:t>Funding</w:t>
      </w:r>
      <w:r w:rsidR="00E15E1B">
        <w:t xml:space="preserve"> </w:t>
      </w:r>
      <w:r>
        <w:t>was</w:t>
      </w:r>
      <w:r w:rsidR="00E15E1B">
        <w:t xml:space="preserve"> </w:t>
      </w:r>
      <w:r>
        <w:t>provided</w:t>
      </w:r>
      <w:r w:rsidR="00E15E1B">
        <w:t xml:space="preserve"> </w:t>
      </w:r>
      <w:r>
        <w:t>through</w:t>
      </w:r>
      <w:r w:rsidR="00E15E1B">
        <w:t xml:space="preserve"> </w:t>
      </w:r>
      <w:r>
        <w:t>a</w:t>
      </w:r>
      <w:r w:rsidR="00E15E1B">
        <w:t xml:space="preserve"> </w:t>
      </w:r>
      <w:r>
        <w:t>$5.6</w:t>
      </w:r>
      <w:r w:rsidR="00E15E1B">
        <w:t xml:space="preserve"> </w:t>
      </w:r>
      <w:r>
        <w:t>million</w:t>
      </w:r>
      <w:r w:rsidR="00E15E1B">
        <w:t xml:space="preserve"> </w:t>
      </w:r>
      <w:r>
        <w:t>grant</w:t>
      </w:r>
      <w:r w:rsidR="00E15E1B">
        <w:t xml:space="preserve"> </w:t>
      </w:r>
      <w:r>
        <w:t>from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Property</w:t>
      </w:r>
      <w:r w:rsidR="00E15E1B">
        <w:t xml:space="preserve"> </w:t>
      </w:r>
      <w:r>
        <w:t>Fund</w:t>
      </w:r>
      <w:r w:rsidR="00E15E1B">
        <w:t xml:space="preserve"> </w:t>
      </w:r>
      <w:r>
        <w:t>(VPF)</w:t>
      </w:r>
      <w:r w:rsidR="00E15E1B">
        <w:t xml:space="preserve"> </w:t>
      </w:r>
      <w:r>
        <w:t>to</w:t>
      </w:r>
      <w:r w:rsidR="00E15E1B">
        <w:t xml:space="preserve"> </w:t>
      </w:r>
      <w:r>
        <w:t>Women’s</w:t>
      </w:r>
      <w:r w:rsidR="00E15E1B">
        <w:t xml:space="preserve"> </w:t>
      </w:r>
      <w:r>
        <w:t>Housing</w:t>
      </w:r>
      <w:r w:rsidR="00E15E1B">
        <w:t xml:space="preserve"> </w:t>
      </w:r>
      <w:r>
        <w:t>Limited.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units</w:t>
      </w:r>
      <w:r w:rsidR="00E15E1B">
        <w:t xml:space="preserve"> </w:t>
      </w:r>
      <w:r>
        <w:t>are</w:t>
      </w:r>
      <w:r w:rsidR="00E15E1B">
        <w:t xml:space="preserve"> </w:t>
      </w:r>
      <w:r>
        <w:t>close</w:t>
      </w:r>
      <w:r w:rsidR="00E15E1B">
        <w:t xml:space="preserve"> </w:t>
      </w:r>
      <w:r>
        <w:t>to</w:t>
      </w:r>
      <w:r w:rsidR="00E15E1B">
        <w:t xml:space="preserve"> </w:t>
      </w:r>
      <w:r>
        <w:t>health</w:t>
      </w:r>
      <w:r w:rsidR="00E15E1B">
        <w:t xml:space="preserve"> </w:t>
      </w:r>
      <w:r>
        <w:t>and</w:t>
      </w:r>
      <w:r w:rsidR="00E15E1B">
        <w:t xml:space="preserve"> </w:t>
      </w:r>
      <w:r>
        <w:t>community</w:t>
      </w:r>
      <w:r w:rsidR="00E15E1B">
        <w:t xml:space="preserve"> </w:t>
      </w:r>
      <w:r>
        <w:t>services,</w:t>
      </w:r>
      <w:r w:rsidR="00E15E1B">
        <w:t xml:space="preserve"> </w:t>
      </w:r>
      <w:r>
        <w:t>public</w:t>
      </w:r>
      <w:r w:rsidR="00E15E1B">
        <w:t xml:space="preserve"> </w:t>
      </w:r>
      <w:r>
        <w:t>transport,</w:t>
      </w:r>
      <w:r w:rsidR="00E15E1B">
        <w:t xml:space="preserve"> </w:t>
      </w:r>
      <w:r>
        <w:t>shops</w:t>
      </w:r>
      <w:r w:rsidR="00E15E1B">
        <w:t xml:space="preserve"> </w:t>
      </w:r>
      <w:r>
        <w:t>and</w:t>
      </w:r>
      <w:r w:rsidR="00E15E1B">
        <w:t xml:space="preserve"> </w:t>
      </w:r>
      <w:r>
        <w:t>schools,</w:t>
      </w:r>
      <w:r w:rsidR="00E15E1B">
        <w:t xml:space="preserve"> </w:t>
      </w:r>
      <w:r>
        <w:t>and</w:t>
      </w:r>
      <w:r w:rsidR="00E15E1B">
        <w:t xml:space="preserve"> </w:t>
      </w:r>
      <w:r>
        <w:t>have</w:t>
      </w:r>
      <w:r w:rsidR="00E15E1B">
        <w:t xml:space="preserve"> </w:t>
      </w:r>
      <w:r>
        <w:t>been</w:t>
      </w:r>
      <w:r w:rsidR="00E15E1B">
        <w:t xml:space="preserve"> </w:t>
      </w:r>
      <w:r>
        <w:t>designed</w:t>
      </w:r>
      <w:r w:rsidR="00E15E1B">
        <w:t xml:space="preserve"> </w:t>
      </w:r>
      <w:r>
        <w:t>to</w:t>
      </w:r>
      <w:r w:rsidR="00E15E1B">
        <w:t xml:space="preserve"> </w:t>
      </w:r>
      <w:r>
        <w:t>meet</w:t>
      </w:r>
      <w:r w:rsidR="00E15E1B">
        <w:t xml:space="preserve"> </w:t>
      </w:r>
      <w:r>
        <w:t>at</w:t>
      </w:r>
      <w:r w:rsidR="00E15E1B">
        <w:t xml:space="preserve"> </w:t>
      </w:r>
      <w:r>
        <w:t>least</w:t>
      </w:r>
      <w:r w:rsidR="00E15E1B">
        <w:t xml:space="preserve"> </w:t>
      </w:r>
      <w:r>
        <w:t>a</w:t>
      </w:r>
      <w:r w:rsidR="00E15E1B">
        <w:t xml:space="preserve"> </w:t>
      </w:r>
      <w:r>
        <w:t>6-star</w:t>
      </w:r>
      <w:r w:rsidR="00E15E1B">
        <w:t xml:space="preserve"> </w:t>
      </w:r>
      <w:r>
        <w:t>energy</w:t>
      </w:r>
      <w:r w:rsidR="00E15E1B">
        <w:t xml:space="preserve"> </w:t>
      </w:r>
      <w:r>
        <w:t>efficiency</w:t>
      </w:r>
      <w:r w:rsidR="00E15E1B">
        <w:t xml:space="preserve"> </w:t>
      </w:r>
      <w:r>
        <w:t>rating.</w:t>
      </w:r>
      <w:r w:rsidR="00E15E1B">
        <w:t xml:space="preserve"> </w:t>
      </w:r>
      <w:r>
        <w:t>They</w:t>
      </w:r>
      <w:r w:rsidR="00E15E1B">
        <w:t xml:space="preserve"> </w:t>
      </w:r>
      <w:r>
        <w:t>have</w:t>
      </w:r>
      <w:r w:rsidR="00E15E1B">
        <w:t xml:space="preserve"> </w:t>
      </w:r>
      <w:r>
        <w:t>features</w:t>
      </w:r>
      <w:r w:rsidR="00E15E1B">
        <w:t xml:space="preserve"> </w:t>
      </w:r>
      <w:r>
        <w:t>to</w:t>
      </w:r>
      <w:r w:rsidR="00E15E1B">
        <w:t xml:space="preserve"> </w:t>
      </w:r>
      <w:r>
        <w:t>reduce</w:t>
      </w:r>
      <w:r w:rsidR="00E15E1B">
        <w:t xml:space="preserve"> </w:t>
      </w:r>
      <w:r>
        <w:t>energy</w:t>
      </w:r>
      <w:r w:rsidR="00E15E1B">
        <w:t xml:space="preserve"> </w:t>
      </w:r>
      <w:r>
        <w:t>and</w:t>
      </w:r>
      <w:r w:rsidR="00E15E1B">
        <w:t xml:space="preserve"> </w:t>
      </w:r>
      <w:r>
        <w:t>water</w:t>
      </w:r>
      <w:r w:rsidR="00E15E1B">
        <w:t xml:space="preserve"> </w:t>
      </w:r>
      <w:r>
        <w:t>consumption,</w:t>
      </w:r>
      <w:r w:rsidR="00E15E1B">
        <w:t xml:space="preserve"> </w:t>
      </w:r>
      <w:r>
        <w:t>helping</w:t>
      </w:r>
      <w:r w:rsidR="00E15E1B">
        <w:t xml:space="preserve"> </w:t>
      </w:r>
      <w:r>
        <w:t>to</w:t>
      </w:r>
      <w:r w:rsidR="00E15E1B">
        <w:t xml:space="preserve"> </w:t>
      </w:r>
      <w:r>
        <w:t>keep</w:t>
      </w:r>
      <w:r w:rsidR="00E15E1B">
        <w:t xml:space="preserve"> </w:t>
      </w:r>
      <w:r>
        <w:t>utility</w:t>
      </w:r>
      <w:r w:rsidR="00E15E1B">
        <w:t xml:space="preserve"> </w:t>
      </w:r>
      <w:r>
        <w:t>bills</w:t>
      </w:r>
      <w:r w:rsidR="00E15E1B">
        <w:t xml:space="preserve"> </w:t>
      </w:r>
      <w:r>
        <w:t>low.</w:t>
      </w:r>
    </w:p>
    <w:p w:rsidR="00156239" w:rsidRDefault="00156239" w:rsidP="00156239">
      <w:pPr>
        <w:pStyle w:val="BodyText"/>
      </w:pPr>
      <w:r>
        <w:lastRenderedPageBreak/>
        <w:t>The</w:t>
      </w:r>
      <w:r w:rsidR="00E15E1B">
        <w:t xml:space="preserve"> </w:t>
      </w:r>
      <w:r>
        <w:t>VPF</w:t>
      </w:r>
      <w:r w:rsidR="00E15E1B">
        <w:t xml:space="preserve"> </w:t>
      </w:r>
      <w:r>
        <w:t>invests</w:t>
      </w:r>
      <w:r w:rsidR="00E15E1B">
        <w:t xml:space="preserve"> </w:t>
      </w:r>
      <w:r>
        <w:t>in</w:t>
      </w:r>
      <w:r w:rsidR="00E15E1B">
        <w:t xml:space="preserve"> </w:t>
      </w:r>
      <w:r>
        <w:t>affordable</w:t>
      </w:r>
      <w:r w:rsidR="00E15E1B">
        <w:t xml:space="preserve"> </w:t>
      </w:r>
      <w:r>
        <w:t>accommodation</w:t>
      </w:r>
      <w:r w:rsidR="00E15E1B">
        <w:t xml:space="preserve"> </w:t>
      </w:r>
      <w:r>
        <w:t>and</w:t>
      </w:r>
      <w:r w:rsidR="00E15E1B">
        <w:t xml:space="preserve"> </w:t>
      </w:r>
      <w:r>
        <w:t>is</w:t>
      </w:r>
      <w:r w:rsidR="00E15E1B">
        <w:t xml:space="preserve"> </w:t>
      </w:r>
      <w:r>
        <w:t>used</w:t>
      </w:r>
      <w:r w:rsidR="00E15E1B">
        <w:t xml:space="preserve"> </w:t>
      </w:r>
      <w:r>
        <w:t>to</w:t>
      </w:r>
      <w:r w:rsidR="00E15E1B">
        <w:t xml:space="preserve"> </w:t>
      </w:r>
      <w:r>
        <w:t>finance</w:t>
      </w:r>
      <w:r w:rsidR="00E15E1B">
        <w:t xml:space="preserve"> </w:t>
      </w:r>
      <w:r>
        <w:t>community-led</w:t>
      </w:r>
      <w:r w:rsidR="00E15E1B">
        <w:t xml:space="preserve"> </w:t>
      </w:r>
      <w:r>
        <w:t>property</w:t>
      </w:r>
      <w:r w:rsidR="00E15E1B">
        <w:t xml:space="preserve"> </w:t>
      </w:r>
      <w:r>
        <w:t>projects</w:t>
      </w:r>
      <w:r w:rsidR="00E15E1B">
        <w:t xml:space="preserve"> </w:t>
      </w:r>
      <w:r>
        <w:t>across</w:t>
      </w:r>
      <w:r w:rsidR="00E15E1B">
        <w:t xml:space="preserve"> </w:t>
      </w:r>
      <w:r>
        <w:t>Victoria.</w:t>
      </w:r>
      <w:r w:rsidR="00E15E1B">
        <w:t xml:space="preserve"> </w:t>
      </w:r>
      <w:r>
        <w:t>For</w:t>
      </w:r>
      <w:r w:rsidR="00E15E1B">
        <w:t xml:space="preserve"> </w:t>
      </w:r>
      <w:r>
        <w:t>more</w:t>
      </w:r>
      <w:r w:rsidR="00E15E1B">
        <w:t xml:space="preserve"> </w:t>
      </w:r>
      <w:r>
        <w:t>information</w:t>
      </w:r>
      <w:r w:rsidR="00E15E1B">
        <w:t xml:space="preserve"> </w:t>
      </w:r>
      <w:r>
        <w:t>on</w:t>
      </w:r>
      <w:r w:rsidR="00E15E1B">
        <w:t xml:space="preserve"> </w:t>
      </w:r>
      <w:r>
        <w:t>the</w:t>
      </w:r>
      <w:r w:rsidR="00E15E1B">
        <w:t xml:space="preserve"> </w:t>
      </w:r>
      <w:r>
        <w:t>VPF</w:t>
      </w:r>
      <w:r w:rsidR="00E15E1B">
        <w:t xml:space="preserve"> </w:t>
      </w:r>
      <w:r>
        <w:t>see</w:t>
      </w:r>
      <w:r w:rsidR="00E15E1B">
        <w:t xml:space="preserve"> </w:t>
      </w:r>
      <w:r>
        <w:t>page</w:t>
      </w:r>
      <w:r w:rsidR="00E15E1B">
        <w:t xml:space="preserve"> </w:t>
      </w:r>
      <w:r>
        <w:t>38.</w:t>
      </w:r>
    </w:p>
    <w:p w:rsidR="00156239" w:rsidRDefault="00156239" w:rsidP="00156239">
      <w:pPr>
        <w:pStyle w:val="Heading4"/>
      </w:pPr>
      <w:r>
        <w:t>Standing</w:t>
      </w:r>
      <w:r w:rsidR="00E15E1B">
        <w:t xml:space="preserve"> </w:t>
      </w:r>
      <w:r>
        <w:t>up</w:t>
      </w:r>
      <w:r w:rsidR="00E15E1B">
        <w:t xml:space="preserve"> </w:t>
      </w:r>
      <w:r>
        <w:t>for</w:t>
      </w:r>
      <w:r w:rsidR="00E15E1B">
        <w:t xml:space="preserve"> </w:t>
      </w:r>
      <w:r>
        <w:t>Victorian</w:t>
      </w:r>
      <w:r w:rsidR="00E15E1B">
        <w:t xml:space="preserve"> </w:t>
      </w:r>
      <w:r>
        <w:t>renters</w:t>
      </w:r>
      <w:r w:rsidR="00E15E1B">
        <w:t xml:space="preserve"> </w:t>
      </w:r>
      <w:r>
        <w:t>and</w:t>
      </w:r>
      <w:r w:rsidR="00E15E1B">
        <w:t xml:space="preserve"> </w:t>
      </w:r>
      <w:r>
        <w:t>consumers</w:t>
      </w:r>
    </w:p>
    <w:p w:rsidR="00156239" w:rsidRDefault="00156239" w:rsidP="00156239">
      <w:pPr>
        <w:pStyle w:val="BodyText"/>
      </w:pPr>
      <w:r>
        <w:t>Our</w:t>
      </w:r>
      <w:r w:rsidR="00E15E1B">
        <w:t xml:space="preserve"> </w:t>
      </w:r>
      <w:r>
        <w:t>advocacy</w:t>
      </w:r>
      <w:r w:rsidR="00E15E1B">
        <w:t xml:space="preserve"> </w:t>
      </w:r>
      <w:r>
        <w:t>services</w:t>
      </w:r>
      <w:r w:rsidR="00E15E1B">
        <w:t xml:space="preserve"> </w:t>
      </w:r>
      <w:r>
        <w:t>were</w:t>
      </w:r>
      <w:r w:rsidR="00E15E1B">
        <w:t xml:space="preserve"> </w:t>
      </w:r>
      <w:r>
        <w:t>remodelled</w:t>
      </w:r>
      <w:r w:rsidR="00E15E1B">
        <w:t xml:space="preserve"> </w:t>
      </w:r>
      <w:r>
        <w:t>after</w:t>
      </w:r>
      <w:r w:rsidR="00E15E1B">
        <w:t xml:space="preserve"> </w:t>
      </w:r>
      <w:r>
        <w:t>an</w:t>
      </w:r>
      <w:r w:rsidR="00E15E1B">
        <w:t xml:space="preserve"> </w:t>
      </w:r>
      <w:r>
        <w:t>extensive</w:t>
      </w:r>
      <w:r w:rsidR="00E15E1B">
        <w:t xml:space="preserve"> </w:t>
      </w:r>
      <w:r>
        <w:t>review</w:t>
      </w:r>
      <w:r w:rsidR="00E15E1B">
        <w:t xml:space="preserve"> </w:t>
      </w:r>
      <w:r>
        <w:t>involving</w:t>
      </w:r>
      <w:r w:rsidR="00E15E1B">
        <w:t xml:space="preserve"> </w:t>
      </w:r>
      <w:r>
        <w:t>consultation</w:t>
      </w:r>
      <w:r w:rsidR="00E15E1B">
        <w:t xml:space="preserve"> </w:t>
      </w:r>
      <w:r>
        <w:t>with</w:t>
      </w:r>
      <w:r w:rsidR="00E15E1B">
        <w:t xml:space="preserve"> </w:t>
      </w:r>
      <w:r>
        <w:t>service</w:t>
      </w:r>
      <w:r w:rsidR="00E15E1B">
        <w:t xml:space="preserve"> </w:t>
      </w:r>
      <w:r>
        <w:t>providers</w:t>
      </w:r>
      <w:r w:rsidR="00E15E1B">
        <w:t xml:space="preserve"> </w:t>
      </w:r>
      <w:r>
        <w:t>and</w:t>
      </w:r>
      <w:r w:rsidR="00E15E1B">
        <w:t xml:space="preserve"> </w:t>
      </w:r>
      <w:r>
        <w:t>other</w:t>
      </w:r>
      <w:r w:rsidR="00E15E1B">
        <w:t xml:space="preserve"> </w:t>
      </w:r>
      <w:r>
        <w:t>stakeholders.</w:t>
      </w:r>
      <w:r w:rsidR="00E15E1B">
        <w:t xml:space="preserve"> </w:t>
      </w:r>
      <w:r>
        <w:t>The</w:t>
      </w:r>
      <w:r w:rsidR="00E15E1B">
        <w:t xml:space="preserve"> </w:t>
      </w:r>
      <w:r>
        <w:t>integrated</w:t>
      </w:r>
      <w:r w:rsidR="00E15E1B">
        <w:t xml:space="preserve"> </w:t>
      </w:r>
      <w:r>
        <w:t>Tenancy</w:t>
      </w:r>
      <w:r w:rsidR="00E15E1B">
        <w:t xml:space="preserve"> </w:t>
      </w:r>
      <w:r>
        <w:t>and</w:t>
      </w:r>
      <w:r w:rsidR="00E15E1B">
        <w:t xml:space="preserve"> </w:t>
      </w:r>
      <w:r>
        <w:t>Consumer</w:t>
      </w:r>
      <w:r w:rsidR="00E15E1B">
        <w:t xml:space="preserve"> </w:t>
      </w:r>
      <w:r>
        <w:t>Program,</w:t>
      </w:r>
      <w:r w:rsidR="00E15E1B">
        <w:t xml:space="preserve"> </w:t>
      </w:r>
      <w:r>
        <w:t>launched</w:t>
      </w:r>
      <w:r w:rsidR="00E15E1B">
        <w:t xml:space="preserve"> </w:t>
      </w:r>
      <w:r>
        <w:t>in</w:t>
      </w:r>
      <w:r w:rsidR="00E15E1B">
        <w:t xml:space="preserve"> </w:t>
      </w:r>
      <w:r>
        <w:t>July</w:t>
      </w:r>
      <w:r w:rsidR="00E15E1B">
        <w:t xml:space="preserve"> </w:t>
      </w:r>
      <w:r>
        <w:t>2017,</w:t>
      </w:r>
      <w:r w:rsidR="00E15E1B">
        <w:t xml:space="preserve"> </w:t>
      </w:r>
      <w:r>
        <w:t>targets</w:t>
      </w:r>
      <w:r w:rsidR="00E15E1B">
        <w:t xml:space="preserve"> </w:t>
      </w:r>
      <w:r>
        <w:t>financially</w:t>
      </w:r>
      <w:r w:rsidR="00E15E1B">
        <w:t xml:space="preserve"> </w:t>
      </w:r>
      <w:r>
        <w:t>disadvantaged</w:t>
      </w:r>
      <w:r w:rsidR="00E15E1B">
        <w:t xml:space="preserve"> </w:t>
      </w:r>
      <w:r>
        <w:t>Victorians</w:t>
      </w:r>
      <w:r w:rsidR="00E15E1B">
        <w:t xml:space="preserve"> </w:t>
      </w:r>
      <w:r>
        <w:t>and</w:t>
      </w:r>
      <w:r w:rsidR="00E15E1B">
        <w:t xml:space="preserve"> </w:t>
      </w:r>
      <w:r>
        <w:t>those</w:t>
      </w:r>
      <w:r w:rsidR="00E15E1B">
        <w:t xml:space="preserve"> </w:t>
      </w:r>
      <w:r>
        <w:t>experiencing</w:t>
      </w:r>
      <w:r w:rsidR="00E15E1B">
        <w:t xml:space="preserve"> </w:t>
      </w:r>
      <w:r>
        <w:t>family</w:t>
      </w:r>
      <w:r w:rsidR="00E15E1B">
        <w:t xml:space="preserve"> </w:t>
      </w:r>
      <w:r>
        <w:t>violence.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program</w:t>
      </w:r>
      <w:r w:rsidR="00E15E1B">
        <w:t xml:space="preserve"> </w:t>
      </w:r>
      <w:r>
        <w:t>has</w:t>
      </w:r>
      <w:r w:rsidR="00E15E1B">
        <w:t xml:space="preserve"> </w:t>
      </w:r>
      <w:r>
        <w:t>four</w:t>
      </w:r>
      <w:r w:rsidR="00E15E1B">
        <w:t xml:space="preserve"> </w:t>
      </w:r>
      <w:r>
        <w:t>distinct</w:t>
      </w:r>
      <w:r w:rsidR="00E15E1B">
        <w:t xml:space="preserve"> </w:t>
      </w:r>
      <w:r>
        <w:t>components,</w:t>
      </w:r>
      <w:r w:rsidR="00E15E1B">
        <w:t xml:space="preserve"> </w:t>
      </w:r>
      <w:r>
        <w:t>providing:</w:t>
      </w:r>
    </w:p>
    <w:p w:rsidR="00156239" w:rsidRDefault="00156239" w:rsidP="00156239">
      <w:pPr>
        <w:pStyle w:val="ListBullet"/>
      </w:pPr>
      <w:r>
        <w:t>support</w:t>
      </w:r>
      <w:r w:rsidR="00E15E1B">
        <w:t xml:space="preserve"> </w:t>
      </w:r>
      <w:r>
        <w:t>to</w:t>
      </w:r>
      <w:r w:rsidR="00E15E1B">
        <w:t xml:space="preserve"> </w:t>
      </w:r>
      <w:r>
        <w:t>private</w:t>
      </w:r>
      <w:r w:rsidR="00E15E1B">
        <w:t xml:space="preserve"> </w:t>
      </w:r>
      <w:r>
        <w:t>tenants</w:t>
      </w:r>
      <w:r w:rsidR="00E15E1B">
        <w:t xml:space="preserve"> </w:t>
      </w:r>
      <w:r>
        <w:t>who</w:t>
      </w:r>
      <w:r w:rsidR="00E15E1B">
        <w:t xml:space="preserve"> </w:t>
      </w:r>
      <w:r>
        <w:t>are</w:t>
      </w:r>
      <w:r w:rsidR="00E15E1B">
        <w:t xml:space="preserve"> </w:t>
      </w:r>
      <w:r>
        <w:t>financially</w:t>
      </w:r>
      <w:r w:rsidR="00E15E1B">
        <w:t xml:space="preserve"> </w:t>
      </w:r>
      <w:r>
        <w:t>disadvantaged</w:t>
      </w:r>
      <w:r w:rsidR="00E15E1B">
        <w:t xml:space="preserve"> </w:t>
      </w:r>
      <w:r>
        <w:t>or</w:t>
      </w:r>
      <w:r w:rsidR="00E15E1B">
        <w:t xml:space="preserve"> </w:t>
      </w:r>
      <w:r>
        <w:t>victims</w:t>
      </w:r>
      <w:r w:rsidR="00E15E1B">
        <w:t xml:space="preserve"> </w:t>
      </w:r>
      <w:r>
        <w:t>of</w:t>
      </w:r>
      <w:r w:rsidR="00E15E1B">
        <w:t xml:space="preserve"> </w:t>
      </w:r>
      <w:r>
        <w:t>family</w:t>
      </w:r>
      <w:r w:rsidR="00E15E1B">
        <w:t xml:space="preserve"> </w:t>
      </w:r>
      <w:r>
        <w:t>violence,</w:t>
      </w:r>
      <w:r w:rsidR="00E15E1B">
        <w:t xml:space="preserve"> </w:t>
      </w:r>
      <w:r>
        <w:t>through</w:t>
      </w:r>
      <w:r w:rsidR="00E15E1B">
        <w:t xml:space="preserve"> </w:t>
      </w:r>
      <w:r>
        <w:t>the</w:t>
      </w:r>
      <w:r w:rsidR="00E15E1B">
        <w:t xml:space="preserve"> </w:t>
      </w:r>
      <w:r>
        <w:t>place-based</w:t>
      </w:r>
      <w:r w:rsidR="00E15E1B">
        <w:t xml:space="preserve"> </w:t>
      </w:r>
      <w:r>
        <w:t>Tenancy</w:t>
      </w:r>
      <w:r w:rsidR="00E15E1B">
        <w:t xml:space="preserve"> </w:t>
      </w:r>
      <w:r>
        <w:t>Assistance</w:t>
      </w:r>
      <w:r w:rsidR="00E15E1B">
        <w:t xml:space="preserve"> </w:t>
      </w:r>
      <w:r>
        <w:t>and</w:t>
      </w:r>
      <w:r w:rsidR="00E15E1B">
        <w:t xml:space="preserve"> </w:t>
      </w:r>
      <w:r>
        <w:t>Advocacy</w:t>
      </w:r>
      <w:r w:rsidR="00E15E1B">
        <w:t xml:space="preserve"> </w:t>
      </w:r>
      <w:r>
        <w:t>Program</w:t>
      </w:r>
      <w:r w:rsidR="00E15E1B">
        <w:t xml:space="preserve"> </w:t>
      </w:r>
      <w:r>
        <w:t>(TAAP)</w:t>
      </w:r>
    </w:p>
    <w:p w:rsidR="00156239" w:rsidRDefault="00156239" w:rsidP="00156239">
      <w:pPr>
        <w:pStyle w:val="ListBullet"/>
      </w:pPr>
      <w:r>
        <w:t>expert</w:t>
      </w:r>
      <w:r w:rsidR="00E15E1B">
        <w:t xml:space="preserve"> </w:t>
      </w:r>
      <w:r>
        <w:t>tenancy</w:t>
      </w:r>
      <w:r w:rsidR="00E15E1B">
        <w:t xml:space="preserve"> </w:t>
      </w:r>
      <w:r>
        <w:t>legal</w:t>
      </w:r>
      <w:r w:rsidR="00E15E1B">
        <w:t xml:space="preserve"> </w:t>
      </w:r>
      <w:r>
        <w:t>advice</w:t>
      </w:r>
      <w:r w:rsidR="00E15E1B">
        <w:t xml:space="preserve"> </w:t>
      </w:r>
      <w:r>
        <w:t>and</w:t>
      </w:r>
      <w:r w:rsidR="00E15E1B">
        <w:t xml:space="preserve"> </w:t>
      </w:r>
      <w:r>
        <w:t>professional</w:t>
      </w:r>
      <w:r w:rsidR="00E15E1B">
        <w:t xml:space="preserve"> </w:t>
      </w:r>
      <w:r>
        <w:t>development</w:t>
      </w:r>
      <w:r w:rsidR="00E15E1B">
        <w:t xml:space="preserve"> </w:t>
      </w:r>
      <w:r>
        <w:t>for</w:t>
      </w:r>
      <w:r w:rsidR="00E15E1B">
        <w:t xml:space="preserve"> </w:t>
      </w:r>
      <w:r>
        <w:t>tenancy</w:t>
      </w:r>
      <w:r w:rsidR="00E15E1B">
        <w:t xml:space="preserve"> </w:t>
      </w:r>
      <w:r>
        <w:t>workers</w:t>
      </w:r>
      <w:r w:rsidR="00E15E1B">
        <w:t xml:space="preserve"> </w:t>
      </w:r>
      <w:r>
        <w:t>assisting</w:t>
      </w:r>
      <w:r w:rsidR="00E15E1B">
        <w:t xml:space="preserve"> </w:t>
      </w:r>
      <w:r>
        <w:t>private</w:t>
      </w:r>
      <w:r w:rsidR="00E15E1B">
        <w:t xml:space="preserve"> </w:t>
      </w:r>
      <w:r>
        <w:t>tenants,</w:t>
      </w:r>
      <w:r w:rsidR="00E15E1B">
        <w:t xml:space="preserve"> </w:t>
      </w:r>
      <w:r>
        <w:t>through</w:t>
      </w:r>
      <w:r w:rsidR="00E15E1B">
        <w:t xml:space="preserve"> </w:t>
      </w:r>
      <w:r>
        <w:t>the</w:t>
      </w:r>
      <w:r w:rsidR="00E15E1B">
        <w:t xml:space="preserve"> </w:t>
      </w:r>
      <w:r>
        <w:t>Tenancy</w:t>
      </w:r>
      <w:r w:rsidR="00E15E1B">
        <w:t xml:space="preserve"> </w:t>
      </w:r>
      <w:r>
        <w:t>Central</w:t>
      </w:r>
      <w:r w:rsidR="00E15E1B">
        <w:t xml:space="preserve"> </w:t>
      </w:r>
      <w:r>
        <w:t>Service</w:t>
      </w:r>
    </w:p>
    <w:p w:rsidR="00156239" w:rsidRDefault="00156239" w:rsidP="00156239">
      <w:pPr>
        <w:pStyle w:val="ListBullet"/>
      </w:pPr>
      <w:r>
        <w:t>assistance</w:t>
      </w:r>
      <w:r w:rsidR="00E15E1B">
        <w:t xml:space="preserve"> </w:t>
      </w:r>
      <w:r>
        <w:t>to</w:t>
      </w:r>
      <w:r w:rsidR="00E15E1B">
        <w:t xml:space="preserve"> </w:t>
      </w:r>
      <w:r>
        <w:t>vulnerable</w:t>
      </w:r>
      <w:r w:rsidR="00E15E1B">
        <w:t xml:space="preserve"> </w:t>
      </w:r>
      <w:r>
        <w:t>older</w:t>
      </w:r>
      <w:r w:rsidR="00E15E1B">
        <w:t xml:space="preserve"> </w:t>
      </w:r>
      <w:r>
        <w:t>Victorians</w:t>
      </w:r>
      <w:r w:rsidR="00E15E1B">
        <w:t xml:space="preserve"> </w:t>
      </w:r>
      <w:r>
        <w:t>living</w:t>
      </w:r>
      <w:r w:rsidR="00E15E1B">
        <w:t xml:space="preserve"> </w:t>
      </w:r>
      <w:r>
        <w:t>in</w:t>
      </w:r>
      <w:r w:rsidR="00E15E1B">
        <w:t xml:space="preserve"> </w:t>
      </w:r>
      <w:r>
        <w:t>retirement</w:t>
      </w:r>
      <w:r w:rsidR="00E15E1B">
        <w:t xml:space="preserve"> </w:t>
      </w:r>
      <w:r>
        <w:t>housing,</w:t>
      </w:r>
      <w:r w:rsidR="00E15E1B">
        <w:t xml:space="preserve"> </w:t>
      </w:r>
      <w:r>
        <w:t>through</w:t>
      </w:r>
      <w:r w:rsidR="00E15E1B">
        <w:t xml:space="preserve"> </w:t>
      </w:r>
      <w:r>
        <w:t>the</w:t>
      </w:r>
      <w:r w:rsidR="00E15E1B">
        <w:t xml:space="preserve"> </w:t>
      </w:r>
      <w:r>
        <w:t>Retirement</w:t>
      </w:r>
      <w:r w:rsidR="00E15E1B">
        <w:t xml:space="preserve"> </w:t>
      </w:r>
      <w:r>
        <w:t>Housing</w:t>
      </w:r>
      <w:r w:rsidR="00E15E1B">
        <w:t xml:space="preserve"> </w:t>
      </w:r>
      <w:r>
        <w:t>Assistance</w:t>
      </w:r>
      <w:r w:rsidR="00E15E1B">
        <w:t xml:space="preserve"> </w:t>
      </w:r>
      <w:r>
        <w:t>and</w:t>
      </w:r>
      <w:r w:rsidR="00E15E1B">
        <w:t xml:space="preserve"> </w:t>
      </w:r>
      <w:r>
        <w:t>Advocacy</w:t>
      </w:r>
      <w:r w:rsidR="00E15E1B">
        <w:t xml:space="preserve"> </w:t>
      </w:r>
      <w:r>
        <w:t>Program</w:t>
      </w:r>
    </w:p>
    <w:p w:rsidR="00156239" w:rsidRDefault="00156239" w:rsidP="00156239">
      <w:pPr>
        <w:pStyle w:val="ListBullet"/>
      </w:pPr>
      <w:r>
        <w:t>a</w:t>
      </w:r>
      <w:r w:rsidR="00E15E1B">
        <w:t xml:space="preserve"> </w:t>
      </w:r>
      <w:r>
        <w:t>consumer</w:t>
      </w:r>
      <w:r w:rsidR="00E15E1B">
        <w:t xml:space="preserve"> </w:t>
      </w:r>
      <w:r>
        <w:t>service</w:t>
      </w:r>
      <w:r w:rsidR="00E15E1B">
        <w:t xml:space="preserve"> </w:t>
      </w:r>
      <w:r>
        <w:t>focusing</w:t>
      </w:r>
      <w:r w:rsidR="00E15E1B">
        <w:t xml:space="preserve"> </w:t>
      </w:r>
      <w:r>
        <w:t>on</w:t>
      </w:r>
      <w:r w:rsidR="00E15E1B">
        <w:t xml:space="preserve"> </w:t>
      </w:r>
      <w:r>
        <w:t>systemic</w:t>
      </w:r>
      <w:r w:rsidR="00E15E1B">
        <w:t xml:space="preserve"> </w:t>
      </w:r>
      <w:r>
        <w:t>and</w:t>
      </w:r>
      <w:r w:rsidR="00E15E1B">
        <w:t xml:space="preserve"> </w:t>
      </w:r>
      <w:r>
        <w:t>emerging</w:t>
      </w:r>
      <w:r w:rsidR="00E15E1B">
        <w:t xml:space="preserve"> </w:t>
      </w:r>
      <w:r>
        <w:t>consumer</w:t>
      </w:r>
      <w:r w:rsidR="00E15E1B">
        <w:t xml:space="preserve"> </w:t>
      </w:r>
      <w:r>
        <w:t>issues</w:t>
      </w:r>
      <w:r w:rsidR="00E15E1B">
        <w:t xml:space="preserve"> </w:t>
      </w:r>
      <w:r>
        <w:t>impacting</w:t>
      </w:r>
      <w:r w:rsidR="00E15E1B">
        <w:t xml:space="preserve"> </w:t>
      </w:r>
      <w:r>
        <w:t>vulnerable</w:t>
      </w:r>
      <w:r w:rsidR="00E15E1B">
        <w:t xml:space="preserve"> </w:t>
      </w:r>
      <w:r>
        <w:t>Victorians,</w:t>
      </w:r>
      <w:r w:rsidR="00E15E1B">
        <w:t xml:space="preserve"> </w:t>
      </w:r>
      <w:r>
        <w:t>through</w:t>
      </w:r>
      <w:r w:rsidR="00E15E1B">
        <w:t xml:space="preserve"> </w:t>
      </w:r>
      <w:r>
        <w:t>the</w:t>
      </w:r>
      <w:r w:rsidR="00E15E1B">
        <w:t xml:space="preserve"> </w:t>
      </w:r>
      <w:r>
        <w:t>Consumer</w:t>
      </w:r>
      <w:r w:rsidR="00E15E1B">
        <w:t xml:space="preserve"> </w:t>
      </w:r>
      <w:r>
        <w:t>Assistance</w:t>
      </w:r>
      <w:r w:rsidR="00E15E1B">
        <w:t xml:space="preserve"> </w:t>
      </w:r>
      <w:r>
        <w:t>and</w:t>
      </w:r>
      <w:r w:rsidR="00E15E1B">
        <w:t xml:space="preserve"> </w:t>
      </w:r>
      <w:r>
        <w:t>Advocacy</w:t>
      </w:r>
      <w:r w:rsidR="00E15E1B">
        <w:t xml:space="preserve"> </w:t>
      </w:r>
      <w:r>
        <w:t>Program.</w:t>
      </w:r>
    </w:p>
    <w:p w:rsidR="00156239" w:rsidRDefault="00156239" w:rsidP="00156239">
      <w:pPr>
        <w:pStyle w:val="BodyText"/>
      </w:pPr>
      <w:r>
        <w:t>As</w:t>
      </w:r>
      <w:r w:rsidR="00E15E1B">
        <w:t xml:space="preserve"> </w:t>
      </w:r>
      <w:r>
        <w:t>funding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advocacy</w:t>
      </w:r>
      <w:r w:rsidR="00E15E1B">
        <w:t xml:space="preserve"> </w:t>
      </w:r>
      <w:r>
        <w:t>services</w:t>
      </w:r>
      <w:r w:rsidR="00E15E1B">
        <w:t xml:space="preserve"> </w:t>
      </w:r>
      <w:r>
        <w:t>increased</w:t>
      </w:r>
      <w:r w:rsidR="00E15E1B">
        <w:t xml:space="preserve"> </w:t>
      </w:r>
      <w:r>
        <w:t>by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$1</w:t>
      </w:r>
      <w:r w:rsidR="00E15E1B">
        <w:t xml:space="preserve"> </w:t>
      </w:r>
      <w:r>
        <w:t>million</w:t>
      </w:r>
      <w:r w:rsidR="00E15E1B">
        <w:t xml:space="preserve"> </w:t>
      </w:r>
      <w:r>
        <w:t>in</w:t>
      </w:r>
      <w:r w:rsidR="00E15E1B">
        <w:t xml:space="preserve"> </w:t>
      </w:r>
      <w:r>
        <w:t>2017–18,</w:t>
      </w:r>
      <w:r w:rsidR="00E15E1B">
        <w:t xml:space="preserve"> </w:t>
      </w:r>
      <w:r>
        <w:t>we</w:t>
      </w:r>
      <w:r w:rsidR="00E15E1B">
        <w:t xml:space="preserve"> </w:t>
      </w:r>
      <w:r>
        <w:t>supported</w:t>
      </w:r>
      <w:r w:rsidR="00E15E1B">
        <w:t xml:space="preserve"> </w:t>
      </w:r>
      <w:r>
        <w:t>over</w:t>
      </w:r>
      <w:r w:rsidR="00E15E1B">
        <w:t xml:space="preserve"> </w:t>
      </w:r>
      <w:r>
        <w:t>7,800</w:t>
      </w:r>
      <w:r w:rsidR="00E15E1B">
        <w:t xml:space="preserve"> </w:t>
      </w:r>
      <w:r>
        <w:t>vulnerable</w:t>
      </w:r>
      <w:r w:rsidR="00E15E1B">
        <w:t xml:space="preserve"> </w:t>
      </w:r>
      <w:r>
        <w:t>and</w:t>
      </w:r>
      <w:r w:rsidR="00E15E1B">
        <w:t xml:space="preserve"> </w:t>
      </w:r>
      <w:r>
        <w:t>disadvantaged</w:t>
      </w:r>
      <w:r w:rsidR="00E15E1B">
        <w:t xml:space="preserve"> </w:t>
      </w:r>
      <w:r>
        <w:t>Victorians</w:t>
      </w:r>
      <w:r w:rsidR="00E15E1B">
        <w:t xml:space="preserve"> </w:t>
      </w:r>
      <w:r>
        <w:t>through</w:t>
      </w:r>
      <w:r w:rsidR="00E15E1B">
        <w:t xml:space="preserve"> </w:t>
      </w:r>
      <w:r>
        <w:t>our</w:t>
      </w:r>
      <w:r w:rsidR="00E15E1B">
        <w:t xml:space="preserve"> </w:t>
      </w:r>
      <w:r>
        <w:t>tenancy</w:t>
      </w:r>
      <w:r w:rsidR="00E15E1B">
        <w:t xml:space="preserve"> </w:t>
      </w:r>
      <w:r>
        <w:t>and</w:t>
      </w:r>
      <w:r w:rsidR="00E15E1B">
        <w:t xml:space="preserve"> </w:t>
      </w:r>
      <w:r>
        <w:t>consumer</w:t>
      </w:r>
      <w:r w:rsidR="00E15E1B">
        <w:t xml:space="preserve"> </w:t>
      </w:r>
      <w:r>
        <w:t>advocacy</w:t>
      </w:r>
      <w:r w:rsidR="00E15E1B">
        <w:t xml:space="preserve"> </w:t>
      </w:r>
      <w:r>
        <w:t>services,</w:t>
      </w:r>
      <w:r w:rsidR="00E15E1B">
        <w:t xml:space="preserve"> </w:t>
      </w:r>
      <w:r>
        <w:t>up</w:t>
      </w:r>
      <w:r w:rsidR="00E15E1B">
        <w:t xml:space="preserve"> </w:t>
      </w:r>
      <w:r>
        <w:t>from</w:t>
      </w:r>
      <w:r w:rsidR="00E15E1B">
        <w:t xml:space="preserve"> </w:t>
      </w:r>
      <w:r>
        <w:t>6,600</w:t>
      </w:r>
      <w:r w:rsidR="00E15E1B">
        <w:t xml:space="preserve"> </w:t>
      </w:r>
      <w:r>
        <w:t>in</w:t>
      </w:r>
      <w:r w:rsidR="00E15E1B">
        <w:t xml:space="preserve"> </w:t>
      </w:r>
      <w:r>
        <w:t>2016–17.</w:t>
      </w:r>
      <w:r w:rsidR="00E15E1B">
        <w:t xml:space="preserve"> </w:t>
      </w:r>
      <w:r>
        <w:t>This</w:t>
      </w:r>
      <w:r w:rsidR="00E15E1B">
        <w:t xml:space="preserve"> </w:t>
      </w:r>
      <w:r>
        <w:t>includes</w:t>
      </w:r>
      <w:r w:rsidR="00E15E1B">
        <w:t xml:space="preserve"> </w:t>
      </w:r>
      <w:r>
        <w:t>intensive</w:t>
      </w:r>
      <w:r w:rsidR="00E15E1B">
        <w:t xml:space="preserve"> </w:t>
      </w:r>
      <w:r>
        <w:t>assistance</w:t>
      </w:r>
      <w:r w:rsidR="00E15E1B">
        <w:t xml:space="preserve"> </w:t>
      </w:r>
      <w:r>
        <w:t>to</w:t>
      </w:r>
      <w:r w:rsidR="00E15E1B">
        <w:t xml:space="preserve"> </w:t>
      </w:r>
      <w:r>
        <w:t>over</w:t>
      </w:r>
      <w:r w:rsidR="00E15E1B">
        <w:t xml:space="preserve"> </w:t>
      </w:r>
      <w:r>
        <w:t>6,800</w:t>
      </w:r>
      <w:r w:rsidR="00E15E1B">
        <w:t xml:space="preserve"> </w:t>
      </w:r>
      <w:r>
        <w:t>tenants</w:t>
      </w:r>
      <w:r w:rsidR="00E15E1B">
        <w:t xml:space="preserve"> </w:t>
      </w:r>
      <w:r>
        <w:t>through</w:t>
      </w:r>
      <w:r w:rsidR="00E15E1B">
        <w:t xml:space="preserve"> </w:t>
      </w:r>
      <w:r>
        <w:t>TAAP.</w:t>
      </w:r>
    </w:p>
    <w:p w:rsidR="009A28FC" w:rsidRPr="009A28FC" w:rsidRDefault="009A28FC" w:rsidP="009A28FC">
      <w:pPr>
        <w:pStyle w:val="BodyText"/>
      </w:pPr>
      <w:r w:rsidRPr="009A28FC">
        <w:br w:type="page"/>
      </w:r>
    </w:p>
    <w:p w:rsidR="00156239" w:rsidRDefault="00156239" w:rsidP="00156239">
      <w:pPr>
        <w:pStyle w:val="Heading3"/>
      </w:pPr>
      <w:bookmarkStart w:id="15" w:name="_Toc525132665"/>
      <w:r>
        <w:lastRenderedPageBreak/>
        <w:t>Goal</w:t>
      </w:r>
      <w:r w:rsidR="00E15E1B">
        <w:t xml:space="preserve"> </w:t>
      </w:r>
      <w:r>
        <w:t>4:</w:t>
      </w:r>
      <w:r w:rsidR="00E15E1B">
        <w:t xml:space="preserve"> </w:t>
      </w:r>
      <w:r>
        <w:t>A</w:t>
      </w:r>
      <w:r w:rsidR="00E15E1B">
        <w:t xml:space="preserve"> </w:t>
      </w:r>
      <w:r>
        <w:t>modern</w:t>
      </w:r>
      <w:r w:rsidR="00E15E1B">
        <w:t xml:space="preserve"> </w:t>
      </w:r>
      <w:r>
        <w:t>and</w:t>
      </w:r>
      <w:r w:rsidR="00E15E1B">
        <w:t xml:space="preserve"> </w:t>
      </w:r>
      <w:r>
        <w:t>effective</w:t>
      </w:r>
      <w:r w:rsidR="00E15E1B">
        <w:t xml:space="preserve"> </w:t>
      </w:r>
      <w:r>
        <w:t>consumer</w:t>
      </w:r>
      <w:r w:rsidR="00E15E1B">
        <w:t xml:space="preserve"> </w:t>
      </w:r>
      <w:r>
        <w:t>law</w:t>
      </w:r>
      <w:r w:rsidR="00E15E1B">
        <w:t xml:space="preserve"> </w:t>
      </w:r>
      <w:r>
        <w:t>framework</w:t>
      </w:r>
      <w:bookmarkEnd w:id="15"/>
    </w:p>
    <w:p w:rsidR="00156239" w:rsidRDefault="00156239" w:rsidP="00156239">
      <w:pPr>
        <w:pStyle w:val="BodyText"/>
      </w:pPr>
      <w:r>
        <w:t>To</w:t>
      </w:r>
      <w:r w:rsidR="00E15E1B">
        <w:t xml:space="preserve"> </w:t>
      </w:r>
      <w:r>
        <w:t>be</w:t>
      </w:r>
      <w:r w:rsidR="00E15E1B">
        <w:t xml:space="preserve"> </w:t>
      </w:r>
      <w:r>
        <w:t>an</w:t>
      </w:r>
      <w:r w:rsidR="00E15E1B">
        <w:t xml:space="preserve"> </w:t>
      </w:r>
      <w:r>
        <w:t>effective</w:t>
      </w:r>
      <w:r w:rsidR="00E15E1B">
        <w:t xml:space="preserve"> </w:t>
      </w:r>
      <w:r>
        <w:t>regulator,</w:t>
      </w:r>
      <w:r w:rsidR="00E15E1B">
        <w:t xml:space="preserve"> </w:t>
      </w:r>
      <w:r>
        <w:t>our</w:t>
      </w:r>
      <w:r w:rsidR="00E15E1B">
        <w:t xml:space="preserve"> </w:t>
      </w:r>
      <w:r>
        <w:t>consumer</w:t>
      </w:r>
      <w:r w:rsidR="00E15E1B">
        <w:t xml:space="preserve"> </w:t>
      </w:r>
      <w:r>
        <w:t>law</w:t>
      </w:r>
      <w:r w:rsidR="00E15E1B">
        <w:t xml:space="preserve"> </w:t>
      </w:r>
      <w:r>
        <w:t>framework</w:t>
      </w:r>
      <w:r w:rsidR="00E15E1B">
        <w:t xml:space="preserve"> </w:t>
      </w:r>
      <w:r>
        <w:t>must</w:t>
      </w:r>
      <w:r w:rsidR="00E15E1B">
        <w:t xml:space="preserve"> </w:t>
      </w:r>
      <w:r>
        <w:t>continue</w:t>
      </w:r>
      <w:r w:rsidR="00E15E1B">
        <w:t xml:space="preserve"> </w:t>
      </w:r>
      <w:r>
        <w:t>to</w:t>
      </w:r>
      <w:r w:rsidR="00E15E1B">
        <w:t xml:space="preserve"> </w:t>
      </w:r>
      <w:r>
        <w:t>evolve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changing</w:t>
      </w:r>
      <w:r w:rsidR="00E15E1B">
        <w:t xml:space="preserve"> </w:t>
      </w:r>
      <w:r>
        <w:t>market.</w:t>
      </w:r>
      <w:r w:rsidR="00E15E1B">
        <w:t xml:space="preserve"> </w:t>
      </w:r>
      <w:r>
        <w:t>We</w:t>
      </w:r>
      <w:r w:rsidR="00E15E1B">
        <w:t xml:space="preserve"> </w:t>
      </w:r>
      <w:r>
        <w:t>lead</w:t>
      </w:r>
      <w:r w:rsidR="00E15E1B">
        <w:t xml:space="preserve"> </w:t>
      </w:r>
      <w:r>
        <w:t>and</w:t>
      </w:r>
      <w:r w:rsidR="00E15E1B">
        <w:t xml:space="preserve"> </w:t>
      </w:r>
      <w:r>
        <w:t>participate</w:t>
      </w:r>
      <w:r w:rsidR="00E15E1B">
        <w:t xml:space="preserve"> </w:t>
      </w:r>
      <w:r>
        <w:t>in</w:t>
      </w:r>
      <w:r w:rsidR="00E15E1B">
        <w:t xml:space="preserve"> </w:t>
      </w:r>
      <w:r>
        <w:t>policy</w:t>
      </w:r>
      <w:r w:rsidR="00E15E1B">
        <w:t xml:space="preserve"> </w:t>
      </w:r>
      <w:r>
        <w:t>and</w:t>
      </w:r>
      <w:r w:rsidR="00E15E1B">
        <w:t xml:space="preserve"> </w:t>
      </w:r>
      <w:r>
        <w:t>legislative</w:t>
      </w:r>
      <w:r w:rsidR="00E15E1B">
        <w:t xml:space="preserve"> </w:t>
      </w:r>
      <w:r>
        <w:t>reviews</w:t>
      </w:r>
      <w:r w:rsidR="00E15E1B">
        <w:t xml:space="preserve"> </w:t>
      </w:r>
      <w:r>
        <w:t>and</w:t>
      </w:r>
      <w:r w:rsidR="00E15E1B">
        <w:t xml:space="preserve"> </w:t>
      </w:r>
      <w:r>
        <w:t>work</w:t>
      </w:r>
      <w:r w:rsidR="00E15E1B">
        <w:t xml:space="preserve"> </w:t>
      </w:r>
      <w:r>
        <w:t>in</w:t>
      </w:r>
      <w:r w:rsidR="00E15E1B">
        <w:t xml:space="preserve"> </w:t>
      </w:r>
      <w:r>
        <w:t>partnership</w:t>
      </w:r>
      <w:r w:rsidR="00E15E1B">
        <w:t xml:space="preserve"> </w:t>
      </w:r>
      <w:r>
        <w:t>with</w:t>
      </w:r>
      <w:r w:rsidR="00E15E1B">
        <w:t xml:space="preserve"> </w:t>
      </w:r>
      <w:r>
        <w:t>other</w:t>
      </w:r>
      <w:r w:rsidR="00E15E1B">
        <w:t xml:space="preserve"> </w:t>
      </w:r>
      <w:r>
        <w:t>regulators</w:t>
      </w:r>
      <w:r w:rsidR="00E15E1B">
        <w:t xml:space="preserve"> </w:t>
      </w:r>
      <w:r>
        <w:t>and</w:t>
      </w:r>
      <w:r w:rsidR="00E15E1B">
        <w:t xml:space="preserve"> </w:t>
      </w:r>
      <w:r>
        <w:t>organisations,</w:t>
      </w:r>
      <w:r w:rsidR="00E15E1B">
        <w:t xml:space="preserve"> </w:t>
      </w:r>
      <w:r>
        <w:t>to</w:t>
      </w:r>
      <w:r w:rsidR="00E15E1B">
        <w:t xml:space="preserve"> </w:t>
      </w:r>
      <w:r>
        <w:t>ensure</w:t>
      </w:r>
      <w:r w:rsidR="00E15E1B">
        <w:t xml:space="preserve"> </w:t>
      </w:r>
      <w:r>
        <w:t>our</w:t>
      </w:r>
      <w:r w:rsidR="00E15E1B">
        <w:t xml:space="preserve"> </w:t>
      </w:r>
      <w:r>
        <w:t>consumer</w:t>
      </w:r>
      <w:r w:rsidR="00E15E1B">
        <w:t xml:space="preserve"> </w:t>
      </w:r>
      <w:r>
        <w:t>law</w:t>
      </w:r>
      <w:r w:rsidR="00E15E1B">
        <w:t xml:space="preserve"> </w:t>
      </w:r>
      <w:r>
        <w:t>framework</w:t>
      </w:r>
      <w:r w:rsidR="00E15E1B">
        <w:t xml:space="preserve"> </w:t>
      </w:r>
      <w:r>
        <w:t>supports</w:t>
      </w:r>
      <w:r w:rsidR="00E15E1B">
        <w:t xml:space="preserve"> </w:t>
      </w:r>
      <w:r>
        <w:t>a</w:t>
      </w:r>
      <w:r w:rsidR="00E15E1B">
        <w:t xml:space="preserve"> </w:t>
      </w:r>
      <w:r>
        <w:t>fair</w:t>
      </w:r>
      <w:r w:rsidR="00E15E1B">
        <w:t xml:space="preserve"> </w:t>
      </w:r>
      <w:r>
        <w:t>and</w:t>
      </w:r>
      <w:r w:rsidR="00E15E1B">
        <w:t xml:space="preserve"> </w:t>
      </w:r>
      <w:r>
        <w:t>competitive</w:t>
      </w:r>
      <w:r w:rsidR="00E15E1B">
        <w:t xml:space="preserve"> </w:t>
      </w:r>
      <w:r>
        <w:t>marketplace.</w:t>
      </w:r>
    </w:p>
    <w:p w:rsidR="00156239" w:rsidRDefault="00156239" w:rsidP="00156239">
      <w:pPr>
        <w:pStyle w:val="Heading4"/>
      </w:pPr>
      <w:r>
        <w:t>Highlights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</w:t>
      </w:r>
      <w:r w:rsidR="00E15E1B">
        <w:t xml:space="preserve"> </w:t>
      </w:r>
      <w:r>
        <w:t>introduced</w:t>
      </w:r>
      <w:r w:rsidR="00E15E1B">
        <w:t xml:space="preserve"> </w:t>
      </w:r>
      <w:r>
        <w:t>new</w:t>
      </w:r>
      <w:r w:rsidR="00E15E1B">
        <w:t xml:space="preserve"> </w:t>
      </w:r>
      <w:r>
        <w:t>laws</w:t>
      </w:r>
      <w:r w:rsidR="00E15E1B">
        <w:t xml:space="preserve"> </w:t>
      </w:r>
      <w:r>
        <w:t>banning</w:t>
      </w:r>
      <w:r w:rsidR="00E15E1B">
        <w:t xml:space="preserve"> </w:t>
      </w:r>
      <w:r>
        <w:t>cash</w:t>
      </w:r>
      <w:r w:rsidR="00E15E1B">
        <w:t xml:space="preserve"> </w:t>
      </w:r>
      <w:r>
        <w:t>for</w:t>
      </w:r>
      <w:r w:rsidR="00E15E1B">
        <w:t xml:space="preserve"> </w:t>
      </w:r>
      <w:r>
        <w:t>scrap</w:t>
      </w:r>
      <w:r w:rsidR="00E15E1B">
        <w:t xml:space="preserve"> </w:t>
      </w:r>
      <w:r>
        <w:t>metal</w:t>
      </w:r>
      <w:r w:rsidR="00E15E1B">
        <w:t xml:space="preserve"> </w:t>
      </w:r>
      <w:r>
        <w:t>when</w:t>
      </w:r>
      <w:r w:rsidR="00E15E1B">
        <w:t xml:space="preserve"> </w:t>
      </w:r>
      <w:r>
        <w:t>reforms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Second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Hand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Dealers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and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Pawnbrokers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1989</w:t>
      </w:r>
      <w:r w:rsidR="00E15E1B">
        <w:t xml:space="preserve"> </w:t>
      </w:r>
      <w:r>
        <w:t>and</w:t>
      </w:r>
      <w:r w:rsidR="00E15E1B">
        <w:t xml:space="preserve"> </w:t>
      </w:r>
      <w:r>
        <w:t>the</w:t>
      </w:r>
      <w:r w:rsidR="00E15E1B">
        <w:t xml:space="preserve"> </w:t>
      </w:r>
      <w:r>
        <w:t>Second</w:t>
      </w:r>
      <w:r w:rsidR="00E15E1B">
        <w:t xml:space="preserve"> </w:t>
      </w:r>
      <w:r>
        <w:t>Hand</w:t>
      </w:r>
      <w:r w:rsidR="00E15E1B">
        <w:t xml:space="preserve"> </w:t>
      </w:r>
      <w:r>
        <w:t>Dealers</w:t>
      </w:r>
      <w:r w:rsidR="00E15E1B">
        <w:t xml:space="preserve"> </w:t>
      </w:r>
      <w:r>
        <w:t>and</w:t>
      </w:r>
      <w:r w:rsidR="00E15E1B">
        <w:t xml:space="preserve"> </w:t>
      </w:r>
      <w:r>
        <w:t>Pawnbrokers</w:t>
      </w:r>
      <w:r w:rsidR="00E15E1B">
        <w:t xml:space="preserve"> </w:t>
      </w:r>
      <w:r>
        <w:t>Regulations</w:t>
      </w:r>
      <w:r w:rsidR="00E15E1B">
        <w:t xml:space="preserve"> </w:t>
      </w:r>
      <w:r>
        <w:t>2018</w:t>
      </w:r>
      <w:r w:rsidR="00E15E1B">
        <w:t xml:space="preserve"> </w:t>
      </w:r>
      <w:r>
        <w:t>came</w:t>
      </w:r>
      <w:r w:rsidR="00E15E1B">
        <w:t xml:space="preserve"> </w:t>
      </w:r>
      <w:r>
        <w:t>into</w:t>
      </w:r>
      <w:r w:rsidR="00E15E1B">
        <w:t xml:space="preserve"> </w:t>
      </w:r>
      <w:r>
        <w:t>effect</w:t>
      </w:r>
      <w:r w:rsidR="00E15E1B">
        <w:t xml:space="preserve"> </w:t>
      </w:r>
      <w:r>
        <w:t>in</w:t>
      </w:r>
      <w:r w:rsidR="00E15E1B">
        <w:t xml:space="preserve"> </w:t>
      </w:r>
      <w:r>
        <w:t>May</w:t>
      </w:r>
      <w:r w:rsidR="00E15E1B">
        <w:t xml:space="preserve"> </w:t>
      </w:r>
      <w:r>
        <w:t>2018.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completed</w:t>
      </w:r>
      <w:r w:rsidR="00E15E1B">
        <w:t xml:space="preserve"> </w:t>
      </w:r>
      <w:r>
        <w:t>our</w:t>
      </w:r>
      <w:r w:rsidR="00E15E1B">
        <w:t xml:space="preserve"> </w:t>
      </w:r>
      <w:r>
        <w:t>extensive</w:t>
      </w:r>
      <w:r w:rsidR="00E15E1B">
        <w:t xml:space="preserve"> </w:t>
      </w:r>
      <w:r>
        <w:t>review</w:t>
      </w:r>
      <w:r w:rsidR="00E15E1B">
        <w:t xml:space="preserve"> </w:t>
      </w:r>
      <w:r>
        <w:t>of</w:t>
      </w:r>
      <w:r w:rsidR="00E15E1B">
        <w:t xml:space="preserve"> </w:t>
      </w:r>
      <w:r>
        <w:t>a</w:t>
      </w:r>
      <w:r w:rsidR="00E15E1B">
        <w:t xml:space="preserve"> </w:t>
      </w:r>
      <w:r>
        <w:t>number</w:t>
      </w:r>
      <w:r w:rsidR="00E15E1B">
        <w:t xml:space="preserve"> </w:t>
      </w:r>
      <w:r>
        <w:t>of</w:t>
      </w:r>
      <w:r w:rsidR="00E15E1B">
        <w:t xml:space="preserve"> </w:t>
      </w:r>
      <w:r>
        <w:t>consumer</w:t>
      </w:r>
      <w:r w:rsidR="00E15E1B">
        <w:t xml:space="preserve"> </w:t>
      </w:r>
      <w:r>
        <w:t>property</w:t>
      </w:r>
      <w:r w:rsidR="00E15E1B">
        <w:t xml:space="preserve"> </w:t>
      </w:r>
      <w:r>
        <w:t>law</w:t>
      </w:r>
      <w:r w:rsidR="00E15E1B">
        <w:t xml:space="preserve"> </w:t>
      </w:r>
      <w:r>
        <w:t>Acts,</w:t>
      </w:r>
      <w:r w:rsidR="00E15E1B">
        <w:t xml:space="preserve"> </w:t>
      </w:r>
      <w:r>
        <w:t>which</w:t>
      </w:r>
      <w:r w:rsidR="00E15E1B">
        <w:t xml:space="preserve"> </w:t>
      </w:r>
      <w:r>
        <w:t>had</w:t>
      </w:r>
      <w:r w:rsidR="00E15E1B">
        <w:t xml:space="preserve"> </w:t>
      </w:r>
      <w:r>
        <w:t>been</w:t>
      </w:r>
      <w:r w:rsidR="00E15E1B">
        <w:t xml:space="preserve"> </w:t>
      </w:r>
      <w:r>
        <w:t>underway</w:t>
      </w:r>
      <w:r w:rsidR="00E15E1B">
        <w:t xml:space="preserve"> </w:t>
      </w:r>
      <w:r>
        <w:t>since</w:t>
      </w:r>
      <w:r w:rsidR="00E15E1B">
        <w:t xml:space="preserve"> </w:t>
      </w:r>
      <w:r>
        <w:t>2015.</w:t>
      </w:r>
      <w:r w:rsidR="00E15E1B">
        <w:t xml:space="preserve"> </w:t>
      </w:r>
      <w:r>
        <w:t>In</w:t>
      </w:r>
      <w:r w:rsidR="00E15E1B">
        <w:t xml:space="preserve"> </w:t>
      </w:r>
      <w:r>
        <w:t>addition,</w:t>
      </w:r>
      <w:r w:rsidR="00E15E1B">
        <w:t xml:space="preserve"> </w:t>
      </w:r>
      <w:r>
        <w:t>a</w:t>
      </w:r>
      <w:r w:rsidR="00E15E1B">
        <w:t xml:space="preserve"> </w:t>
      </w:r>
      <w:r>
        <w:t>significant</w:t>
      </w:r>
      <w:r w:rsidR="00E15E1B">
        <w:t xml:space="preserve"> </w:t>
      </w:r>
      <w:r>
        <w:t>and</w:t>
      </w:r>
      <w:r w:rsidR="00E15E1B">
        <w:t xml:space="preserve"> </w:t>
      </w:r>
      <w:r>
        <w:t>ambitious</w:t>
      </w:r>
      <w:r w:rsidR="00E15E1B">
        <w:t xml:space="preserve"> </w:t>
      </w:r>
      <w:r>
        <w:t>forward</w:t>
      </w:r>
      <w:r w:rsidR="00E15E1B">
        <w:t xml:space="preserve"> </w:t>
      </w:r>
      <w:r>
        <w:t>program</w:t>
      </w:r>
      <w:r w:rsidR="00E15E1B">
        <w:t xml:space="preserve"> </w:t>
      </w:r>
      <w:r>
        <w:t>of</w:t>
      </w:r>
      <w:r w:rsidR="00E15E1B">
        <w:t xml:space="preserve"> </w:t>
      </w:r>
      <w:r>
        <w:t>research</w:t>
      </w:r>
      <w:r w:rsidR="00E15E1B">
        <w:t xml:space="preserve"> </w:t>
      </w:r>
      <w:r>
        <w:t>and</w:t>
      </w:r>
      <w:r w:rsidR="00E15E1B">
        <w:t xml:space="preserve"> </w:t>
      </w:r>
      <w:r>
        <w:t>policy</w:t>
      </w:r>
      <w:r w:rsidR="00E15E1B">
        <w:t xml:space="preserve"> </w:t>
      </w:r>
      <w:r>
        <w:t>work</w:t>
      </w:r>
      <w:r w:rsidR="00E15E1B">
        <w:t xml:space="preserve"> </w:t>
      </w:r>
      <w:r>
        <w:t>for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agencies</w:t>
      </w:r>
      <w:r w:rsidR="00E15E1B">
        <w:t xml:space="preserve"> </w:t>
      </w:r>
      <w:r>
        <w:t>over</w:t>
      </w:r>
      <w:r w:rsidR="00E15E1B">
        <w:t xml:space="preserve"> </w:t>
      </w:r>
      <w:r>
        <w:t>the</w:t>
      </w:r>
      <w:r w:rsidR="00E15E1B">
        <w:t xml:space="preserve"> </w:t>
      </w:r>
      <w:r>
        <w:t>next</w:t>
      </w:r>
      <w:r w:rsidR="00E15E1B">
        <w:t xml:space="preserve"> </w:t>
      </w:r>
      <w:r>
        <w:t>four</w:t>
      </w:r>
      <w:r w:rsidR="00E15E1B">
        <w:t xml:space="preserve"> </w:t>
      </w:r>
      <w:r>
        <w:t>years</w:t>
      </w:r>
      <w:r w:rsidR="00E15E1B">
        <w:t xml:space="preserve"> </w:t>
      </w:r>
      <w:r>
        <w:t>was</w:t>
      </w:r>
      <w:r w:rsidR="00E15E1B">
        <w:t xml:space="preserve"> </w:t>
      </w:r>
      <w:r>
        <w:t>endorsed</w:t>
      </w:r>
      <w:r w:rsidR="00E15E1B">
        <w:t xml:space="preserve"> </w:t>
      </w:r>
      <w:r>
        <w:t>following</w:t>
      </w:r>
      <w:r w:rsidR="00E15E1B">
        <w:t xml:space="preserve"> </w:t>
      </w:r>
      <w:r>
        <w:t>the</w:t>
      </w:r>
      <w:r w:rsidR="00E15E1B">
        <w:t xml:space="preserve"> </w:t>
      </w:r>
      <w:r>
        <w:t>Australian</w:t>
      </w:r>
      <w:r w:rsidR="00E15E1B">
        <w:t xml:space="preserve"> </w:t>
      </w:r>
      <w:r>
        <w:t>Consumer</w:t>
      </w:r>
      <w:r w:rsidR="00E15E1B">
        <w:t xml:space="preserve"> </w:t>
      </w:r>
      <w:r>
        <w:t>Law</w:t>
      </w:r>
      <w:r w:rsidR="00E15E1B">
        <w:t xml:space="preserve"> </w:t>
      </w:r>
      <w:r>
        <w:t>review.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continued</w:t>
      </w:r>
      <w:r w:rsidR="00E15E1B">
        <w:t xml:space="preserve"> </w:t>
      </w:r>
      <w:r>
        <w:t>our</w:t>
      </w:r>
      <w:r w:rsidR="00E15E1B">
        <w:t xml:space="preserve"> </w:t>
      </w:r>
      <w:r>
        <w:t>work</w:t>
      </w:r>
      <w:r w:rsidR="00E15E1B">
        <w:t xml:space="preserve"> </w:t>
      </w:r>
      <w:r>
        <w:t>to</w:t>
      </w:r>
      <w:r w:rsidR="00E15E1B">
        <w:t xml:space="preserve"> </w:t>
      </w:r>
      <w:r>
        <w:t>better</w:t>
      </w:r>
      <w:r w:rsidR="00E15E1B">
        <w:t xml:space="preserve"> </w:t>
      </w:r>
      <w:r>
        <w:t>protect</w:t>
      </w:r>
      <w:r w:rsidR="00E15E1B">
        <w:t xml:space="preserve"> </w:t>
      </w:r>
      <w:r>
        <w:t>residents</w:t>
      </w:r>
      <w:r w:rsidR="00E15E1B">
        <w:t xml:space="preserve"> </w:t>
      </w:r>
      <w:r>
        <w:t>in</w:t>
      </w:r>
      <w:r w:rsidR="00E15E1B">
        <w:t xml:space="preserve"> </w:t>
      </w:r>
      <w:r>
        <w:t>high-rise</w:t>
      </w:r>
      <w:r w:rsidR="00E15E1B">
        <w:t xml:space="preserve"> </w:t>
      </w:r>
      <w:r>
        <w:t>apartment</w:t>
      </w:r>
      <w:r w:rsidR="00E15E1B">
        <w:t xml:space="preserve"> </w:t>
      </w:r>
      <w:r>
        <w:t>buildings</w:t>
      </w:r>
      <w:r w:rsidR="00E15E1B">
        <w:t xml:space="preserve"> </w:t>
      </w:r>
      <w:r>
        <w:t>from</w:t>
      </w:r>
      <w:r w:rsidR="00E15E1B">
        <w:t xml:space="preserve"> </w:t>
      </w:r>
      <w:r>
        <w:t>unruly</w:t>
      </w:r>
      <w:r w:rsidR="00E15E1B">
        <w:t xml:space="preserve"> </w:t>
      </w:r>
      <w:r>
        <w:t>short-stay</w:t>
      </w:r>
      <w:r w:rsidR="00E15E1B">
        <w:t xml:space="preserve"> </w:t>
      </w:r>
      <w:r>
        <w:t>parties.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are</w:t>
      </w:r>
      <w:r w:rsidR="00E15E1B">
        <w:t xml:space="preserve"> </w:t>
      </w:r>
      <w:r>
        <w:t>reviewing</w:t>
      </w:r>
      <w:r w:rsidR="00E15E1B">
        <w:t xml:space="preserve"> </w:t>
      </w:r>
      <w:r>
        <w:t>the</w:t>
      </w:r>
      <w:r w:rsidR="00E15E1B">
        <w:t xml:space="preserve"> </w:t>
      </w:r>
      <w:r>
        <w:t>recommendations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Parliamentary</w:t>
      </w:r>
      <w:r w:rsidR="00E15E1B">
        <w:t xml:space="preserve"> </w:t>
      </w:r>
      <w:r>
        <w:t>inquiry</w:t>
      </w:r>
      <w:r w:rsidR="00E15E1B">
        <w:t xml:space="preserve"> </w:t>
      </w:r>
      <w:r>
        <w:t>into</w:t>
      </w:r>
      <w:r w:rsidR="00E15E1B">
        <w:t xml:space="preserve"> </w:t>
      </w:r>
      <w:r>
        <w:t>fuel</w:t>
      </w:r>
      <w:r w:rsidR="00E15E1B">
        <w:t xml:space="preserve"> </w:t>
      </w:r>
      <w:r>
        <w:t>prices</w:t>
      </w:r>
      <w:r w:rsidR="00E15E1B">
        <w:t xml:space="preserve"> </w:t>
      </w:r>
      <w:r>
        <w:t>in</w:t>
      </w:r>
      <w:r w:rsidR="00E15E1B">
        <w:t xml:space="preserve"> </w:t>
      </w:r>
      <w:r>
        <w:t>regional</w:t>
      </w:r>
      <w:r w:rsidR="00E15E1B">
        <w:t xml:space="preserve"> </w:t>
      </w:r>
      <w:r>
        <w:t>Victoria</w:t>
      </w:r>
      <w:r w:rsidR="00E15E1B">
        <w:t xml:space="preserve"> </w:t>
      </w:r>
      <w:r>
        <w:t>and</w:t>
      </w:r>
      <w:r w:rsidR="00E15E1B">
        <w:t xml:space="preserve"> </w:t>
      </w:r>
      <w:r>
        <w:t>undertook</w:t>
      </w:r>
      <w:r w:rsidR="00E15E1B">
        <w:t xml:space="preserve"> </w:t>
      </w:r>
      <w:r>
        <w:t>significant</w:t>
      </w:r>
      <w:r w:rsidR="00E15E1B">
        <w:t xml:space="preserve"> </w:t>
      </w:r>
      <w:r>
        <w:t>activity</w:t>
      </w:r>
      <w:r w:rsidR="00E15E1B">
        <w:t xml:space="preserve"> </w:t>
      </w:r>
      <w:r>
        <w:t>in</w:t>
      </w:r>
      <w:r w:rsidR="00E15E1B">
        <w:t xml:space="preserve"> </w:t>
      </w:r>
      <w:r>
        <w:t>reviewing</w:t>
      </w:r>
      <w:r w:rsidR="00E15E1B">
        <w:t xml:space="preserve"> </w:t>
      </w:r>
      <w:r>
        <w:t>the</w:t>
      </w:r>
      <w:r w:rsidR="00E15E1B">
        <w:t xml:space="preserve"> </w:t>
      </w:r>
      <w:r>
        <w:t>retirement</w:t>
      </w:r>
      <w:r w:rsidR="00E15E1B">
        <w:t xml:space="preserve"> </w:t>
      </w:r>
      <w:r>
        <w:t>housing</w:t>
      </w:r>
      <w:r w:rsidR="00E15E1B">
        <w:t xml:space="preserve"> </w:t>
      </w:r>
      <w:r>
        <w:t>sector.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</w:t>
      </w:r>
      <w:r w:rsidR="00E15E1B">
        <w:t xml:space="preserve"> </w:t>
      </w:r>
      <w:r>
        <w:t>established</w:t>
      </w:r>
      <w:r w:rsidR="00E15E1B">
        <w:t xml:space="preserve"> </w:t>
      </w:r>
      <w:r>
        <w:t>the</w:t>
      </w:r>
      <w:r w:rsidR="00E15E1B">
        <w:t xml:space="preserve"> </w:t>
      </w:r>
      <w:r>
        <w:t>Consumer</w:t>
      </w:r>
      <w:r w:rsidR="00E15E1B">
        <w:t xml:space="preserve"> </w:t>
      </w:r>
      <w:r>
        <w:t>Policy</w:t>
      </w:r>
      <w:r w:rsidR="00E15E1B">
        <w:t xml:space="preserve"> </w:t>
      </w:r>
      <w:r>
        <w:t>Research</w:t>
      </w:r>
      <w:r w:rsidR="00E15E1B">
        <w:t xml:space="preserve"> </w:t>
      </w:r>
      <w:r>
        <w:t>Centre,</w:t>
      </w:r>
      <w:r w:rsidR="00E15E1B">
        <w:t xml:space="preserve"> </w:t>
      </w:r>
      <w:r>
        <w:t>dedicated</w:t>
      </w:r>
      <w:r w:rsidR="00E15E1B">
        <w:t xml:space="preserve"> </w:t>
      </w:r>
      <w:r>
        <w:t>to</w:t>
      </w:r>
      <w:r w:rsidR="00E15E1B">
        <w:t xml:space="preserve"> </w:t>
      </w:r>
      <w:r>
        <w:t>provide</w:t>
      </w:r>
      <w:r w:rsidR="00E15E1B">
        <w:t xml:space="preserve"> </w:t>
      </w:r>
      <w:r>
        <w:t>a</w:t>
      </w:r>
      <w:r w:rsidR="00E15E1B">
        <w:t xml:space="preserve"> </w:t>
      </w:r>
      <w:r>
        <w:t>compelling</w:t>
      </w:r>
      <w:r w:rsidR="00E15E1B">
        <w:t xml:space="preserve"> </w:t>
      </w:r>
      <w:r>
        <w:t>and</w:t>
      </w:r>
      <w:r w:rsidR="00E15E1B">
        <w:t xml:space="preserve"> </w:t>
      </w:r>
      <w:r>
        <w:t>expert</w:t>
      </w:r>
      <w:r w:rsidR="00E15E1B">
        <w:t xml:space="preserve"> </w:t>
      </w:r>
      <w:r>
        <w:t>consumer</w:t>
      </w:r>
      <w:r w:rsidR="00E15E1B">
        <w:t xml:space="preserve"> </w:t>
      </w:r>
      <w:r>
        <w:t>voice.</w:t>
      </w:r>
    </w:p>
    <w:p w:rsidR="00156239" w:rsidRDefault="00156239" w:rsidP="00156239">
      <w:pPr>
        <w:pStyle w:val="Heading4"/>
      </w:pPr>
      <w:r>
        <w:t>Cash</w:t>
      </w:r>
      <w:r w:rsidR="00E15E1B">
        <w:t xml:space="preserve"> </w:t>
      </w:r>
      <w:r>
        <w:t>for</w:t>
      </w:r>
      <w:r w:rsidR="00E15E1B">
        <w:t xml:space="preserve"> </w:t>
      </w:r>
      <w:r>
        <w:t>scrap</w:t>
      </w:r>
      <w:r w:rsidR="00E15E1B">
        <w:t xml:space="preserve"> </w:t>
      </w:r>
      <w:r>
        <w:t>ban</w:t>
      </w:r>
      <w:r w:rsidR="00E15E1B">
        <w:t xml:space="preserve"> </w:t>
      </w:r>
      <w:r>
        <w:t>comes</w:t>
      </w:r>
      <w:r w:rsidR="00E15E1B">
        <w:t xml:space="preserve"> </w:t>
      </w:r>
      <w:r>
        <w:t>into</w:t>
      </w:r>
      <w:r w:rsidR="00E15E1B">
        <w:t xml:space="preserve"> </w:t>
      </w:r>
      <w:r>
        <w:t>effect</w:t>
      </w:r>
    </w:p>
    <w:p w:rsidR="00156239" w:rsidRDefault="00156239" w:rsidP="00156239">
      <w:pPr>
        <w:pStyle w:val="BodyText"/>
      </w:pPr>
      <w:r>
        <w:t>Organised</w:t>
      </w:r>
      <w:r w:rsidR="00E15E1B">
        <w:t xml:space="preserve"> </w:t>
      </w:r>
      <w:r>
        <w:t>crime</w:t>
      </w:r>
      <w:r w:rsidR="00E15E1B">
        <w:t xml:space="preserve"> </w:t>
      </w:r>
      <w:r>
        <w:t>infiltration</w:t>
      </w:r>
      <w:r w:rsidR="00E15E1B">
        <w:t xml:space="preserve"> </w:t>
      </w:r>
      <w:r>
        <w:t>can</w:t>
      </w:r>
      <w:r w:rsidR="00E15E1B">
        <w:t xml:space="preserve"> </w:t>
      </w:r>
      <w:r>
        <w:t>cause</w:t>
      </w:r>
      <w:r w:rsidR="00E15E1B">
        <w:t xml:space="preserve"> </w:t>
      </w:r>
      <w:r>
        <w:t>significant</w:t>
      </w:r>
      <w:r w:rsidR="00E15E1B">
        <w:t xml:space="preserve"> </w:t>
      </w:r>
      <w:r>
        <w:t>harm</w:t>
      </w:r>
      <w:r w:rsidR="00E15E1B">
        <w:t xml:space="preserve"> </w:t>
      </w:r>
      <w:r>
        <w:t>to</w:t>
      </w:r>
      <w:r w:rsidR="00E15E1B">
        <w:t xml:space="preserve"> </w:t>
      </w:r>
      <w:r>
        <w:t>an</w:t>
      </w:r>
      <w:r w:rsidR="00E15E1B">
        <w:t xml:space="preserve"> </w:t>
      </w:r>
      <w:r>
        <w:t>occupation</w:t>
      </w:r>
      <w:r w:rsidR="00E15E1B">
        <w:t xml:space="preserve"> </w:t>
      </w:r>
      <w:r>
        <w:t>or</w:t>
      </w:r>
      <w:r w:rsidR="00E15E1B">
        <w:t xml:space="preserve"> </w:t>
      </w:r>
      <w:r>
        <w:t>industry,</w:t>
      </w:r>
      <w:r w:rsidR="00E15E1B">
        <w:t xml:space="preserve"> </w:t>
      </w:r>
      <w:r>
        <w:t>and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broader</w:t>
      </w:r>
      <w:r w:rsidR="00E15E1B">
        <w:t xml:space="preserve"> </w:t>
      </w:r>
      <w:r>
        <w:t>community.</w:t>
      </w:r>
      <w:r w:rsidR="00E15E1B">
        <w:t xml:space="preserve"> </w:t>
      </w:r>
      <w:r>
        <w:t>We</w:t>
      </w:r>
      <w:r w:rsidR="00E15E1B">
        <w:t xml:space="preserve"> </w:t>
      </w:r>
      <w:r>
        <w:t>recognise</w:t>
      </w:r>
      <w:r w:rsidR="00E15E1B">
        <w:t xml:space="preserve"> </w:t>
      </w:r>
      <w:r>
        <w:t>that</w:t>
      </w:r>
      <w:r w:rsidR="00E15E1B">
        <w:t xml:space="preserve"> </w:t>
      </w:r>
      <w:r>
        <w:t>the</w:t>
      </w:r>
      <w:r w:rsidR="00E15E1B">
        <w:t xml:space="preserve"> </w:t>
      </w:r>
      <w:r>
        <w:t>scrap</w:t>
      </w:r>
      <w:r w:rsidR="00E15E1B">
        <w:t xml:space="preserve"> </w:t>
      </w:r>
      <w:r>
        <w:t>metal</w:t>
      </w:r>
      <w:r w:rsidR="00E15E1B">
        <w:t xml:space="preserve"> </w:t>
      </w:r>
      <w:r>
        <w:t>industry</w:t>
      </w:r>
      <w:r w:rsidR="00E15E1B">
        <w:t xml:space="preserve"> </w:t>
      </w:r>
      <w:r>
        <w:t>is</w:t>
      </w:r>
      <w:r w:rsidR="00E15E1B">
        <w:t xml:space="preserve"> </w:t>
      </w:r>
      <w:r>
        <w:t>one</w:t>
      </w:r>
      <w:r w:rsidR="00E15E1B">
        <w:t xml:space="preserve"> </w:t>
      </w:r>
      <w:r>
        <w:t>that</w:t>
      </w:r>
      <w:r w:rsidR="00E15E1B">
        <w:t xml:space="preserve"> </w:t>
      </w:r>
      <w:r>
        <w:t>is</w:t>
      </w:r>
      <w:r w:rsidR="00E15E1B">
        <w:t xml:space="preserve"> </w:t>
      </w:r>
      <w:r>
        <w:t>susceptible.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</w:t>
      </w:r>
      <w:r w:rsidR="00E15E1B">
        <w:t xml:space="preserve"> </w:t>
      </w:r>
      <w:r>
        <w:t>introduced</w:t>
      </w:r>
      <w:r w:rsidR="00E15E1B">
        <w:t xml:space="preserve"> </w:t>
      </w:r>
      <w:r>
        <w:t>new</w:t>
      </w:r>
      <w:r w:rsidR="00E15E1B">
        <w:t xml:space="preserve"> </w:t>
      </w:r>
      <w:r>
        <w:t>laws</w:t>
      </w:r>
      <w:r w:rsidR="00E15E1B">
        <w:t xml:space="preserve"> </w:t>
      </w:r>
      <w:r>
        <w:t>banning</w:t>
      </w:r>
      <w:r w:rsidR="00E15E1B">
        <w:t xml:space="preserve"> </w:t>
      </w:r>
      <w:r>
        <w:t>cash</w:t>
      </w:r>
      <w:r w:rsidR="00E15E1B">
        <w:t xml:space="preserve"> </w:t>
      </w:r>
      <w:r>
        <w:t>for</w:t>
      </w:r>
      <w:r w:rsidR="00E15E1B">
        <w:t xml:space="preserve"> </w:t>
      </w:r>
      <w:r>
        <w:t>scrap</w:t>
      </w:r>
      <w:r w:rsidR="00E15E1B">
        <w:t xml:space="preserve"> </w:t>
      </w:r>
      <w:r>
        <w:t>metal</w:t>
      </w:r>
      <w:r w:rsidR="00E15E1B">
        <w:t xml:space="preserve"> </w:t>
      </w:r>
      <w:r>
        <w:t>when</w:t>
      </w:r>
      <w:r w:rsidR="00E15E1B">
        <w:t xml:space="preserve"> </w:t>
      </w:r>
      <w:r>
        <w:t>reforms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Second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Hand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Dealers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and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Pawnbrokers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1989</w:t>
      </w:r>
      <w:r w:rsidR="00E15E1B">
        <w:t xml:space="preserve"> </w:t>
      </w:r>
      <w:r>
        <w:t>and</w:t>
      </w:r>
      <w:r w:rsidR="00E15E1B">
        <w:t xml:space="preserve"> </w:t>
      </w:r>
      <w:r>
        <w:t>the</w:t>
      </w:r>
      <w:r w:rsidR="00E15E1B">
        <w:t xml:space="preserve"> </w:t>
      </w:r>
      <w:r>
        <w:t>Second</w:t>
      </w:r>
      <w:r w:rsidR="00E15E1B">
        <w:t xml:space="preserve"> </w:t>
      </w:r>
      <w:r>
        <w:t>Hand</w:t>
      </w:r>
      <w:r w:rsidR="00E15E1B">
        <w:t xml:space="preserve"> </w:t>
      </w:r>
      <w:r>
        <w:t>Dealers</w:t>
      </w:r>
      <w:r w:rsidR="00E15E1B">
        <w:t xml:space="preserve"> </w:t>
      </w:r>
      <w:r>
        <w:t>and</w:t>
      </w:r>
      <w:r w:rsidR="00E15E1B">
        <w:t xml:space="preserve"> </w:t>
      </w:r>
      <w:r>
        <w:t>Pawnbrokers</w:t>
      </w:r>
      <w:r w:rsidR="00E15E1B">
        <w:t xml:space="preserve"> </w:t>
      </w:r>
      <w:r>
        <w:t>Regulations</w:t>
      </w:r>
      <w:r w:rsidR="00E15E1B">
        <w:t xml:space="preserve"> </w:t>
      </w:r>
      <w:r>
        <w:t>2018</w:t>
      </w:r>
      <w:r w:rsidR="00E15E1B">
        <w:t xml:space="preserve"> </w:t>
      </w:r>
      <w:r>
        <w:t>came</w:t>
      </w:r>
      <w:r w:rsidR="00E15E1B">
        <w:t xml:space="preserve"> </w:t>
      </w:r>
      <w:r>
        <w:t>into</w:t>
      </w:r>
      <w:r w:rsidR="00E15E1B">
        <w:t xml:space="preserve"> </w:t>
      </w:r>
      <w:r>
        <w:t>effect</w:t>
      </w:r>
      <w:r w:rsidR="00E15E1B">
        <w:t xml:space="preserve"> </w:t>
      </w:r>
      <w:r>
        <w:t>in</w:t>
      </w:r>
      <w:r w:rsidR="00E15E1B">
        <w:t xml:space="preserve"> </w:t>
      </w:r>
      <w:r>
        <w:t>May</w:t>
      </w:r>
      <w:r w:rsidR="00E15E1B">
        <w:t xml:space="preserve"> </w:t>
      </w:r>
      <w:r>
        <w:t>2018.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worked</w:t>
      </w:r>
      <w:r w:rsidR="00E15E1B">
        <w:t xml:space="preserve"> </w:t>
      </w:r>
      <w:r>
        <w:t>closely</w:t>
      </w:r>
      <w:r w:rsidR="00E15E1B">
        <w:t xml:space="preserve"> </w:t>
      </w:r>
      <w:r>
        <w:t>with</w:t>
      </w:r>
      <w:r w:rsidR="00E15E1B">
        <w:t xml:space="preserve"> </w:t>
      </w:r>
      <w:r>
        <w:t>key</w:t>
      </w:r>
      <w:r w:rsidR="00E15E1B">
        <w:t xml:space="preserve"> </w:t>
      </w:r>
      <w:r>
        <w:t>industry</w:t>
      </w:r>
      <w:r w:rsidR="00E15E1B">
        <w:t xml:space="preserve"> </w:t>
      </w:r>
      <w:r>
        <w:t>stakeholders,</w:t>
      </w:r>
      <w:r w:rsidR="00E15E1B">
        <w:t xml:space="preserve"> </w:t>
      </w:r>
      <w:r>
        <w:t>the</w:t>
      </w:r>
      <w:r w:rsidR="00E15E1B">
        <w:t xml:space="preserve"> </w:t>
      </w:r>
      <w:r>
        <w:t>Australian</w:t>
      </w:r>
      <w:r w:rsidR="00E15E1B">
        <w:t xml:space="preserve"> </w:t>
      </w:r>
      <w:r>
        <w:t>Metal</w:t>
      </w:r>
      <w:r w:rsidR="00E15E1B">
        <w:t xml:space="preserve"> </w:t>
      </w:r>
      <w:r>
        <w:t>Recycling</w:t>
      </w:r>
      <w:r w:rsidR="00E15E1B">
        <w:t xml:space="preserve"> </w:t>
      </w:r>
      <w:r>
        <w:t>Industry</w:t>
      </w:r>
      <w:r w:rsidR="00E15E1B">
        <w:t xml:space="preserve"> </w:t>
      </w:r>
      <w:r>
        <w:t>Association</w:t>
      </w:r>
      <w:r w:rsidR="00E15E1B">
        <w:t xml:space="preserve"> </w:t>
      </w:r>
      <w:r>
        <w:t>(AMRIA),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Automobile</w:t>
      </w:r>
      <w:r w:rsidR="00E15E1B">
        <w:t xml:space="preserve"> </w:t>
      </w:r>
      <w:r>
        <w:t>Chamber</w:t>
      </w:r>
      <w:r w:rsidR="00E15E1B">
        <w:t xml:space="preserve"> </w:t>
      </w:r>
      <w:r>
        <w:t>of</w:t>
      </w:r>
      <w:r w:rsidR="00E15E1B">
        <w:t xml:space="preserve"> </w:t>
      </w:r>
      <w:r>
        <w:t>Commerce</w:t>
      </w:r>
      <w:r w:rsidR="00E15E1B">
        <w:t xml:space="preserve"> </w:t>
      </w:r>
      <w:r>
        <w:t>(VACC),</w:t>
      </w:r>
      <w:r w:rsidR="00E15E1B">
        <w:t xml:space="preserve"> </w:t>
      </w:r>
      <w:r>
        <w:t>and</w:t>
      </w:r>
      <w:r w:rsidR="00E15E1B">
        <w:t xml:space="preserve"> </w:t>
      </w:r>
      <w:r>
        <w:t>Victoria</w:t>
      </w:r>
      <w:r w:rsidR="00E15E1B">
        <w:t xml:space="preserve"> </w:t>
      </w:r>
      <w:r>
        <w:t>Police,</w:t>
      </w:r>
      <w:r w:rsidR="00E15E1B">
        <w:t xml:space="preserve"> </w:t>
      </w:r>
      <w:r>
        <w:t>to</w:t>
      </w:r>
      <w:r w:rsidR="00E15E1B">
        <w:t xml:space="preserve"> </w:t>
      </w:r>
      <w:r>
        <w:t>develop</w:t>
      </w:r>
      <w:r w:rsidR="00E15E1B">
        <w:t xml:space="preserve"> </w:t>
      </w:r>
      <w:r>
        <w:t>the</w:t>
      </w:r>
      <w:r w:rsidR="00E15E1B">
        <w:t xml:space="preserve"> </w:t>
      </w:r>
      <w:r>
        <w:t>reforms.</w:t>
      </w:r>
    </w:p>
    <w:p w:rsidR="00156239" w:rsidRDefault="00156239" w:rsidP="00156239">
      <w:pPr>
        <w:pStyle w:val="BodyText"/>
      </w:pPr>
      <w:r>
        <w:t>Second-hand</w:t>
      </w:r>
      <w:r w:rsidR="00E15E1B">
        <w:t xml:space="preserve"> </w:t>
      </w:r>
      <w:r>
        <w:t>dealers</w:t>
      </w:r>
      <w:r w:rsidR="00E15E1B">
        <w:t xml:space="preserve"> </w:t>
      </w:r>
      <w:r>
        <w:t>are</w:t>
      </w:r>
      <w:r w:rsidR="00E15E1B">
        <w:t xml:space="preserve"> </w:t>
      </w:r>
      <w:r>
        <w:t>now</w:t>
      </w:r>
      <w:r w:rsidR="00E15E1B">
        <w:t xml:space="preserve"> </w:t>
      </w:r>
      <w:r>
        <w:t>banned</w:t>
      </w:r>
      <w:r w:rsidR="00E15E1B">
        <w:t xml:space="preserve"> </w:t>
      </w:r>
      <w:r>
        <w:t>from</w:t>
      </w:r>
      <w:r w:rsidR="00E15E1B">
        <w:t xml:space="preserve"> </w:t>
      </w:r>
      <w:r>
        <w:t>paying</w:t>
      </w:r>
      <w:r w:rsidR="00E15E1B">
        <w:t xml:space="preserve"> </w:t>
      </w:r>
      <w:r>
        <w:t>or</w:t>
      </w:r>
      <w:r w:rsidR="00E15E1B">
        <w:t xml:space="preserve"> </w:t>
      </w:r>
      <w:r>
        <w:t>receiving</w:t>
      </w:r>
      <w:r w:rsidR="00E15E1B">
        <w:t xml:space="preserve"> </w:t>
      </w:r>
      <w:r>
        <w:t>cash</w:t>
      </w:r>
      <w:r w:rsidR="00E15E1B">
        <w:t xml:space="preserve"> </w:t>
      </w:r>
      <w:r>
        <w:t>payments</w:t>
      </w:r>
      <w:r w:rsidR="00E15E1B">
        <w:t xml:space="preserve"> </w:t>
      </w:r>
      <w:r>
        <w:t>for</w:t>
      </w:r>
      <w:r w:rsidR="00E15E1B">
        <w:t xml:space="preserve"> </w:t>
      </w:r>
      <w:r>
        <w:t>scrap</w:t>
      </w:r>
      <w:r w:rsidR="00E15E1B">
        <w:t xml:space="preserve"> </w:t>
      </w:r>
      <w:r>
        <w:t>metal,</w:t>
      </w:r>
      <w:r w:rsidR="00E15E1B">
        <w:t xml:space="preserve"> </w:t>
      </w:r>
      <w:r>
        <w:t>or</w:t>
      </w:r>
      <w:r w:rsidR="00E15E1B">
        <w:t xml:space="preserve"> </w:t>
      </w:r>
      <w:r>
        <w:t>dealing</w:t>
      </w:r>
      <w:r w:rsidR="00E15E1B">
        <w:t xml:space="preserve"> </w:t>
      </w:r>
      <w:r>
        <w:t>in</w:t>
      </w:r>
      <w:r w:rsidR="00E15E1B">
        <w:t xml:space="preserve"> </w:t>
      </w:r>
      <w:r>
        <w:t>unidentified</w:t>
      </w:r>
      <w:r w:rsidR="00E15E1B">
        <w:t xml:space="preserve"> </w:t>
      </w:r>
      <w:r>
        <w:t>scrap</w:t>
      </w:r>
      <w:r w:rsidR="00E15E1B">
        <w:t xml:space="preserve"> </w:t>
      </w:r>
      <w:r>
        <w:t>motor</w:t>
      </w:r>
      <w:r w:rsidR="00E15E1B">
        <w:t xml:space="preserve"> </w:t>
      </w:r>
      <w:r>
        <w:t>vehicles</w:t>
      </w:r>
      <w:r w:rsidR="00E15E1B">
        <w:t xml:space="preserve"> </w:t>
      </w:r>
      <w:r>
        <w:t>without</w:t>
      </w:r>
      <w:r w:rsidR="00E15E1B">
        <w:t xml:space="preserve"> </w:t>
      </w:r>
      <w:r>
        <w:t>police</w:t>
      </w:r>
      <w:r w:rsidR="00E15E1B">
        <w:t xml:space="preserve"> </w:t>
      </w:r>
      <w:r>
        <w:t>authorisation,</w:t>
      </w:r>
      <w:r w:rsidR="00E15E1B">
        <w:t xml:space="preserve"> </w:t>
      </w:r>
      <w:r>
        <w:t>and</w:t>
      </w:r>
      <w:r w:rsidR="00E15E1B">
        <w:t xml:space="preserve"> </w:t>
      </w:r>
      <w:r>
        <w:t>must</w:t>
      </w:r>
      <w:r w:rsidR="00E15E1B">
        <w:t xml:space="preserve"> </w:t>
      </w:r>
      <w:r>
        <w:t>keep</w:t>
      </w:r>
      <w:r w:rsidR="00E15E1B">
        <w:t xml:space="preserve"> </w:t>
      </w:r>
      <w:r>
        <w:t>detailed</w:t>
      </w:r>
      <w:r w:rsidR="00E15E1B">
        <w:t xml:space="preserve"> </w:t>
      </w:r>
      <w:r>
        <w:t>records</w:t>
      </w:r>
      <w:r w:rsidR="00E15E1B">
        <w:t xml:space="preserve"> </w:t>
      </w:r>
      <w:r>
        <w:t>of</w:t>
      </w:r>
      <w:r w:rsidR="00E15E1B">
        <w:t xml:space="preserve"> </w:t>
      </w:r>
      <w:r>
        <w:t>all</w:t>
      </w:r>
      <w:r w:rsidR="00E15E1B">
        <w:t xml:space="preserve"> </w:t>
      </w:r>
      <w:r>
        <w:t>transactions</w:t>
      </w:r>
      <w:r w:rsidR="00E15E1B">
        <w:t xml:space="preserve"> </w:t>
      </w:r>
      <w:r>
        <w:t>involving</w:t>
      </w:r>
      <w:r w:rsidR="00E15E1B">
        <w:t xml:space="preserve"> </w:t>
      </w:r>
      <w:r>
        <w:t>scrap</w:t>
      </w:r>
      <w:r w:rsidR="00E15E1B">
        <w:t xml:space="preserve"> </w:t>
      </w:r>
      <w:r>
        <w:t>metal.</w:t>
      </w:r>
      <w:r w:rsidR="00E15E1B">
        <w:t xml:space="preserve"> </w:t>
      </w:r>
      <w:r>
        <w:t>Police</w:t>
      </w:r>
      <w:r w:rsidR="00E15E1B">
        <w:t xml:space="preserve"> </w:t>
      </w:r>
      <w:r>
        <w:t>have</w:t>
      </w:r>
      <w:r w:rsidR="00E15E1B">
        <w:t xml:space="preserve"> </w:t>
      </w:r>
      <w:r>
        <w:t>new</w:t>
      </w:r>
      <w:r w:rsidR="00E15E1B">
        <w:t xml:space="preserve"> </w:t>
      </w:r>
      <w:r>
        <w:t>search</w:t>
      </w:r>
      <w:r w:rsidR="00E15E1B">
        <w:t xml:space="preserve"> </w:t>
      </w:r>
      <w:r>
        <w:t>and</w:t>
      </w:r>
      <w:r w:rsidR="00E15E1B">
        <w:t xml:space="preserve"> </w:t>
      </w:r>
      <w:r>
        <w:t>entry</w:t>
      </w:r>
      <w:r w:rsidR="00E15E1B">
        <w:t xml:space="preserve"> </w:t>
      </w:r>
      <w:r>
        <w:t>powers</w:t>
      </w:r>
      <w:r w:rsidR="00E15E1B">
        <w:t xml:space="preserve"> </w:t>
      </w:r>
      <w:r>
        <w:t>that</w:t>
      </w:r>
      <w:r w:rsidR="00E15E1B">
        <w:t xml:space="preserve"> </w:t>
      </w:r>
      <w:r>
        <w:t>will</w:t>
      </w:r>
      <w:r w:rsidR="00E15E1B">
        <w:t xml:space="preserve"> </w:t>
      </w:r>
      <w:r>
        <w:t>allow</w:t>
      </w:r>
      <w:r w:rsidR="00E15E1B">
        <w:t xml:space="preserve"> </w:t>
      </w:r>
      <w:r>
        <w:t>them</w:t>
      </w:r>
      <w:r w:rsidR="00E15E1B">
        <w:t xml:space="preserve"> </w:t>
      </w:r>
      <w:r>
        <w:t>to</w:t>
      </w:r>
      <w:r w:rsidR="00E15E1B">
        <w:t xml:space="preserve"> </w:t>
      </w:r>
      <w:r>
        <w:t>enter</w:t>
      </w:r>
      <w:r w:rsidR="00E15E1B">
        <w:t xml:space="preserve"> </w:t>
      </w:r>
      <w:r>
        <w:t>business</w:t>
      </w:r>
      <w:r w:rsidR="00E15E1B">
        <w:t xml:space="preserve"> </w:t>
      </w:r>
      <w:r>
        <w:t>and</w:t>
      </w:r>
      <w:r w:rsidR="00E15E1B">
        <w:t xml:space="preserve"> </w:t>
      </w:r>
      <w:r>
        <w:t>storage</w:t>
      </w:r>
      <w:r w:rsidR="00E15E1B">
        <w:t xml:space="preserve"> </w:t>
      </w:r>
      <w:r>
        <w:t>premises</w:t>
      </w:r>
      <w:r w:rsidR="00E15E1B">
        <w:t xml:space="preserve"> </w:t>
      </w:r>
      <w:r>
        <w:t>without</w:t>
      </w:r>
      <w:r w:rsidR="00E15E1B">
        <w:t xml:space="preserve"> </w:t>
      </w:r>
      <w:r>
        <w:t>a</w:t>
      </w:r>
      <w:r w:rsidR="00E15E1B">
        <w:t xml:space="preserve"> </w:t>
      </w:r>
      <w:r>
        <w:t>warrant</w:t>
      </w:r>
      <w:r w:rsidR="00E15E1B">
        <w:t xml:space="preserve"> </w:t>
      </w:r>
      <w:r>
        <w:t>if</w:t>
      </w:r>
      <w:r w:rsidR="00E15E1B">
        <w:t xml:space="preserve"> </w:t>
      </w:r>
      <w:r>
        <w:t>they</w:t>
      </w:r>
      <w:r w:rsidR="00E15E1B">
        <w:t xml:space="preserve"> </w:t>
      </w:r>
      <w:r>
        <w:t>reasonably</w:t>
      </w:r>
      <w:r w:rsidR="00E15E1B">
        <w:t xml:space="preserve"> </w:t>
      </w:r>
      <w:r>
        <w:t>believe</w:t>
      </w:r>
      <w:r w:rsidR="00E15E1B">
        <w:t xml:space="preserve"> </w:t>
      </w:r>
      <w:r>
        <w:t>that</w:t>
      </w:r>
      <w:r w:rsidR="00E15E1B">
        <w:t xml:space="preserve"> </w:t>
      </w:r>
      <w:r>
        <w:t>dealing</w:t>
      </w:r>
      <w:r w:rsidR="00E15E1B">
        <w:t xml:space="preserve"> </w:t>
      </w:r>
      <w:r>
        <w:t>in</w:t>
      </w:r>
      <w:r w:rsidR="00E15E1B">
        <w:t xml:space="preserve"> </w:t>
      </w:r>
      <w:r>
        <w:t>scrap</w:t>
      </w:r>
      <w:r w:rsidR="00E15E1B">
        <w:t xml:space="preserve"> </w:t>
      </w:r>
      <w:r>
        <w:t>metal</w:t>
      </w:r>
      <w:r w:rsidR="00E15E1B">
        <w:t xml:space="preserve"> </w:t>
      </w:r>
      <w:r>
        <w:t>is</w:t>
      </w:r>
      <w:r w:rsidR="00E15E1B">
        <w:t xml:space="preserve"> </w:t>
      </w:r>
      <w:r>
        <w:t>taking</w:t>
      </w:r>
      <w:r w:rsidR="00E15E1B">
        <w:t xml:space="preserve"> </w:t>
      </w:r>
      <w:r>
        <w:t>place.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Regulations</w:t>
      </w:r>
      <w:r w:rsidR="00E15E1B">
        <w:t xml:space="preserve"> </w:t>
      </w:r>
      <w:r>
        <w:t>require</w:t>
      </w:r>
      <w:r w:rsidR="00E15E1B">
        <w:t xml:space="preserve"> </w:t>
      </w:r>
      <w:r>
        <w:t>second-hand</w:t>
      </w:r>
      <w:r w:rsidR="00E15E1B">
        <w:t xml:space="preserve"> </w:t>
      </w:r>
      <w:r>
        <w:t>dealers</w:t>
      </w:r>
      <w:r w:rsidR="00E15E1B">
        <w:t xml:space="preserve"> </w:t>
      </w:r>
      <w:r>
        <w:t>who</w:t>
      </w:r>
      <w:r w:rsidR="00E15E1B">
        <w:t xml:space="preserve"> </w:t>
      </w:r>
      <w:r>
        <w:t>deal</w:t>
      </w:r>
      <w:r w:rsidR="00E15E1B">
        <w:t xml:space="preserve"> </w:t>
      </w:r>
      <w:r>
        <w:t>in</w:t>
      </w:r>
      <w:r w:rsidR="00E15E1B">
        <w:t xml:space="preserve"> </w:t>
      </w:r>
      <w:r>
        <w:t>scrap</w:t>
      </w:r>
      <w:r w:rsidR="00E15E1B">
        <w:t xml:space="preserve"> </w:t>
      </w:r>
      <w:r>
        <w:t>metal</w:t>
      </w:r>
      <w:r w:rsidR="00E15E1B">
        <w:t xml:space="preserve"> </w:t>
      </w:r>
      <w:r>
        <w:t>to</w:t>
      </w:r>
      <w:r w:rsidR="00E15E1B">
        <w:t xml:space="preserve"> </w:t>
      </w:r>
      <w:r>
        <w:t>register</w:t>
      </w:r>
      <w:r w:rsidR="00E15E1B">
        <w:t xml:space="preserve"> </w:t>
      </w:r>
      <w:r>
        <w:t>as</w:t>
      </w:r>
      <w:r w:rsidR="00E15E1B">
        <w:t xml:space="preserve"> </w:t>
      </w:r>
      <w:r>
        <w:t>second-hand</w:t>
      </w:r>
      <w:r w:rsidR="00E15E1B">
        <w:t xml:space="preserve"> </w:t>
      </w:r>
      <w:r>
        <w:t>dealers</w:t>
      </w:r>
      <w:r w:rsidR="00E15E1B">
        <w:t xml:space="preserve"> </w:t>
      </w:r>
      <w:r>
        <w:t>through</w:t>
      </w:r>
      <w:r w:rsidR="00E15E1B">
        <w:t xml:space="preserve"> </w:t>
      </w:r>
      <w:r>
        <w:t>the</w:t>
      </w:r>
      <w:r w:rsidR="00E15E1B">
        <w:t xml:space="preserve"> </w:t>
      </w:r>
      <w:r>
        <w:t>Business</w:t>
      </w:r>
      <w:r w:rsidR="00E15E1B">
        <w:t xml:space="preserve"> </w:t>
      </w:r>
      <w:r>
        <w:t>Licensing</w:t>
      </w:r>
      <w:r w:rsidR="00E15E1B">
        <w:t xml:space="preserve"> </w:t>
      </w:r>
      <w:r>
        <w:t>Authority</w:t>
      </w:r>
      <w:r w:rsidR="00E15E1B">
        <w:t xml:space="preserve"> </w:t>
      </w:r>
      <w:r>
        <w:t>(BLA)</w:t>
      </w:r>
      <w:r w:rsidR="00E15E1B">
        <w:t xml:space="preserve"> </w:t>
      </w:r>
      <w:r>
        <w:t>by</w:t>
      </w:r>
      <w:r w:rsidR="00E15E1B">
        <w:t xml:space="preserve"> </w:t>
      </w:r>
      <w:r>
        <w:t>1</w:t>
      </w:r>
      <w:r w:rsidR="00E15E1B">
        <w:t xml:space="preserve"> </w:t>
      </w:r>
      <w:r>
        <w:t>September</w:t>
      </w:r>
      <w:r w:rsidR="00E15E1B">
        <w:t xml:space="preserve"> </w:t>
      </w:r>
      <w:r>
        <w:t>2018.</w:t>
      </w:r>
      <w:r w:rsidR="00E15E1B">
        <w:t xml:space="preserve"> </w:t>
      </w:r>
      <w:r>
        <w:t>The</w:t>
      </w:r>
      <w:r w:rsidR="00E15E1B">
        <w:t xml:space="preserve"> </w:t>
      </w:r>
      <w:r>
        <w:t>BLA</w:t>
      </w:r>
      <w:r w:rsidR="00E15E1B">
        <w:t xml:space="preserve"> </w:t>
      </w:r>
      <w:r>
        <w:t>will</w:t>
      </w:r>
      <w:r w:rsidR="00E15E1B">
        <w:t xml:space="preserve"> </w:t>
      </w:r>
      <w:r>
        <w:t>assess</w:t>
      </w:r>
      <w:r w:rsidR="00E15E1B">
        <w:t xml:space="preserve"> </w:t>
      </w:r>
      <w:r>
        <w:t>registration</w:t>
      </w:r>
      <w:r w:rsidR="00E15E1B">
        <w:t xml:space="preserve"> </w:t>
      </w:r>
      <w:r>
        <w:t>applicants</w:t>
      </w:r>
      <w:r w:rsidR="00E15E1B">
        <w:t xml:space="preserve"> </w:t>
      </w:r>
      <w:r>
        <w:t>to</w:t>
      </w:r>
      <w:r w:rsidR="00E15E1B">
        <w:t xml:space="preserve"> </w:t>
      </w:r>
      <w:r>
        <w:t>determine</w:t>
      </w:r>
      <w:r w:rsidR="00E15E1B">
        <w:t xml:space="preserve"> </w:t>
      </w:r>
      <w:r>
        <w:t>whether</w:t>
      </w:r>
      <w:r w:rsidR="00E15E1B">
        <w:t xml:space="preserve"> </w:t>
      </w:r>
      <w:r>
        <w:t>they</w:t>
      </w:r>
      <w:r w:rsidR="00E15E1B">
        <w:t xml:space="preserve"> </w:t>
      </w:r>
      <w:r>
        <w:t>are</w:t>
      </w:r>
      <w:r w:rsidR="00E15E1B">
        <w:t xml:space="preserve"> </w:t>
      </w:r>
      <w:r>
        <w:t>suitable</w:t>
      </w:r>
      <w:r w:rsidR="00E15E1B">
        <w:t xml:space="preserve"> </w:t>
      </w:r>
      <w:r>
        <w:t>to</w:t>
      </w:r>
      <w:r w:rsidR="00E15E1B">
        <w:t xml:space="preserve"> </w:t>
      </w:r>
      <w:r>
        <w:t>be</w:t>
      </w:r>
      <w:r w:rsidR="00E15E1B">
        <w:t xml:space="preserve"> </w:t>
      </w:r>
      <w:r>
        <w:t>registered.</w:t>
      </w:r>
    </w:p>
    <w:p w:rsidR="00156239" w:rsidRDefault="00156239" w:rsidP="00156239">
      <w:pPr>
        <w:pStyle w:val="BodyText"/>
      </w:pPr>
      <w:r>
        <w:t>New</w:t>
      </w:r>
      <w:r w:rsidR="00E15E1B">
        <w:t xml:space="preserve"> </w:t>
      </w:r>
      <w:r>
        <w:t>offences</w:t>
      </w:r>
      <w:r w:rsidR="00E15E1B">
        <w:t xml:space="preserve"> </w:t>
      </w:r>
      <w:r>
        <w:t>have</w:t>
      </w:r>
      <w:r w:rsidR="00E15E1B">
        <w:t xml:space="preserve"> </w:t>
      </w:r>
      <w:r>
        <w:t>been</w:t>
      </w:r>
      <w:r w:rsidR="00E15E1B">
        <w:t xml:space="preserve"> </w:t>
      </w:r>
      <w:r>
        <w:t>introduced,</w:t>
      </w:r>
      <w:r w:rsidR="00E15E1B">
        <w:t xml:space="preserve"> </w:t>
      </w:r>
      <w:r>
        <w:t>with</w:t>
      </w:r>
      <w:r w:rsidR="00E15E1B">
        <w:t xml:space="preserve"> </w:t>
      </w:r>
      <w:r>
        <w:t>penalties</w:t>
      </w:r>
      <w:r w:rsidR="00E15E1B">
        <w:t xml:space="preserve"> </w:t>
      </w:r>
      <w:r>
        <w:t>of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$30,000</w:t>
      </w:r>
      <w:r w:rsidR="00E15E1B">
        <w:t xml:space="preserve"> </w:t>
      </w:r>
      <w:r>
        <w:t>for</w:t>
      </w:r>
      <w:r w:rsidR="00E15E1B">
        <w:t xml:space="preserve"> </w:t>
      </w:r>
      <w:r>
        <w:t>buying</w:t>
      </w:r>
      <w:r w:rsidR="00E15E1B">
        <w:t xml:space="preserve"> </w:t>
      </w:r>
      <w:r>
        <w:t>or</w:t>
      </w:r>
      <w:r w:rsidR="00E15E1B">
        <w:t xml:space="preserve"> </w:t>
      </w:r>
      <w:r>
        <w:t>selling</w:t>
      </w:r>
      <w:r w:rsidR="00E15E1B">
        <w:t xml:space="preserve"> </w:t>
      </w:r>
      <w:r>
        <w:t>scrap</w:t>
      </w:r>
      <w:r w:rsidR="00E15E1B">
        <w:t xml:space="preserve"> </w:t>
      </w:r>
      <w:r>
        <w:t>metal</w:t>
      </w:r>
      <w:r w:rsidR="00E15E1B">
        <w:t xml:space="preserve"> </w:t>
      </w:r>
      <w:r>
        <w:t>for</w:t>
      </w:r>
      <w:r w:rsidR="00E15E1B">
        <w:t xml:space="preserve"> </w:t>
      </w:r>
      <w:r>
        <w:t>cash.</w:t>
      </w:r>
      <w:r w:rsidR="00E15E1B">
        <w:t xml:space="preserve"> </w:t>
      </w:r>
      <w:r>
        <w:t>Police</w:t>
      </w:r>
      <w:r w:rsidR="00E15E1B">
        <w:t xml:space="preserve"> </w:t>
      </w:r>
      <w:r>
        <w:t>will</w:t>
      </w:r>
      <w:r w:rsidR="00E15E1B">
        <w:t xml:space="preserve"> </w:t>
      </w:r>
      <w:r>
        <w:t>be</w:t>
      </w:r>
      <w:r w:rsidR="00E15E1B">
        <w:t xml:space="preserve"> </w:t>
      </w:r>
      <w:r>
        <w:t>able</w:t>
      </w:r>
      <w:r w:rsidR="00E15E1B">
        <w:t xml:space="preserve"> </w:t>
      </w:r>
      <w:r>
        <w:t>to</w:t>
      </w:r>
      <w:r w:rsidR="00E15E1B">
        <w:t xml:space="preserve"> </w:t>
      </w:r>
      <w:r>
        <w:t>issue</w:t>
      </w:r>
      <w:r w:rsidR="00E15E1B">
        <w:t xml:space="preserve"> </w:t>
      </w:r>
      <w:r>
        <w:t>on-the-spot</w:t>
      </w:r>
      <w:r w:rsidR="00E15E1B">
        <w:t xml:space="preserve"> </w:t>
      </w:r>
      <w:r>
        <w:t>fines</w:t>
      </w:r>
      <w:r w:rsidR="00E15E1B">
        <w:t xml:space="preserve"> </w:t>
      </w:r>
      <w:r>
        <w:t>to</w:t>
      </w:r>
      <w:r w:rsidR="00E15E1B">
        <w:t xml:space="preserve"> </w:t>
      </w:r>
      <w:r>
        <w:t>scrap</w:t>
      </w:r>
      <w:r w:rsidR="00E15E1B">
        <w:t xml:space="preserve"> </w:t>
      </w:r>
      <w:r>
        <w:t>metal</w:t>
      </w:r>
      <w:r w:rsidR="00E15E1B">
        <w:t xml:space="preserve"> </w:t>
      </w:r>
      <w:r>
        <w:t>dealers</w:t>
      </w:r>
      <w:r w:rsidR="00E15E1B">
        <w:t xml:space="preserve"> </w:t>
      </w:r>
      <w:r>
        <w:t>not</w:t>
      </w:r>
      <w:r w:rsidR="00E15E1B">
        <w:t xml:space="preserve"> </w:t>
      </w:r>
      <w:r>
        <w:t>adhering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laws,</w:t>
      </w:r>
      <w:r w:rsidR="00E15E1B">
        <w:t xml:space="preserve"> </w:t>
      </w:r>
      <w:r>
        <w:t>with</w:t>
      </w:r>
      <w:r w:rsidR="00E15E1B">
        <w:t xml:space="preserve"> </w:t>
      </w:r>
      <w:r>
        <w:t>penalties</w:t>
      </w:r>
      <w:r w:rsidR="00E15E1B">
        <w:t xml:space="preserve"> </w:t>
      </w:r>
      <w:r>
        <w:t>of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$1,900.</w:t>
      </w:r>
    </w:p>
    <w:p w:rsidR="00156239" w:rsidRDefault="00156239" w:rsidP="00156239">
      <w:pPr>
        <w:pStyle w:val="Heading4"/>
      </w:pPr>
      <w:r>
        <w:lastRenderedPageBreak/>
        <w:t>Fuel</w:t>
      </w:r>
      <w:r w:rsidR="00E15E1B">
        <w:t xml:space="preserve"> </w:t>
      </w:r>
      <w:r>
        <w:t>price</w:t>
      </w:r>
      <w:r w:rsidR="00E15E1B">
        <w:t xml:space="preserve"> </w:t>
      </w:r>
      <w:r>
        <w:t>inquiry</w:t>
      </w:r>
    </w:p>
    <w:p w:rsidR="00156239" w:rsidRDefault="00156239" w:rsidP="00156239">
      <w:pPr>
        <w:pStyle w:val="BodyText"/>
      </w:pPr>
      <w:r>
        <w:t>Fuel</w:t>
      </w:r>
      <w:r w:rsidR="00E15E1B">
        <w:t xml:space="preserve"> </w:t>
      </w:r>
      <w:r>
        <w:t>is</w:t>
      </w:r>
      <w:r w:rsidR="00E15E1B">
        <w:t xml:space="preserve"> </w:t>
      </w:r>
      <w:r>
        <w:t>an</w:t>
      </w:r>
      <w:r w:rsidR="00E15E1B">
        <w:t xml:space="preserve"> </w:t>
      </w:r>
      <w:r>
        <w:t>essential</w:t>
      </w:r>
      <w:r w:rsidR="00E15E1B">
        <w:t xml:space="preserve"> </w:t>
      </w:r>
      <w:r>
        <w:t>item</w:t>
      </w:r>
      <w:r w:rsidR="00E15E1B">
        <w:t xml:space="preserve"> </w:t>
      </w:r>
      <w:r>
        <w:t>for</w:t>
      </w:r>
      <w:r w:rsidR="00E15E1B">
        <w:t xml:space="preserve"> </w:t>
      </w:r>
      <w:r>
        <w:t>most</w:t>
      </w:r>
      <w:r w:rsidR="00E15E1B">
        <w:t xml:space="preserve"> </w:t>
      </w:r>
      <w:r>
        <w:t>families</w:t>
      </w:r>
      <w:r w:rsidR="00E15E1B">
        <w:t xml:space="preserve"> </w:t>
      </w:r>
      <w:r>
        <w:t>and</w:t>
      </w:r>
      <w:r w:rsidR="00E15E1B">
        <w:t xml:space="preserve"> </w:t>
      </w:r>
      <w:r>
        <w:t>businesses,</w:t>
      </w:r>
      <w:r w:rsidR="00E15E1B">
        <w:t xml:space="preserve"> </w:t>
      </w:r>
      <w:r>
        <w:t>and</w:t>
      </w:r>
      <w:r w:rsidR="00E15E1B">
        <w:t xml:space="preserve"> </w:t>
      </w:r>
      <w:r>
        <w:t>high</w:t>
      </w:r>
      <w:r w:rsidR="00E15E1B">
        <w:t xml:space="preserve"> </w:t>
      </w:r>
      <w:r>
        <w:t>prices</w:t>
      </w:r>
      <w:r w:rsidR="00E15E1B">
        <w:t xml:space="preserve"> </w:t>
      </w:r>
      <w:r>
        <w:t>cause</w:t>
      </w:r>
      <w:r w:rsidR="00E15E1B">
        <w:t xml:space="preserve"> </w:t>
      </w:r>
      <w:r>
        <w:t>significant</w:t>
      </w:r>
      <w:r w:rsidR="00E15E1B">
        <w:t xml:space="preserve"> </w:t>
      </w:r>
      <w:r>
        <w:t>pressure</w:t>
      </w:r>
      <w:r w:rsidR="00E15E1B">
        <w:t xml:space="preserve"> </w:t>
      </w:r>
      <w:r>
        <w:t>on</w:t>
      </w:r>
      <w:r w:rsidR="00E15E1B">
        <w:t xml:space="preserve"> </w:t>
      </w:r>
      <w:r>
        <w:t>already</w:t>
      </w:r>
      <w:r w:rsidR="00E15E1B">
        <w:t xml:space="preserve"> </w:t>
      </w:r>
      <w:r>
        <w:t>strained</w:t>
      </w:r>
      <w:r w:rsidR="00E15E1B">
        <w:t xml:space="preserve"> </w:t>
      </w:r>
      <w:r>
        <w:t>budgets.</w:t>
      </w:r>
      <w:r w:rsidR="00E15E1B">
        <w:t xml:space="preserve"> </w:t>
      </w:r>
      <w:r>
        <w:t>Regional</w:t>
      </w:r>
      <w:r w:rsidR="00E15E1B">
        <w:t xml:space="preserve"> </w:t>
      </w:r>
      <w:r>
        <w:t>Victorians</w:t>
      </w:r>
      <w:r w:rsidR="00E15E1B">
        <w:t xml:space="preserve"> </w:t>
      </w:r>
      <w:r>
        <w:t>feel</w:t>
      </w:r>
      <w:r w:rsidR="00E15E1B">
        <w:t xml:space="preserve"> </w:t>
      </w:r>
      <w:r>
        <w:t>the</w:t>
      </w:r>
      <w:r w:rsidR="00E15E1B">
        <w:t xml:space="preserve"> </w:t>
      </w:r>
      <w:r>
        <w:t>impact</w:t>
      </w:r>
      <w:r w:rsidR="00E15E1B">
        <w:t xml:space="preserve"> </w:t>
      </w:r>
      <w:r>
        <w:t>of</w:t>
      </w:r>
      <w:r w:rsidR="00E15E1B">
        <w:t xml:space="preserve"> </w:t>
      </w:r>
      <w:r>
        <w:t>high</w:t>
      </w:r>
      <w:r w:rsidR="00E15E1B">
        <w:t xml:space="preserve"> </w:t>
      </w:r>
      <w:r>
        <w:t>fuel</w:t>
      </w:r>
      <w:r w:rsidR="00E15E1B">
        <w:t xml:space="preserve"> </w:t>
      </w:r>
      <w:r>
        <w:t>prices</w:t>
      </w:r>
      <w:r w:rsidR="00E15E1B">
        <w:t xml:space="preserve"> </w:t>
      </w:r>
      <w:r>
        <w:t>even</w:t>
      </w:r>
      <w:r w:rsidR="00E15E1B">
        <w:t xml:space="preserve"> </w:t>
      </w:r>
      <w:r>
        <w:t>more</w:t>
      </w:r>
      <w:r w:rsidR="00E15E1B">
        <w:t xml:space="preserve"> </w:t>
      </w:r>
      <w:r>
        <w:t>because</w:t>
      </w:r>
      <w:r w:rsidR="00E15E1B">
        <w:t xml:space="preserve"> </w:t>
      </w:r>
      <w:r>
        <w:t>they</w:t>
      </w:r>
      <w:r w:rsidR="00E15E1B">
        <w:t xml:space="preserve"> </w:t>
      </w:r>
      <w:r>
        <w:t>travel</w:t>
      </w:r>
      <w:r w:rsidR="00E15E1B">
        <w:t xml:space="preserve"> </w:t>
      </w:r>
      <w:r>
        <w:t>long</w:t>
      </w:r>
      <w:r w:rsidR="00E15E1B">
        <w:t xml:space="preserve"> </w:t>
      </w:r>
      <w:r>
        <w:t>distances</w:t>
      </w:r>
      <w:r w:rsidR="00E15E1B">
        <w:t xml:space="preserve"> </w:t>
      </w:r>
      <w:r>
        <w:t>to</w:t>
      </w:r>
      <w:r w:rsidR="00E15E1B">
        <w:t xml:space="preserve"> </w:t>
      </w:r>
      <w:r>
        <w:t>access</w:t>
      </w:r>
      <w:r w:rsidR="00E15E1B">
        <w:t xml:space="preserve"> </w:t>
      </w:r>
      <w:r>
        <w:t>services</w:t>
      </w:r>
      <w:r w:rsidR="00E15E1B">
        <w:t xml:space="preserve"> </w:t>
      </w:r>
      <w:r>
        <w:t>and</w:t>
      </w:r>
      <w:r w:rsidR="00E15E1B">
        <w:t xml:space="preserve"> </w:t>
      </w:r>
      <w:r>
        <w:t>have</w:t>
      </w:r>
      <w:r w:rsidR="00E15E1B">
        <w:t xml:space="preserve"> </w:t>
      </w:r>
      <w:r>
        <w:t>fewer</w:t>
      </w:r>
      <w:r w:rsidR="00E15E1B">
        <w:t xml:space="preserve"> </w:t>
      </w:r>
      <w:r>
        <w:t>options</w:t>
      </w:r>
      <w:r w:rsidR="00E15E1B">
        <w:t xml:space="preserve"> </w:t>
      </w:r>
      <w:r>
        <w:t>to</w:t>
      </w:r>
      <w:r w:rsidR="00E15E1B">
        <w:t xml:space="preserve"> </w:t>
      </w:r>
      <w:r>
        <w:t>purchase</w:t>
      </w:r>
      <w:r w:rsidR="00E15E1B">
        <w:t xml:space="preserve"> </w:t>
      </w:r>
      <w:r>
        <w:t>fuel</w:t>
      </w:r>
      <w:r w:rsidR="00E15E1B">
        <w:t xml:space="preserve"> </w:t>
      </w:r>
      <w:r>
        <w:t>compared</w:t>
      </w:r>
      <w:r w:rsidR="00E15E1B">
        <w:t xml:space="preserve"> </w:t>
      </w:r>
      <w:r>
        <w:t>with</w:t>
      </w:r>
      <w:r w:rsidR="00E15E1B">
        <w:t xml:space="preserve"> </w:t>
      </w:r>
      <w:r>
        <w:t>Melbourne</w:t>
      </w:r>
      <w:r w:rsidR="00E15E1B">
        <w:t xml:space="preserve"> </w:t>
      </w:r>
      <w:r>
        <w:t>residents.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final</w:t>
      </w:r>
      <w:r w:rsidR="00E15E1B">
        <w:t xml:space="preserve"> </w:t>
      </w:r>
      <w:r>
        <w:t>report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Parliamentary</w:t>
      </w:r>
      <w:r w:rsidR="00E15E1B">
        <w:t xml:space="preserve"> </w:t>
      </w:r>
      <w:r>
        <w:t>inquiry</w:t>
      </w:r>
      <w:r w:rsidR="00E15E1B">
        <w:t xml:space="preserve"> </w:t>
      </w:r>
      <w:r>
        <w:t>into</w:t>
      </w:r>
      <w:r w:rsidR="00E15E1B">
        <w:t xml:space="preserve"> </w:t>
      </w:r>
      <w:r>
        <w:t>fuel</w:t>
      </w:r>
      <w:r w:rsidR="00E15E1B">
        <w:t xml:space="preserve"> </w:t>
      </w:r>
      <w:r>
        <w:t>prices</w:t>
      </w:r>
      <w:r w:rsidR="00E15E1B">
        <w:t xml:space="preserve"> </w:t>
      </w:r>
      <w:r>
        <w:t>in</w:t>
      </w:r>
      <w:r w:rsidR="00E15E1B">
        <w:t xml:space="preserve"> </w:t>
      </w:r>
      <w:r>
        <w:t>regional</w:t>
      </w:r>
      <w:r w:rsidR="00E15E1B">
        <w:t xml:space="preserve"> </w:t>
      </w:r>
      <w:r>
        <w:t>Victoria</w:t>
      </w:r>
      <w:r w:rsidR="00E15E1B">
        <w:t xml:space="preserve"> </w:t>
      </w:r>
      <w:r>
        <w:t>was</w:t>
      </w:r>
      <w:r w:rsidR="00E15E1B">
        <w:t xml:space="preserve"> </w:t>
      </w:r>
      <w:r>
        <w:t>tabled</w:t>
      </w:r>
      <w:r w:rsidR="00E15E1B">
        <w:t xml:space="preserve"> </w:t>
      </w:r>
      <w:r>
        <w:t>in</w:t>
      </w:r>
      <w:r w:rsidR="00E15E1B">
        <w:t xml:space="preserve"> </w:t>
      </w:r>
      <w:r>
        <w:t>February</w:t>
      </w:r>
      <w:r w:rsidR="00E15E1B">
        <w:t xml:space="preserve"> </w:t>
      </w:r>
      <w:r>
        <w:t>2018.</w:t>
      </w:r>
      <w:r w:rsidR="00E15E1B">
        <w:t xml:space="preserve"> </w:t>
      </w:r>
      <w:r>
        <w:t>The</w:t>
      </w:r>
      <w:r w:rsidR="00E15E1B">
        <w:t xml:space="preserve"> </w:t>
      </w:r>
      <w:r>
        <w:t>committee</w:t>
      </w:r>
      <w:r w:rsidR="00E15E1B">
        <w:t xml:space="preserve"> </w:t>
      </w:r>
      <w:r>
        <w:t>focused</w:t>
      </w:r>
      <w:r w:rsidR="00E15E1B">
        <w:t xml:space="preserve"> </w:t>
      </w:r>
      <w:r>
        <w:t>on</w:t>
      </w:r>
      <w:r w:rsidR="00E15E1B">
        <w:t xml:space="preserve"> </w:t>
      </w:r>
      <w:r>
        <w:t>how</w:t>
      </w:r>
      <w:r w:rsidR="00E15E1B">
        <w:t xml:space="preserve"> </w:t>
      </w:r>
      <w:r>
        <w:t>to</w:t>
      </w:r>
      <w:r w:rsidR="00E15E1B">
        <w:t xml:space="preserve"> </w:t>
      </w:r>
      <w:r>
        <w:t>improve</w:t>
      </w:r>
      <w:r w:rsidR="00E15E1B">
        <w:t xml:space="preserve"> </w:t>
      </w:r>
      <w:r>
        <w:t>competition</w:t>
      </w:r>
      <w:r w:rsidR="00E15E1B">
        <w:t xml:space="preserve"> </w:t>
      </w:r>
      <w:r>
        <w:t>between</w:t>
      </w:r>
      <w:r w:rsidR="00E15E1B">
        <w:t xml:space="preserve"> </w:t>
      </w:r>
      <w:r>
        <w:t>fuel</w:t>
      </w:r>
      <w:r w:rsidR="00E15E1B">
        <w:t xml:space="preserve"> </w:t>
      </w:r>
      <w:r>
        <w:t>retailers</w:t>
      </w:r>
      <w:r w:rsidR="00E15E1B">
        <w:t xml:space="preserve"> </w:t>
      </w:r>
      <w:r>
        <w:t>in</w:t>
      </w:r>
      <w:r w:rsidR="00E15E1B">
        <w:t xml:space="preserve"> </w:t>
      </w:r>
      <w:r>
        <w:t>regional</w:t>
      </w:r>
      <w:r w:rsidR="00E15E1B">
        <w:t xml:space="preserve"> </w:t>
      </w:r>
      <w:r>
        <w:t>Victoria,</w:t>
      </w:r>
      <w:r w:rsidR="00E15E1B">
        <w:t xml:space="preserve"> </w:t>
      </w:r>
      <w:r>
        <w:t>such</w:t>
      </w:r>
      <w:r w:rsidR="00E15E1B">
        <w:t xml:space="preserve"> </w:t>
      </w:r>
      <w:r>
        <w:t>as</w:t>
      </w:r>
      <w:r w:rsidR="00E15E1B">
        <w:t xml:space="preserve"> </w:t>
      </w:r>
      <w:r>
        <w:t>the</w:t>
      </w:r>
      <w:r w:rsidR="00E15E1B">
        <w:t xml:space="preserve"> </w:t>
      </w:r>
      <w:r>
        <w:t>use</w:t>
      </w:r>
      <w:r w:rsidR="00E15E1B">
        <w:t xml:space="preserve"> </w:t>
      </w:r>
      <w:r>
        <w:t>of</w:t>
      </w:r>
      <w:r w:rsidR="00E15E1B">
        <w:t xml:space="preserve"> </w:t>
      </w:r>
      <w:r>
        <w:t>fuel</w:t>
      </w:r>
      <w:r w:rsidR="00E15E1B">
        <w:t xml:space="preserve"> </w:t>
      </w:r>
      <w:r>
        <w:t>price</w:t>
      </w:r>
      <w:r w:rsidR="00E15E1B">
        <w:t xml:space="preserve"> </w:t>
      </w:r>
      <w:r>
        <w:t>comparison</w:t>
      </w:r>
      <w:r w:rsidR="00E15E1B">
        <w:t xml:space="preserve"> </w:t>
      </w:r>
      <w:r>
        <w:t>apps</w:t>
      </w:r>
      <w:r w:rsidR="00E15E1B">
        <w:t xml:space="preserve"> </w:t>
      </w:r>
      <w:r>
        <w:t>and</w:t>
      </w:r>
      <w:r w:rsidR="00E15E1B">
        <w:t xml:space="preserve"> </w:t>
      </w:r>
      <w:r>
        <w:t>websites</w:t>
      </w:r>
      <w:r w:rsidR="00E15E1B">
        <w:t xml:space="preserve"> </w:t>
      </w:r>
      <w:r>
        <w:t>and</w:t>
      </w:r>
      <w:r w:rsidR="00E15E1B">
        <w:t xml:space="preserve"> </w:t>
      </w:r>
      <w:r>
        <w:t>the</w:t>
      </w:r>
      <w:r w:rsidR="00E15E1B">
        <w:t xml:space="preserve"> </w:t>
      </w:r>
      <w:r>
        <w:t>removal</w:t>
      </w:r>
      <w:r w:rsidR="00E15E1B">
        <w:t xml:space="preserve"> </w:t>
      </w:r>
      <w:r>
        <w:t>of</w:t>
      </w:r>
      <w:r w:rsidR="00E15E1B">
        <w:t xml:space="preserve"> </w:t>
      </w:r>
      <w:r>
        <w:t>barriers</w:t>
      </w:r>
      <w:r w:rsidR="00E15E1B">
        <w:t xml:space="preserve"> </w:t>
      </w:r>
      <w:r>
        <w:t>for</w:t>
      </w:r>
      <w:r w:rsidR="00E15E1B">
        <w:t xml:space="preserve"> </w:t>
      </w:r>
      <w:r>
        <w:t>businesses</w:t>
      </w:r>
      <w:r w:rsidR="00E15E1B">
        <w:t xml:space="preserve"> </w:t>
      </w:r>
      <w:r>
        <w:t>entering</w:t>
      </w:r>
      <w:r w:rsidR="00E15E1B">
        <w:t xml:space="preserve"> </w:t>
      </w:r>
      <w:r>
        <w:t>new</w:t>
      </w:r>
      <w:r w:rsidR="00E15E1B">
        <w:t xml:space="preserve"> </w:t>
      </w:r>
      <w:r>
        <w:t>markets.</w:t>
      </w:r>
      <w:r w:rsidR="00E15E1B">
        <w:t xml:space="preserve"> </w:t>
      </w:r>
      <w:r>
        <w:t>It</w:t>
      </w:r>
      <w:r w:rsidR="00E15E1B">
        <w:t xml:space="preserve"> </w:t>
      </w:r>
      <w:r>
        <w:t>made</w:t>
      </w:r>
      <w:r w:rsidR="00E15E1B">
        <w:t xml:space="preserve"> </w:t>
      </w:r>
      <w:r>
        <w:t>three</w:t>
      </w:r>
      <w:r w:rsidR="00E15E1B">
        <w:t xml:space="preserve"> </w:t>
      </w:r>
      <w:r>
        <w:t>recommendations</w:t>
      </w:r>
      <w:r w:rsidR="00E15E1B">
        <w:t xml:space="preserve"> </w:t>
      </w:r>
      <w:r>
        <w:t>to</w:t>
      </w:r>
      <w:r w:rsidR="00E15E1B">
        <w:t xml:space="preserve"> </w:t>
      </w:r>
      <w:r>
        <w:t>increase</w:t>
      </w:r>
      <w:r w:rsidR="00E15E1B">
        <w:t xml:space="preserve"> </w:t>
      </w:r>
      <w:r>
        <w:t>fuel</w:t>
      </w:r>
      <w:r w:rsidR="00E15E1B">
        <w:t xml:space="preserve"> </w:t>
      </w:r>
      <w:r>
        <w:t>price</w:t>
      </w:r>
      <w:r w:rsidR="00E15E1B">
        <w:t xml:space="preserve"> </w:t>
      </w:r>
      <w:r>
        <w:t>transparency</w:t>
      </w:r>
      <w:r w:rsidR="00E15E1B">
        <w:t xml:space="preserve"> </w:t>
      </w:r>
      <w:r>
        <w:t>in</w:t>
      </w:r>
      <w:r w:rsidR="00E15E1B">
        <w:t xml:space="preserve"> </w:t>
      </w:r>
      <w:r>
        <w:t>Victoria.</w:t>
      </w:r>
      <w:r w:rsidR="00E15E1B">
        <w:t xml:space="preserve"> </w:t>
      </w:r>
      <w:r>
        <w:t>These</w:t>
      </w:r>
      <w:r w:rsidR="00E15E1B">
        <w:t xml:space="preserve"> </w:t>
      </w:r>
      <w:r>
        <w:t>are</w:t>
      </w:r>
      <w:r w:rsidR="00E15E1B">
        <w:t xml:space="preserve"> </w:t>
      </w:r>
      <w:r>
        <w:t>that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Government:</w:t>
      </w:r>
    </w:p>
    <w:p w:rsidR="00156239" w:rsidRDefault="00156239" w:rsidP="00156239">
      <w:pPr>
        <w:pStyle w:val="ListBullet"/>
      </w:pPr>
      <w:r>
        <w:t>conduct</w:t>
      </w:r>
      <w:r w:rsidR="00E15E1B">
        <w:t xml:space="preserve"> </w:t>
      </w:r>
      <w:r>
        <w:t>a</w:t>
      </w:r>
      <w:r w:rsidR="00E15E1B">
        <w:t xml:space="preserve"> </w:t>
      </w:r>
      <w:r>
        <w:t>public</w:t>
      </w:r>
      <w:r w:rsidR="00E15E1B">
        <w:t xml:space="preserve"> </w:t>
      </w:r>
      <w:r>
        <w:t>awareness</w:t>
      </w:r>
      <w:r w:rsidR="00E15E1B">
        <w:t xml:space="preserve"> </w:t>
      </w:r>
      <w:r>
        <w:t>campaign</w:t>
      </w:r>
      <w:r w:rsidR="00E15E1B">
        <w:t xml:space="preserve"> </w:t>
      </w:r>
      <w:r>
        <w:t>in</w:t>
      </w:r>
      <w:r w:rsidR="00E15E1B">
        <w:t xml:space="preserve"> </w:t>
      </w:r>
      <w:r>
        <w:t>regional</w:t>
      </w:r>
      <w:r w:rsidR="00E15E1B">
        <w:t xml:space="preserve"> </w:t>
      </w:r>
      <w:r>
        <w:t>Victoria</w:t>
      </w:r>
      <w:r w:rsidR="00E15E1B">
        <w:t xml:space="preserve"> </w:t>
      </w:r>
      <w:r>
        <w:t>to</w:t>
      </w:r>
      <w:r w:rsidR="00E15E1B">
        <w:t xml:space="preserve"> </w:t>
      </w:r>
      <w:r>
        <w:t>encourage</w:t>
      </w:r>
      <w:r w:rsidR="00E15E1B">
        <w:t xml:space="preserve"> </w:t>
      </w:r>
      <w:r>
        <w:t>the</w:t>
      </w:r>
      <w:r w:rsidR="00E15E1B">
        <w:t xml:space="preserve"> </w:t>
      </w:r>
      <w:r>
        <w:t>use</w:t>
      </w:r>
      <w:r w:rsidR="00E15E1B">
        <w:t xml:space="preserve"> </w:t>
      </w:r>
      <w:r>
        <w:t>of</w:t>
      </w:r>
      <w:r w:rsidR="00E15E1B">
        <w:t xml:space="preserve"> </w:t>
      </w:r>
      <w:r>
        <w:t>fuel</w:t>
      </w:r>
      <w:r w:rsidR="00E15E1B">
        <w:t xml:space="preserve"> </w:t>
      </w:r>
      <w:r>
        <w:t>price</w:t>
      </w:r>
      <w:r w:rsidR="00E15E1B">
        <w:t xml:space="preserve"> </w:t>
      </w:r>
      <w:r>
        <w:t>apps</w:t>
      </w:r>
    </w:p>
    <w:p w:rsidR="00156239" w:rsidRDefault="00156239" w:rsidP="00156239">
      <w:pPr>
        <w:pStyle w:val="ListBullet"/>
      </w:pPr>
      <w:r>
        <w:t>support</w:t>
      </w:r>
      <w:r w:rsidR="00E15E1B">
        <w:t xml:space="preserve"> </w:t>
      </w:r>
      <w:r>
        <w:t>the</w:t>
      </w:r>
      <w:r w:rsidR="00E15E1B">
        <w:t xml:space="preserve"> </w:t>
      </w:r>
      <w:r>
        <w:t>Royal</w:t>
      </w:r>
      <w:r w:rsidR="00E15E1B">
        <w:t xml:space="preserve"> </w:t>
      </w:r>
      <w:r>
        <w:t>Automobile</w:t>
      </w:r>
      <w:r w:rsidR="00E15E1B">
        <w:t xml:space="preserve"> </w:t>
      </w:r>
      <w:r>
        <w:t>Club</w:t>
      </w:r>
      <w:r w:rsidR="00E15E1B">
        <w:t xml:space="preserve"> </w:t>
      </w:r>
      <w:r>
        <w:t>of</w:t>
      </w:r>
      <w:r w:rsidR="00E15E1B">
        <w:t xml:space="preserve"> </w:t>
      </w:r>
      <w:r>
        <w:t>Victoria</w:t>
      </w:r>
      <w:r w:rsidR="00E15E1B">
        <w:t xml:space="preserve"> </w:t>
      </w:r>
      <w:r>
        <w:t>to</w:t>
      </w:r>
      <w:r w:rsidR="00E15E1B">
        <w:t xml:space="preserve"> </w:t>
      </w:r>
      <w:r>
        <w:t>improve</w:t>
      </w:r>
      <w:r w:rsidR="00E15E1B">
        <w:t xml:space="preserve"> </w:t>
      </w:r>
      <w:r>
        <w:t>the</w:t>
      </w:r>
      <w:r w:rsidR="00E15E1B">
        <w:t xml:space="preserve"> </w:t>
      </w:r>
      <w:r>
        <w:t>coverage</w:t>
      </w:r>
      <w:r w:rsidR="00E15E1B">
        <w:t xml:space="preserve"> </w:t>
      </w:r>
      <w:r>
        <w:t>of</w:t>
      </w:r>
      <w:r w:rsidR="00E15E1B">
        <w:t xml:space="preserve"> </w:t>
      </w:r>
      <w:r>
        <w:t>its</w:t>
      </w:r>
      <w:r w:rsidR="00E15E1B">
        <w:t xml:space="preserve"> </w:t>
      </w:r>
      <w:r>
        <w:t>fuel</w:t>
      </w:r>
      <w:r w:rsidR="00E15E1B">
        <w:t xml:space="preserve"> </w:t>
      </w:r>
      <w:r>
        <w:t>price</w:t>
      </w:r>
      <w:r w:rsidR="00E15E1B">
        <w:t xml:space="preserve"> </w:t>
      </w:r>
      <w:r>
        <w:t>app</w:t>
      </w:r>
    </w:p>
    <w:p w:rsidR="00156239" w:rsidRDefault="00156239" w:rsidP="00156239">
      <w:pPr>
        <w:pStyle w:val="ListBullet"/>
      </w:pPr>
      <w:r>
        <w:t>review</w:t>
      </w:r>
      <w:r w:rsidR="00E15E1B">
        <w:t xml:space="preserve"> </w:t>
      </w:r>
      <w:r>
        <w:t>planning</w:t>
      </w:r>
      <w:r w:rsidR="00E15E1B">
        <w:t xml:space="preserve"> </w:t>
      </w:r>
      <w:r>
        <w:t>policies</w:t>
      </w:r>
      <w:r w:rsidR="00E15E1B">
        <w:t xml:space="preserve"> </w:t>
      </w:r>
      <w:r>
        <w:t>to</w:t>
      </w:r>
      <w:r w:rsidR="00E15E1B">
        <w:t xml:space="preserve"> </w:t>
      </w:r>
      <w:r>
        <w:t>encourage</w:t>
      </w:r>
      <w:r w:rsidR="00E15E1B">
        <w:t xml:space="preserve"> </w:t>
      </w:r>
      <w:r>
        <w:t>new</w:t>
      </w:r>
      <w:r w:rsidR="00E15E1B">
        <w:t xml:space="preserve"> </w:t>
      </w:r>
      <w:r>
        <w:t>service</w:t>
      </w:r>
      <w:r w:rsidR="00E15E1B">
        <w:t xml:space="preserve"> </w:t>
      </w:r>
      <w:r>
        <w:t>stations</w:t>
      </w:r>
      <w:r w:rsidR="00E15E1B">
        <w:t xml:space="preserve"> </w:t>
      </w:r>
      <w:r>
        <w:t>in</w:t>
      </w:r>
      <w:r w:rsidR="00E15E1B">
        <w:t xml:space="preserve"> </w:t>
      </w:r>
      <w:r>
        <w:t>regional</w:t>
      </w:r>
      <w:r w:rsidR="00E15E1B">
        <w:t xml:space="preserve"> </w:t>
      </w:r>
      <w:r>
        <w:t>markets</w:t>
      </w:r>
      <w:r w:rsidR="00E15E1B">
        <w:t xml:space="preserve"> </w:t>
      </w:r>
      <w:r>
        <w:t>with</w:t>
      </w:r>
      <w:r w:rsidR="00E15E1B">
        <w:t xml:space="preserve"> </w:t>
      </w:r>
      <w:r>
        <w:t>low</w:t>
      </w:r>
      <w:r w:rsidR="00E15E1B">
        <w:t xml:space="preserve"> </w:t>
      </w:r>
      <w:r>
        <w:t>competition.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Government’s</w:t>
      </w:r>
      <w:r w:rsidR="00E15E1B">
        <w:t xml:space="preserve"> </w:t>
      </w:r>
      <w:r>
        <w:t>response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final</w:t>
      </w:r>
      <w:r w:rsidR="00E15E1B">
        <w:t xml:space="preserve"> </w:t>
      </w:r>
      <w:r>
        <w:t>report</w:t>
      </w:r>
      <w:r w:rsidR="00E15E1B">
        <w:t xml:space="preserve"> </w:t>
      </w:r>
      <w:r>
        <w:t>was</w:t>
      </w:r>
      <w:r w:rsidR="00E15E1B">
        <w:t xml:space="preserve"> </w:t>
      </w:r>
      <w:r>
        <w:t>tabled</w:t>
      </w:r>
      <w:r w:rsidR="00E15E1B">
        <w:t xml:space="preserve"> </w:t>
      </w:r>
      <w:r>
        <w:t>in</w:t>
      </w:r>
      <w:r w:rsidR="00E15E1B">
        <w:t xml:space="preserve"> </w:t>
      </w:r>
      <w:r>
        <w:t>Parliament</w:t>
      </w:r>
      <w:r w:rsidR="00E15E1B">
        <w:t xml:space="preserve"> </w:t>
      </w:r>
      <w:r>
        <w:t>on</w:t>
      </w:r>
      <w:r w:rsidR="00E15E1B">
        <w:t xml:space="preserve"> </w:t>
      </w:r>
      <w:r>
        <w:t>20</w:t>
      </w:r>
      <w:r w:rsidR="00E15E1B">
        <w:t xml:space="preserve"> </w:t>
      </w:r>
      <w:r>
        <w:t>August</w:t>
      </w:r>
      <w:r w:rsidR="00E15E1B">
        <w:t xml:space="preserve"> </w:t>
      </w:r>
      <w:r>
        <w:t>2018</w:t>
      </w:r>
      <w:r w:rsidR="00E15E1B">
        <w:t xml:space="preserve"> </w:t>
      </w:r>
      <w:r>
        <w:t>and</w:t>
      </w:r>
      <w:r w:rsidR="00E15E1B">
        <w:t xml:space="preserve"> </w:t>
      </w:r>
      <w:r>
        <w:t>supports</w:t>
      </w:r>
      <w:r w:rsidR="00E15E1B">
        <w:t xml:space="preserve"> </w:t>
      </w:r>
      <w:r>
        <w:t>each</w:t>
      </w:r>
      <w:r w:rsidR="00E15E1B">
        <w:t xml:space="preserve"> </w:t>
      </w:r>
      <w:r>
        <w:t>recommendation</w:t>
      </w:r>
      <w:r w:rsidR="00E15E1B">
        <w:t xml:space="preserve"> </w:t>
      </w:r>
      <w:r>
        <w:t>in</w:t>
      </w:r>
      <w:r w:rsidR="00E15E1B">
        <w:t xml:space="preserve"> </w:t>
      </w:r>
      <w:r>
        <w:t>full,</w:t>
      </w:r>
      <w:r w:rsidR="00E15E1B">
        <w:t xml:space="preserve"> </w:t>
      </w:r>
      <w:r>
        <w:t>as</w:t>
      </w:r>
      <w:r w:rsidR="00E15E1B">
        <w:t xml:space="preserve"> </w:t>
      </w:r>
      <w:r>
        <w:t>a</w:t>
      </w:r>
      <w:r w:rsidR="00E15E1B">
        <w:t xml:space="preserve"> </w:t>
      </w:r>
      <w:r>
        <w:t>means</w:t>
      </w:r>
      <w:r w:rsidR="00E15E1B">
        <w:t xml:space="preserve"> </w:t>
      </w:r>
      <w:r>
        <w:t>of</w:t>
      </w:r>
      <w:r w:rsidR="00E15E1B">
        <w:t xml:space="preserve"> </w:t>
      </w:r>
      <w:r>
        <w:t>enabling</w:t>
      </w:r>
      <w:r w:rsidR="00E15E1B">
        <w:t xml:space="preserve"> </w:t>
      </w:r>
      <w:r>
        <w:t>regional</w:t>
      </w:r>
      <w:r w:rsidR="00E15E1B">
        <w:t xml:space="preserve"> </w:t>
      </w:r>
      <w:r>
        <w:t>Victorian</w:t>
      </w:r>
      <w:r w:rsidR="00E15E1B">
        <w:t xml:space="preserve"> </w:t>
      </w:r>
      <w:r>
        <w:t>residents</w:t>
      </w:r>
      <w:r w:rsidR="00E15E1B">
        <w:t xml:space="preserve"> </w:t>
      </w:r>
      <w:r>
        <w:t>to</w:t>
      </w:r>
      <w:r w:rsidR="00E15E1B">
        <w:t xml:space="preserve"> </w:t>
      </w:r>
      <w:r>
        <w:t>make</w:t>
      </w:r>
      <w:r w:rsidR="00E15E1B">
        <w:t xml:space="preserve"> </w:t>
      </w:r>
      <w:r>
        <w:t>informed</w:t>
      </w:r>
      <w:r w:rsidR="00E15E1B">
        <w:t xml:space="preserve"> </w:t>
      </w:r>
      <w:r>
        <w:t>decisions</w:t>
      </w:r>
      <w:r w:rsidR="00E15E1B">
        <w:t xml:space="preserve"> </w:t>
      </w:r>
      <w:r>
        <w:t>about</w:t>
      </w:r>
      <w:r w:rsidR="00E15E1B">
        <w:t xml:space="preserve"> </w:t>
      </w:r>
      <w:r>
        <w:t>when</w:t>
      </w:r>
      <w:r w:rsidR="00E15E1B">
        <w:t xml:space="preserve"> </w:t>
      </w:r>
      <w:r>
        <w:t>and</w:t>
      </w:r>
      <w:r w:rsidR="00E15E1B">
        <w:t xml:space="preserve"> </w:t>
      </w:r>
      <w:r>
        <w:t>where</w:t>
      </w:r>
      <w:r w:rsidR="00E15E1B">
        <w:t xml:space="preserve"> </w:t>
      </w:r>
      <w:r>
        <w:t>to</w:t>
      </w:r>
      <w:r w:rsidR="00E15E1B">
        <w:t xml:space="preserve"> </w:t>
      </w:r>
      <w:r>
        <w:t>purchase</w:t>
      </w:r>
      <w:r w:rsidR="00E15E1B">
        <w:t xml:space="preserve"> </w:t>
      </w:r>
      <w:r>
        <w:t>fuel.</w:t>
      </w:r>
      <w:r w:rsidR="00E15E1B">
        <w:t xml:space="preserve"> </w:t>
      </w:r>
      <w:r>
        <w:t>A</w:t>
      </w:r>
      <w:r w:rsidR="00E15E1B">
        <w:t xml:space="preserve"> </w:t>
      </w:r>
      <w:r>
        <w:t>public</w:t>
      </w:r>
      <w:r w:rsidR="00E15E1B">
        <w:t xml:space="preserve"> </w:t>
      </w:r>
      <w:r>
        <w:t>awareness</w:t>
      </w:r>
      <w:r w:rsidR="00E15E1B">
        <w:t xml:space="preserve"> </w:t>
      </w:r>
      <w:r>
        <w:t>campaign</w:t>
      </w:r>
      <w:r w:rsidR="00E15E1B">
        <w:t xml:space="preserve"> </w:t>
      </w:r>
      <w:r>
        <w:t>is</w:t>
      </w:r>
      <w:r w:rsidR="00E15E1B">
        <w:t xml:space="preserve"> </w:t>
      </w:r>
      <w:r>
        <w:t>planned</w:t>
      </w:r>
      <w:r w:rsidR="00E15E1B">
        <w:t xml:space="preserve"> </w:t>
      </w:r>
      <w:r>
        <w:t>to</w:t>
      </w:r>
      <w:r w:rsidR="00E15E1B">
        <w:t xml:space="preserve"> </w:t>
      </w:r>
      <w:r>
        <w:t>commence</w:t>
      </w:r>
      <w:r w:rsidR="00E15E1B">
        <w:t xml:space="preserve"> </w:t>
      </w:r>
      <w:r>
        <w:t>in</w:t>
      </w:r>
      <w:r w:rsidR="00E15E1B">
        <w:t xml:space="preserve"> </w:t>
      </w:r>
      <w:r>
        <w:t>September</w:t>
      </w:r>
      <w:r w:rsidR="00E15E1B">
        <w:t xml:space="preserve"> </w:t>
      </w:r>
      <w:r>
        <w:t>2018.</w:t>
      </w:r>
    </w:p>
    <w:p w:rsidR="00156239" w:rsidRDefault="00156239" w:rsidP="00156239">
      <w:pPr>
        <w:pStyle w:val="BodyText"/>
      </w:pPr>
      <w:r>
        <w:t>Work</w:t>
      </w:r>
      <w:r w:rsidR="00E15E1B">
        <w:t xml:space="preserve"> </w:t>
      </w:r>
      <w:r>
        <w:t>in</w:t>
      </w:r>
      <w:r w:rsidR="00E15E1B">
        <w:t xml:space="preserve"> </w:t>
      </w:r>
      <w:r>
        <w:t>this</w:t>
      </w:r>
      <w:r w:rsidR="00E15E1B">
        <w:t xml:space="preserve"> </w:t>
      </w:r>
      <w:r>
        <w:t>area</w:t>
      </w:r>
      <w:r w:rsidR="00E15E1B">
        <w:t xml:space="preserve"> </w:t>
      </w:r>
      <w:r>
        <w:t>follows</w:t>
      </w:r>
      <w:r w:rsidR="00E15E1B">
        <w:t xml:space="preserve"> </w:t>
      </w:r>
      <w:r>
        <w:t>the</w:t>
      </w:r>
      <w:r w:rsidR="00E15E1B">
        <w:t xml:space="preserve"> </w:t>
      </w:r>
      <w:r>
        <w:t>introduction</w:t>
      </w:r>
      <w:r w:rsidR="00E15E1B">
        <w:t xml:space="preserve"> </w:t>
      </w:r>
      <w:r>
        <w:t>of</w:t>
      </w:r>
      <w:r w:rsidR="00E15E1B">
        <w:t xml:space="preserve"> </w:t>
      </w:r>
      <w:r>
        <w:t>new</w:t>
      </w:r>
      <w:r w:rsidR="00E15E1B">
        <w:t xml:space="preserve"> </w:t>
      </w:r>
      <w:r>
        <w:t>Regulations</w:t>
      </w:r>
      <w:r w:rsidR="00E15E1B">
        <w:t xml:space="preserve"> </w:t>
      </w:r>
      <w:r>
        <w:t>in</w:t>
      </w:r>
      <w:r w:rsidR="00E15E1B">
        <w:t xml:space="preserve"> </w:t>
      </w:r>
      <w:r>
        <w:t>2016</w:t>
      </w:r>
      <w:r w:rsidR="00E15E1B">
        <w:t xml:space="preserve"> </w:t>
      </w:r>
      <w:r>
        <w:t>requiring</w:t>
      </w:r>
      <w:r w:rsidR="00E15E1B">
        <w:t xml:space="preserve"> </w:t>
      </w:r>
      <w:r>
        <w:t>Victorian</w:t>
      </w:r>
      <w:r w:rsidR="00E15E1B">
        <w:t xml:space="preserve"> </w:t>
      </w:r>
      <w:r>
        <w:t>service</w:t>
      </w:r>
      <w:r w:rsidR="00E15E1B">
        <w:t xml:space="preserve"> </w:t>
      </w:r>
      <w:r>
        <w:t>stations</w:t>
      </w:r>
      <w:r w:rsidR="00E15E1B">
        <w:t xml:space="preserve"> </w:t>
      </w:r>
      <w:r>
        <w:t>to</w:t>
      </w:r>
      <w:r w:rsidR="00E15E1B">
        <w:t xml:space="preserve"> </w:t>
      </w:r>
      <w:r>
        <w:t>only</w:t>
      </w:r>
      <w:r w:rsidR="00E15E1B">
        <w:t xml:space="preserve"> </w:t>
      </w:r>
      <w:r>
        <w:t>advertise</w:t>
      </w:r>
      <w:r w:rsidR="00E15E1B">
        <w:t xml:space="preserve"> </w:t>
      </w:r>
      <w:r>
        <w:t>the</w:t>
      </w:r>
      <w:r w:rsidR="00E15E1B">
        <w:t xml:space="preserve"> </w:t>
      </w:r>
      <w:r>
        <w:t>full</w:t>
      </w:r>
      <w:r w:rsidR="00E15E1B">
        <w:t xml:space="preserve"> </w:t>
      </w:r>
      <w:r>
        <w:t>price</w:t>
      </w:r>
      <w:r w:rsidR="00E15E1B">
        <w:t xml:space="preserve"> </w:t>
      </w:r>
      <w:r>
        <w:t>of</w:t>
      </w:r>
      <w:r w:rsidR="00E15E1B">
        <w:t xml:space="preserve"> </w:t>
      </w:r>
      <w:r>
        <w:t>petrol</w:t>
      </w:r>
      <w:r w:rsidR="00E15E1B">
        <w:t xml:space="preserve"> </w:t>
      </w:r>
      <w:r>
        <w:t>to</w:t>
      </w:r>
      <w:r w:rsidR="00E15E1B">
        <w:t xml:space="preserve"> </w:t>
      </w:r>
      <w:r>
        <w:t>motorists</w:t>
      </w:r>
      <w:r w:rsidR="00E15E1B">
        <w:t xml:space="preserve"> </w:t>
      </w:r>
      <w:r>
        <w:t>on</w:t>
      </w:r>
      <w:r w:rsidR="00E15E1B">
        <w:t xml:space="preserve"> </w:t>
      </w:r>
      <w:r>
        <w:t>price</w:t>
      </w:r>
      <w:r w:rsidR="00E15E1B">
        <w:t xml:space="preserve"> </w:t>
      </w:r>
      <w:r>
        <w:t>boards,</w:t>
      </w:r>
      <w:r w:rsidR="00E15E1B">
        <w:t xml:space="preserve"> </w:t>
      </w:r>
      <w:r>
        <w:t>and</w:t>
      </w:r>
      <w:r w:rsidR="00E15E1B">
        <w:t xml:space="preserve"> </w:t>
      </w:r>
      <w:r>
        <w:t>remove</w:t>
      </w:r>
      <w:r w:rsidR="00E15E1B">
        <w:t xml:space="preserve"> </w:t>
      </w:r>
      <w:r>
        <w:t>the</w:t>
      </w:r>
      <w:r w:rsidR="00E15E1B">
        <w:t xml:space="preserve"> </w:t>
      </w:r>
      <w:r>
        <w:t>advertisement</w:t>
      </w:r>
      <w:r w:rsidR="00E15E1B">
        <w:t xml:space="preserve"> </w:t>
      </w:r>
      <w:r>
        <w:t>of</w:t>
      </w:r>
      <w:r w:rsidR="00E15E1B">
        <w:t xml:space="preserve"> </w:t>
      </w:r>
      <w:r>
        <w:t>‘docket-discount’</w:t>
      </w:r>
      <w:r w:rsidR="00E15E1B">
        <w:t xml:space="preserve"> </w:t>
      </w:r>
      <w:r>
        <w:t>fuel</w:t>
      </w:r>
      <w:r w:rsidR="00E15E1B">
        <w:t xml:space="preserve"> </w:t>
      </w:r>
      <w:r>
        <w:t>prices.</w:t>
      </w:r>
      <w:r w:rsidR="00E15E1B">
        <w:t xml:space="preserve"> </w:t>
      </w:r>
      <w:r>
        <w:t>This</w:t>
      </w:r>
      <w:r w:rsidR="00E15E1B">
        <w:t xml:space="preserve"> </w:t>
      </w:r>
      <w:r>
        <w:t>improves</w:t>
      </w:r>
      <w:r w:rsidR="00E15E1B">
        <w:t xml:space="preserve"> </w:t>
      </w:r>
      <w:r>
        <w:t>transparency</w:t>
      </w:r>
      <w:r w:rsidR="00E15E1B">
        <w:t xml:space="preserve"> </w:t>
      </w:r>
      <w:r>
        <w:t>for</w:t>
      </w:r>
      <w:r w:rsidR="00E15E1B">
        <w:t xml:space="preserve"> </w:t>
      </w:r>
      <w:r>
        <w:t>Victorian</w:t>
      </w:r>
      <w:r w:rsidR="00E15E1B">
        <w:t xml:space="preserve"> </w:t>
      </w:r>
      <w:r>
        <w:t>motorists,</w:t>
      </w:r>
      <w:r w:rsidR="00E15E1B">
        <w:t xml:space="preserve"> </w:t>
      </w:r>
      <w:r>
        <w:t>ensuring</w:t>
      </w:r>
      <w:r w:rsidR="00E15E1B">
        <w:t xml:space="preserve"> </w:t>
      </w:r>
      <w:r>
        <w:t>they</w:t>
      </w:r>
      <w:r w:rsidR="00E15E1B">
        <w:t xml:space="preserve"> </w:t>
      </w:r>
      <w:r>
        <w:t>are</w:t>
      </w:r>
      <w:r w:rsidR="00E15E1B">
        <w:t xml:space="preserve"> </w:t>
      </w:r>
      <w:r>
        <w:t>confident</w:t>
      </w:r>
      <w:r w:rsidR="00E15E1B">
        <w:t xml:space="preserve"> </w:t>
      </w:r>
      <w:r>
        <w:t>that</w:t>
      </w:r>
      <w:r w:rsidR="00E15E1B">
        <w:t xml:space="preserve"> </w:t>
      </w:r>
      <w:r>
        <w:t>the</w:t>
      </w:r>
      <w:r w:rsidR="00E15E1B">
        <w:t xml:space="preserve"> </w:t>
      </w:r>
      <w:r>
        <w:t>price</w:t>
      </w:r>
      <w:r w:rsidR="00E15E1B">
        <w:t xml:space="preserve"> </w:t>
      </w:r>
      <w:r>
        <w:t>on</w:t>
      </w:r>
      <w:r w:rsidR="00E15E1B">
        <w:t xml:space="preserve"> </w:t>
      </w:r>
      <w:r>
        <w:t>the</w:t>
      </w:r>
      <w:r w:rsidR="00E15E1B">
        <w:t xml:space="preserve"> </w:t>
      </w:r>
      <w:r>
        <w:t>board</w:t>
      </w:r>
      <w:r w:rsidR="00E15E1B">
        <w:t xml:space="preserve"> </w:t>
      </w:r>
      <w:r>
        <w:t>is</w:t>
      </w:r>
      <w:r w:rsidR="00E15E1B">
        <w:t xml:space="preserve"> </w:t>
      </w:r>
      <w:r>
        <w:t>the</w:t>
      </w:r>
      <w:r w:rsidR="00E15E1B">
        <w:t xml:space="preserve"> </w:t>
      </w:r>
      <w:r>
        <w:t>most</w:t>
      </w:r>
      <w:r w:rsidR="00E15E1B">
        <w:t xml:space="preserve"> </w:t>
      </w:r>
      <w:r>
        <w:t>they</w:t>
      </w:r>
      <w:r w:rsidR="00E15E1B">
        <w:t xml:space="preserve"> </w:t>
      </w:r>
      <w:r>
        <w:t>will</w:t>
      </w:r>
      <w:r w:rsidR="00E15E1B">
        <w:t xml:space="preserve"> </w:t>
      </w:r>
      <w:r>
        <w:t>pay</w:t>
      </w:r>
      <w:r w:rsidR="00E15E1B">
        <w:t xml:space="preserve"> </w:t>
      </w:r>
      <w:r>
        <w:t>at</w:t>
      </w:r>
      <w:r w:rsidR="00E15E1B">
        <w:t xml:space="preserve"> </w:t>
      </w:r>
      <w:r>
        <w:t>the</w:t>
      </w:r>
      <w:r w:rsidR="00E15E1B">
        <w:t xml:space="preserve"> </w:t>
      </w:r>
      <w:r>
        <w:t>pump.</w:t>
      </w:r>
    </w:p>
    <w:p w:rsidR="00156239" w:rsidRDefault="00156239" w:rsidP="00156239">
      <w:pPr>
        <w:pStyle w:val="Heading4"/>
      </w:pPr>
      <w:r>
        <w:t>Unruly</w:t>
      </w:r>
      <w:r w:rsidR="00E15E1B">
        <w:t xml:space="preserve"> </w:t>
      </w:r>
      <w:r>
        <w:t>parties</w:t>
      </w:r>
      <w:r w:rsidR="00E15E1B">
        <w:t xml:space="preserve"> </w:t>
      </w:r>
      <w:r>
        <w:t>in</w:t>
      </w:r>
      <w:r w:rsidR="00E15E1B">
        <w:t xml:space="preserve"> </w:t>
      </w:r>
      <w:r>
        <w:t>short-stay</w:t>
      </w:r>
      <w:r w:rsidR="00E15E1B">
        <w:t xml:space="preserve"> </w:t>
      </w:r>
      <w:r>
        <w:t>accommodation</w:t>
      </w:r>
    </w:p>
    <w:p w:rsidR="00156239" w:rsidRDefault="00156239" w:rsidP="00156239">
      <w:pPr>
        <w:pStyle w:val="BodyText"/>
      </w:pPr>
      <w:r>
        <w:t>Victoria’s</w:t>
      </w:r>
      <w:r w:rsidR="00E15E1B">
        <w:t xml:space="preserve"> </w:t>
      </w:r>
      <w:r>
        <w:t>tourism</w:t>
      </w:r>
      <w:r w:rsidR="00E15E1B">
        <w:t xml:space="preserve"> </w:t>
      </w:r>
      <w:r>
        <w:t>sector</w:t>
      </w:r>
      <w:r w:rsidR="00E15E1B">
        <w:t xml:space="preserve"> </w:t>
      </w:r>
      <w:r>
        <w:t>is</w:t>
      </w:r>
      <w:r w:rsidR="00E15E1B">
        <w:t xml:space="preserve"> </w:t>
      </w:r>
      <w:r>
        <w:t>worth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$25</w:t>
      </w:r>
      <w:r w:rsidR="00E15E1B">
        <w:t xml:space="preserve"> </w:t>
      </w:r>
      <w:r>
        <w:t>billion</w:t>
      </w:r>
      <w:r w:rsidR="00E15E1B">
        <w:t xml:space="preserve"> </w:t>
      </w:r>
      <w:r>
        <w:t>and</w:t>
      </w:r>
      <w:r w:rsidR="00E15E1B">
        <w:t xml:space="preserve"> </w:t>
      </w:r>
      <w:r>
        <w:t>employs</w:t>
      </w:r>
      <w:r w:rsidR="00E15E1B">
        <w:t xml:space="preserve"> </w:t>
      </w:r>
      <w:r>
        <w:t>over</w:t>
      </w:r>
      <w:r w:rsidR="00E15E1B">
        <w:t xml:space="preserve"> </w:t>
      </w:r>
      <w:r>
        <w:t>200,000</w:t>
      </w:r>
      <w:r w:rsidR="00E15E1B">
        <w:t xml:space="preserve"> </w:t>
      </w:r>
      <w:r>
        <w:t>people.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sector</w:t>
      </w:r>
      <w:r w:rsidR="00E15E1B">
        <w:t xml:space="preserve"> </w:t>
      </w:r>
      <w:r>
        <w:t>is</w:t>
      </w:r>
      <w:r w:rsidR="00E15E1B">
        <w:t xml:space="preserve"> </w:t>
      </w:r>
      <w:r>
        <w:t>supported</w:t>
      </w:r>
      <w:r w:rsidR="00E15E1B">
        <w:t xml:space="preserve"> </w:t>
      </w:r>
      <w:r>
        <w:t>by</w:t>
      </w:r>
      <w:r w:rsidR="00E15E1B">
        <w:t xml:space="preserve"> </w:t>
      </w:r>
      <w:r>
        <w:t>an</w:t>
      </w:r>
      <w:r w:rsidR="00E15E1B">
        <w:t xml:space="preserve"> </w:t>
      </w:r>
      <w:r>
        <w:t>estimated</w:t>
      </w:r>
      <w:r w:rsidR="00E15E1B">
        <w:t xml:space="preserve"> </w:t>
      </w:r>
      <w:r>
        <w:t>170,000</w:t>
      </w:r>
      <w:r w:rsidR="00E15E1B">
        <w:t xml:space="preserve"> </w:t>
      </w:r>
      <w:r>
        <w:t>short-stay</w:t>
      </w:r>
      <w:r w:rsidR="00E15E1B">
        <w:t xml:space="preserve"> </w:t>
      </w:r>
      <w:r>
        <w:t>properties</w:t>
      </w:r>
      <w:r w:rsidR="00E15E1B">
        <w:t xml:space="preserve"> </w:t>
      </w:r>
      <w:r>
        <w:t>in</w:t>
      </w:r>
      <w:r w:rsidR="00E15E1B">
        <w:t xml:space="preserve"> </w:t>
      </w:r>
      <w:r>
        <w:t>Victoria.</w:t>
      </w:r>
      <w:r w:rsidR="00E15E1B">
        <w:t xml:space="preserve"> </w:t>
      </w:r>
      <w:r>
        <w:t>The</w:t>
      </w:r>
      <w:r w:rsidR="00E15E1B">
        <w:t xml:space="preserve"> </w:t>
      </w:r>
      <w:r>
        <w:t>vast</w:t>
      </w:r>
      <w:r w:rsidR="00E15E1B">
        <w:t xml:space="preserve"> </w:t>
      </w:r>
      <w:r>
        <w:t>majority</w:t>
      </w:r>
      <w:r w:rsidR="00E15E1B">
        <w:t xml:space="preserve"> </w:t>
      </w:r>
      <w:r>
        <w:t>of</w:t>
      </w:r>
      <w:r w:rsidR="00E15E1B">
        <w:t xml:space="preserve"> </w:t>
      </w:r>
      <w:r>
        <w:t>short-stay</w:t>
      </w:r>
      <w:r w:rsidR="00E15E1B">
        <w:t xml:space="preserve"> </w:t>
      </w:r>
      <w:r>
        <w:t>owners,</w:t>
      </w:r>
      <w:r w:rsidR="00E15E1B">
        <w:t xml:space="preserve"> </w:t>
      </w:r>
      <w:r>
        <w:t>and</w:t>
      </w:r>
      <w:r w:rsidR="00E15E1B">
        <w:t xml:space="preserve"> </w:t>
      </w:r>
      <w:r>
        <w:t>their</w:t>
      </w:r>
      <w:r w:rsidR="00E15E1B">
        <w:t xml:space="preserve"> </w:t>
      </w:r>
      <w:r>
        <w:t>guests,</w:t>
      </w:r>
      <w:r w:rsidR="00E15E1B">
        <w:t xml:space="preserve"> </w:t>
      </w:r>
      <w:r>
        <w:t>do</w:t>
      </w:r>
      <w:r w:rsidR="00E15E1B">
        <w:t xml:space="preserve"> </w:t>
      </w:r>
      <w:r>
        <w:t>the</w:t>
      </w:r>
      <w:r w:rsidR="00E15E1B">
        <w:t xml:space="preserve"> </w:t>
      </w:r>
      <w:r>
        <w:t>right</w:t>
      </w:r>
      <w:r w:rsidR="00E15E1B">
        <w:t xml:space="preserve"> </w:t>
      </w:r>
      <w:r>
        <w:t>thing.</w:t>
      </w:r>
      <w:r w:rsidR="00E15E1B">
        <w:t xml:space="preserve"> </w:t>
      </w:r>
      <w:r>
        <w:t>However,</w:t>
      </w:r>
      <w:r w:rsidR="00E15E1B">
        <w:t xml:space="preserve"> </w:t>
      </w:r>
      <w:r>
        <w:t>some</w:t>
      </w:r>
      <w:r w:rsidR="00E15E1B">
        <w:t xml:space="preserve"> </w:t>
      </w:r>
      <w:r>
        <w:t>short-stay</w:t>
      </w:r>
      <w:r w:rsidR="00E15E1B">
        <w:t xml:space="preserve"> </w:t>
      </w:r>
      <w:r>
        <w:t>guests</w:t>
      </w:r>
      <w:r w:rsidR="00E15E1B">
        <w:t xml:space="preserve"> </w:t>
      </w:r>
      <w:r>
        <w:t>have</w:t>
      </w:r>
      <w:r w:rsidR="00E15E1B">
        <w:t xml:space="preserve"> </w:t>
      </w:r>
      <w:r>
        <w:t>hosted</w:t>
      </w:r>
      <w:r w:rsidR="00E15E1B">
        <w:t xml:space="preserve"> </w:t>
      </w:r>
      <w:r>
        <w:t>unruly</w:t>
      </w:r>
      <w:r w:rsidR="00E15E1B">
        <w:t xml:space="preserve"> </w:t>
      </w:r>
      <w:r>
        <w:t>parties</w:t>
      </w:r>
      <w:r w:rsidR="00E15E1B">
        <w:t xml:space="preserve"> </w:t>
      </w:r>
      <w:r>
        <w:t>and</w:t>
      </w:r>
      <w:r w:rsidR="00E15E1B">
        <w:t xml:space="preserve"> </w:t>
      </w:r>
      <w:r>
        <w:t>damaged</w:t>
      </w:r>
      <w:r w:rsidR="00E15E1B">
        <w:t xml:space="preserve"> </w:t>
      </w:r>
      <w:r>
        <w:t>properties.</w:t>
      </w:r>
    </w:p>
    <w:p w:rsidR="00156239" w:rsidRDefault="00156239" w:rsidP="00156239">
      <w:pPr>
        <w:pStyle w:val="BodyText"/>
      </w:pPr>
      <w:r>
        <w:t>New</w:t>
      </w:r>
      <w:r w:rsidR="00E15E1B">
        <w:t xml:space="preserve"> </w:t>
      </w:r>
      <w:r>
        <w:t>laws</w:t>
      </w:r>
      <w:r w:rsidR="00E15E1B">
        <w:t xml:space="preserve"> </w:t>
      </w:r>
      <w:r>
        <w:t>have</w:t>
      </w:r>
      <w:r w:rsidR="00E15E1B">
        <w:t xml:space="preserve"> </w:t>
      </w:r>
      <w:r>
        <w:t>been</w:t>
      </w:r>
      <w:r w:rsidR="00E15E1B">
        <w:t xml:space="preserve"> </w:t>
      </w:r>
      <w:r>
        <w:t>developed</w:t>
      </w:r>
      <w:r w:rsidR="00E15E1B">
        <w:t xml:space="preserve"> </w:t>
      </w:r>
      <w:r>
        <w:t>to</w:t>
      </w:r>
      <w:r w:rsidR="00E15E1B">
        <w:t xml:space="preserve"> </w:t>
      </w:r>
      <w:r>
        <w:t>protect</w:t>
      </w:r>
      <w:r w:rsidR="00E15E1B">
        <w:t xml:space="preserve"> </w:t>
      </w:r>
      <w:r>
        <w:t>residents</w:t>
      </w:r>
      <w:r w:rsidR="00E15E1B">
        <w:t xml:space="preserve"> </w:t>
      </w:r>
      <w:r>
        <w:t>of</w:t>
      </w:r>
      <w:r w:rsidR="00E15E1B">
        <w:t xml:space="preserve"> </w:t>
      </w:r>
      <w:r>
        <w:t>high-rise</w:t>
      </w:r>
      <w:r w:rsidR="00E15E1B">
        <w:t xml:space="preserve"> </w:t>
      </w:r>
      <w:r>
        <w:t>apartments</w:t>
      </w:r>
      <w:r w:rsidR="00E15E1B">
        <w:t xml:space="preserve"> </w:t>
      </w:r>
      <w:r>
        <w:t>from</w:t>
      </w:r>
      <w:r w:rsidR="00E15E1B">
        <w:t xml:space="preserve"> </w:t>
      </w:r>
      <w:r>
        <w:t>unruly</w:t>
      </w:r>
      <w:r w:rsidR="00E15E1B">
        <w:t xml:space="preserve"> </w:t>
      </w:r>
      <w:r>
        <w:t>parties</w:t>
      </w:r>
      <w:r w:rsidR="00E15E1B">
        <w:t xml:space="preserve"> </w:t>
      </w:r>
      <w:r>
        <w:t>in</w:t>
      </w:r>
      <w:r w:rsidR="00E15E1B">
        <w:t xml:space="preserve"> </w:t>
      </w:r>
      <w:r>
        <w:t>short-stay</w:t>
      </w:r>
      <w:r w:rsidR="00E15E1B">
        <w:t xml:space="preserve"> </w:t>
      </w:r>
      <w:r>
        <w:t>accommodation.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laws</w:t>
      </w:r>
      <w:r w:rsidR="00E15E1B">
        <w:t xml:space="preserve"> </w:t>
      </w:r>
      <w:r>
        <w:t>propose</w:t>
      </w:r>
      <w:r w:rsidR="00E15E1B">
        <w:t xml:space="preserve"> </w:t>
      </w:r>
      <w:r>
        <w:t>to</w:t>
      </w:r>
      <w:r w:rsidR="00E15E1B">
        <w:t xml:space="preserve"> </w:t>
      </w:r>
      <w:r>
        <w:t>address</w:t>
      </w:r>
      <w:r w:rsidR="00E15E1B">
        <w:t xml:space="preserve"> </w:t>
      </w:r>
      <w:r>
        <w:t>this</w:t>
      </w:r>
      <w:r w:rsidR="00E15E1B">
        <w:t xml:space="preserve"> </w:t>
      </w:r>
      <w:r>
        <w:t>problem</w:t>
      </w:r>
      <w:r w:rsidR="00E15E1B">
        <w:t xml:space="preserve"> </w:t>
      </w:r>
      <w:r>
        <w:t>by</w:t>
      </w:r>
      <w:r w:rsidR="00E15E1B">
        <w:t xml:space="preserve"> </w:t>
      </w:r>
      <w:r>
        <w:t>making</w:t>
      </w:r>
      <w:r w:rsidR="00E15E1B">
        <w:t xml:space="preserve"> </w:t>
      </w:r>
      <w:r>
        <w:t>short-stay</w:t>
      </w:r>
      <w:r w:rsidR="00E15E1B">
        <w:t xml:space="preserve"> </w:t>
      </w:r>
      <w:r>
        <w:t>providers</w:t>
      </w:r>
      <w:r w:rsidR="00E15E1B">
        <w:t xml:space="preserve"> </w:t>
      </w:r>
      <w:r>
        <w:t>in</w:t>
      </w:r>
      <w:r w:rsidR="00E15E1B">
        <w:t xml:space="preserve"> </w:t>
      </w:r>
      <w:r>
        <w:t>high-rise</w:t>
      </w:r>
      <w:r w:rsidR="00E15E1B">
        <w:t xml:space="preserve"> </w:t>
      </w:r>
      <w:r>
        <w:t>buildings</w:t>
      </w:r>
      <w:r w:rsidR="00E15E1B">
        <w:t xml:space="preserve"> </w:t>
      </w:r>
      <w:r>
        <w:t>responsible</w:t>
      </w:r>
      <w:r w:rsidR="00E15E1B">
        <w:t xml:space="preserve"> </w:t>
      </w:r>
      <w:r>
        <w:t>for</w:t>
      </w:r>
      <w:r w:rsidR="00E15E1B">
        <w:t xml:space="preserve"> </w:t>
      </w:r>
      <w:r>
        <w:t>the</w:t>
      </w:r>
      <w:r w:rsidR="00E15E1B">
        <w:t xml:space="preserve"> </w:t>
      </w:r>
      <w:r>
        <w:t>behaviour</w:t>
      </w:r>
      <w:r w:rsidR="00E15E1B">
        <w:t xml:space="preserve"> </w:t>
      </w:r>
      <w:r>
        <w:t>of</w:t>
      </w:r>
      <w:r w:rsidR="00E15E1B">
        <w:t xml:space="preserve"> </w:t>
      </w:r>
      <w:r>
        <w:t>their</w:t>
      </w:r>
      <w:r w:rsidR="00E15E1B">
        <w:t xml:space="preserve"> </w:t>
      </w:r>
      <w:r>
        <w:t>short-stay</w:t>
      </w:r>
      <w:r w:rsidR="00E15E1B">
        <w:t xml:space="preserve"> </w:t>
      </w:r>
      <w:r>
        <w:t>residents.</w:t>
      </w:r>
      <w:r w:rsidR="00E15E1B">
        <w:t xml:space="preserve"> </w:t>
      </w:r>
      <w:r>
        <w:t>Owners</w:t>
      </w:r>
      <w:r w:rsidR="00E15E1B">
        <w:t xml:space="preserve"> </w:t>
      </w:r>
      <w:r>
        <w:t>corporations</w:t>
      </w:r>
      <w:r w:rsidR="00E15E1B">
        <w:t xml:space="preserve"> </w:t>
      </w:r>
      <w:r>
        <w:t>and</w:t>
      </w:r>
      <w:r w:rsidR="00E15E1B">
        <w:t xml:space="preserve"> </w:t>
      </w:r>
      <w:r>
        <w:t>residents</w:t>
      </w:r>
      <w:r w:rsidR="00E15E1B">
        <w:t xml:space="preserve"> </w:t>
      </w:r>
      <w:r>
        <w:t>in</w:t>
      </w:r>
      <w:r w:rsidR="00E15E1B">
        <w:t xml:space="preserve"> </w:t>
      </w:r>
      <w:r>
        <w:t>high</w:t>
      </w:r>
      <w:r>
        <w:rPr>
          <w:rFonts w:ascii="MS Mincho" w:eastAsia="MS Mincho" w:hAnsi="MS Mincho" w:cs="MS Mincho" w:hint="eastAsia"/>
        </w:rPr>
        <w:t>‑</w:t>
      </w:r>
      <w:r>
        <w:t>rise</w:t>
      </w:r>
      <w:r w:rsidR="00E15E1B">
        <w:t xml:space="preserve"> </w:t>
      </w:r>
      <w:r>
        <w:t>buildings</w:t>
      </w:r>
      <w:r w:rsidR="00E15E1B">
        <w:t xml:space="preserve"> </w:t>
      </w:r>
      <w:r>
        <w:t>will</w:t>
      </w:r>
      <w:r w:rsidR="00E15E1B">
        <w:t xml:space="preserve"> </w:t>
      </w:r>
      <w:r>
        <w:t>be</w:t>
      </w:r>
      <w:r w:rsidR="00E15E1B">
        <w:t xml:space="preserve"> </w:t>
      </w:r>
      <w:r>
        <w:t>permitted</w:t>
      </w:r>
      <w:r w:rsidR="00E15E1B">
        <w:t xml:space="preserve"> </w:t>
      </w:r>
      <w:r>
        <w:t>to</w:t>
      </w:r>
      <w:r w:rsidR="00E15E1B">
        <w:t xml:space="preserve"> </w:t>
      </w:r>
      <w:r>
        <w:t>take</w:t>
      </w:r>
      <w:r w:rsidR="00E15E1B">
        <w:t xml:space="preserve"> </w:t>
      </w:r>
      <w:r>
        <w:t>action</w:t>
      </w:r>
      <w:r w:rsidR="00E15E1B">
        <w:t xml:space="preserve"> </w:t>
      </w:r>
      <w:r>
        <w:t>for</w:t>
      </w:r>
      <w:r w:rsidR="00E15E1B">
        <w:t xml:space="preserve"> </w:t>
      </w:r>
      <w:r>
        <w:t>repeated</w:t>
      </w:r>
      <w:r w:rsidR="00E15E1B">
        <w:t xml:space="preserve"> </w:t>
      </w:r>
      <w:r>
        <w:t>breaches</w:t>
      </w:r>
      <w:r w:rsidR="00E15E1B">
        <w:t xml:space="preserve"> </w:t>
      </w:r>
      <w:r>
        <w:t>of</w:t>
      </w:r>
      <w:r w:rsidR="00E15E1B">
        <w:t xml:space="preserve"> </w:t>
      </w:r>
      <w:r>
        <w:t>prescribed</w:t>
      </w:r>
      <w:r w:rsidR="00E15E1B">
        <w:t xml:space="preserve"> </w:t>
      </w:r>
      <w:r>
        <w:t>short-stay</w:t>
      </w:r>
      <w:r w:rsidR="00E15E1B">
        <w:t xml:space="preserve"> </w:t>
      </w:r>
      <w:r>
        <w:t>conduct</w:t>
      </w:r>
      <w:r w:rsidR="00E15E1B">
        <w:t xml:space="preserve"> </w:t>
      </w:r>
      <w:r>
        <w:t>rules.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 w:rsidRPr="00E96742">
        <w:rPr>
          <w:rStyle w:val="Emphasis"/>
        </w:rPr>
        <w:t>Owners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Corporations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Amendment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(Short-Stay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Accommodation)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2018</w:t>
      </w:r>
      <w:r w:rsidR="00E15E1B">
        <w:t xml:space="preserve"> </w:t>
      </w:r>
      <w:r>
        <w:t>received</w:t>
      </w:r>
      <w:r w:rsidR="00E15E1B">
        <w:t xml:space="preserve"> </w:t>
      </w:r>
      <w:r>
        <w:t>the</w:t>
      </w:r>
      <w:r w:rsidR="00E15E1B">
        <w:t xml:space="preserve"> </w:t>
      </w:r>
      <w:r>
        <w:t>Royal</w:t>
      </w:r>
      <w:r w:rsidR="00E15E1B">
        <w:t xml:space="preserve"> </w:t>
      </w:r>
      <w:r>
        <w:t>Assent</w:t>
      </w:r>
      <w:r w:rsidR="00E15E1B">
        <w:t xml:space="preserve"> </w:t>
      </w:r>
      <w:r>
        <w:t>on</w:t>
      </w:r>
      <w:r w:rsidR="00E15E1B">
        <w:t xml:space="preserve"> </w:t>
      </w:r>
      <w:r>
        <w:t>14</w:t>
      </w:r>
      <w:r w:rsidR="00E15E1B">
        <w:t xml:space="preserve"> </w:t>
      </w:r>
      <w:r>
        <w:t>August</w:t>
      </w:r>
      <w:r w:rsidR="00E15E1B">
        <w:t xml:space="preserve"> </w:t>
      </w:r>
      <w:r>
        <w:t>2018</w:t>
      </w:r>
      <w:r w:rsidR="00E15E1B">
        <w:t xml:space="preserve"> </w:t>
      </w:r>
      <w:r>
        <w:t>and</w:t>
      </w:r>
      <w:r w:rsidR="00E15E1B">
        <w:t xml:space="preserve"> </w:t>
      </w:r>
      <w:r>
        <w:t>will</w:t>
      </w:r>
      <w:r w:rsidR="00E15E1B">
        <w:t xml:space="preserve"> </w:t>
      </w:r>
      <w:r>
        <w:t>commence</w:t>
      </w:r>
      <w:r w:rsidR="00E15E1B">
        <w:t xml:space="preserve"> </w:t>
      </w:r>
      <w:r>
        <w:t>by</w:t>
      </w:r>
      <w:r w:rsidR="00E15E1B">
        <w:t xml:space="preserve"> </w:t>
      </w:r>
      <w:r>
        <w:t>1</w:t>
      </w:r>
      <w:r w:rsidR="00E15E1B">
        <w:t xml:space="preserve"> </w:t>
      </w:r>
      <w:r>
        <w:t>February</w:t>
      </w:r>
      <w:r w:rsidR="00E15E1B">
        <w:t xml:space="preserve"> </w:t>
      </w:r>
      <w:r>
        <w:t>2019.</w:t>
      </w:r>
    </w:p>
    <w:p w:rsidR="00156239" w:rsidRDefault="00156239" w:rsidP="00156239">
      <w:pPr>
        <w:pStyle w:val="Heading4"/>
      </w:pPr>
      <w:r>
        <w:t>Review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Australian</w:t>
      </w:r>
      <w:r w:rsidR="00E15E1B">
        <w:t xml:space="preserve"> </w:t>
      </w:r>
      <w:r>
        <w:t>Consumer</w:t>
      </w:r>
      <w:r w:rsidR="00E15E1B">
        <w:t xml:space="preserve"> </w:t>
      </w:r>
      <w:r>
        <w:t>Law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Australian</w:t>
      </w:r>
      <w:r w:rsidR="00E15E1B">
        <w:t xml:space="preserve"> </w:t>
      </w:r>
      <w:r>
        <w:t>Consumer</w:t>
      </w:r>
      <w:r w:rsidR="00E15E1B">
        <w:t xml:space="preserve"> </w:t>
      </w:r>
      <w:r>
        <w:t>Law</w:t>
      </w:r>
      <w:r w:rsidR="00E15E1B">
        <w:t xml:space="preserve"> </w:t>
      </w:r>
      <w:r>
        <w:t>was</w:t>
      </w:r>
      <w:r w:rsidR="00E15E1B">
        <w:t xml:space="preserve"> </w:t>
      </w:r>
      <w:r>
        <w:t>reviewed</w:t>
      </w:r>
      <w:r w:rsidR="00E15E1B">
        <w:t xml:space="preserve"> </w:t>
      </w:r>
      <w:r>
        <w:t>in</w:t>
      </w:r>
      <w:r w:rsidR="00E15E1B">
        <w:t xml:space="preserve"> </w:t>
      </w:r>
      <w:r>
        <w:t>2016–17</w:t>
      </w:r>
      <w:r w:rsidR="00E15E1B">
        <w:t xml:space="preserve"> </w:t>
      </w:r>
      <w:r>
        <w:t>for</w:t>
      </w:r>
      <w:r w:rsidR="00E15E1B">
        <w:t xml:space="preserve"> </w:t>
      </w:r>
      <w:r>
        <w:t>the</w:t>
      </w:r>
      <w:r w:rsidR="00E15E1B">
        <w:t xml:space="preserve"> </w:t>
      </w:r>
      <w:r>
        <w:t>first</w:t>
      </w:r>
      <w:r w:rsidR="00E15E1B">
        <w:t xml:space="preserve"> </w:t>
      </w:r>
      <w:r>
        <w:t>time</w:t>
      </w:r>
      <w:r w:rsidR="00E15E1B">
        <w:t xml:space="preserve"> </w:t>
      </w:r>
      <w:r>
        <w:t>since</w:t>
      </w:r>
      <w:r w:rsidR="00E15E1B">
        <w:t xml:space="preserve"> </w:t>
      </w:r>
      <w:r>
        <w:t>it</w:t>
      </w:r>
      <w:r w:rsidR="00E15E1B">
        <w:t xml:space="preserve"> </w:t>
      </w:r>
      <w:r>
        <w:t>was</w:t>
      </w:r>
      <w:r w:rsidR="00E15E1B">
        <w:t xml:space="preserve"> </w:t>
      </w:r>
      <w:r>
        <w:t>introduced</w:t>
      </w:r>
      <w:r w:rsidR="00E15E1B">
        <w:t xml:space="preserve"> </w:t>
      </w:r>
      <w:r>
        <w:t>in</w:t>
      </w:r>
      <w:r w:rsidR="00E15E1B">
        <w:t xml:space="preserve"> </w:t>
      </w:r>
      <w:r>
        <w:t>2011.</w:t>
      </w:r>
      <w:r w:rsidR="00E15E1B">
        <w:t xml:space="preserve"> </w:t>
      </w:r>
      <w:r>
        <w:t>The</w:t>
      </w:r>
      <w:r w:rsidR="00E15E1B">
        <w:t xml:space="preserve"> </w:t>
      </w:r>
      <w:r>
        <w:t>comprehensive</w:t>
      </w:r>
      <w:r w:rsidR="00E15E1B">
        <w:t xml:space="preserve"> </w:t>
      </w:r>
      <w:r>
        <w:t>and</w:t>
      </w:r>
      <w:r w:rsidR="00E15E1B">
        <w:t xml:space="preserve"> </w:t>
      </w:r>
      <w:r>
        <w:t>wide-ranging</w:t>
      </w:r>
      <w:r w:rsidR="00E15E1B">
        <w:t xml:space="preserve"> </w:t>
      </w:r>
      <w:r>
        <w:t>review</w:t>
      </w:r>
      <w:r w:rsidR="00E15E1B">
        <w:t xml:space="preserve"> </w:t>
      </w:r>
      <w:r>
        <w:t>was</w:t>
      </w:r>
      <w:r w:rsidR="00E15E1B">
        <w:t xml:space="preserve"> </w:t>
      </w:r>
      <w:r>
        <w:t>conducted</w:t>
      </w:r>
      <w:r w:rsidR="00E15E1B">
        <w:t xml:space="preserve"> </w:t>
      </w:r>
      <w:r>
        <w:t>by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Australia</w:t>
      </w:r>
      <w:r w:rsidR="00E15E1B">
        <w:t xml:space="preserve"> </w:t>
      </w:r>
      <w:r>
        <w:t>and</w:t>
      </w:r>
      <w:r w:rsidR="00E15E1B">
        <w:t xml:space="preserve"> </w:t>
      </w:r>
      <w:r>
        <w:t>New</w:t>
      </w:r>
      <w:r w:rsidR="00E15E1B">
        <w:t xml:space="preserve"> </w:t>
      </w:r>
      <w:r>
        <w:t>Zealand,</w:t>
      </w:r>
      <w:r w:rsidR="00E15E1B">
        <w:t xml:space="preserve"> </w:t>
      </w:r>
      <w:r>
        <w:t>a</w:t>
      </w:r>
      <w:r w:rsidR="00E15E1B">
        <w:t xml:space="preserve"> </w:t>
      </w:r>
      <w:r>
        <w:t>forum</w:t>
      </w:r>
      <w:r w:rsidR="00E15E1B">
        <w:t xml:space="preserve"> </w:t>
      </w:r>
      <w:r>
        <w:t>of</w:t>
      </w:r>
      <w:r w:rsidR="00E15E1B">
        <w:t xml:space="preserve"> </w:t>
      </w:r>
      <w:r>
        <w:t>senior</w:t>
      </w:r>
      <w:r w:rsidR="00E15E1B">
        <w:t xml:space="preserve"> </w:t>
      </w:r>
      <w:r>
        <w:t>state</w:t>
      </w:r>
      <w:r w:rsidR="00E15E1B">
        <w:t xml:space="preserve"> </w:t>
      </w:r>
      <w:r>
        <w:t>and</w:t>
      </w:r>
      <w:r w:rsidR="00E15E1B">
        <w:t xml:space="preserve"> </w:t>
      </w:r>
      <w:r>
        <w:t>territory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officials.</w:t>
      </w:r>
    </w:p>
    <w:p w:rsidR="00156239" w:rsidRDefault="00156239" w:rsidP="00156239">
      <w:pPr>
        <w:pStyle w:val="BodyText"/>
      </w:pPr>
      <w:r>
        <w:lastRenderedPageBreak/>
        <w:t>Commonwealth,</w:t>
      </w:r>
      <w:r w:rsidR="00E15E1B">
        <w:t xml:space="preserve"> </w:t>
      </w:r>
      <w:r>
        <w:t>state</w:t>
      </w:r>
      <w:r w:rsidR="00E15E1B">
        <w:t xml:space="preserve"> </w:t>
      </w:r>
      <w:r>
        <w:t>and</w:t>
      </w:r>
      <w:r w:rsidR="00E15E1B">
        <w:t xml:space="preserve"> </w:t>
      </w:r>
      <w:r>
        <w:t>territory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ministers</w:t>
      </w:r>
      <w:r w:rsidR="00E15E1B">
        <w:t xml:space="preserve"> </w:t>
      </w:r>
      <w:r>
        <w:t>received</w:t>
      </w:r>
      <w:r w:rsidR="00E15E1B">
        <w:t xml:space="preserve"> </w:t>
      </w:r>
      <w:r>
        <w:t>the</w:t>
      </w:r>
      <w:r w:rsidR="00E15E1B">
        <w:t xml:space="preserve"> </w:t>
      </w:r>
      <w:r>
        <w:t>final</w:t>
      </w:r>
      <w:r w:rsidR="00E15E1B">
        <w:t xml:space="preserve"> </w:t>
      </w:r>
      <w:r>
        <w:t>report</w:t>
      </w:r>
      <w:r w:rsidR="00E15E1B">
        <w:t xml:space="preserve"> </w:t>
      </w:r>
      <w:r>
        <w:t>on</w:t>
      </w:r>
      <w:r w:rsidR="00E15E1B">
        <w:t xml:space="preserve"> </w:t>
      </w:r>
      <w:r>
        <w:t>31</w:t>
      </w:r>
      <w:r w:rsidR="00E15E1B">
        <w:t xml:space="preserve"> </w:t>
      </w:r>
      <w:r>
        <w:t>March</w:t>
      </w:r>
      <w:r w:rsidR="00E15E1B">
        <w:t xml:space="preserve"> </w:t>
      </w:r>
      <w:r>
        <w:t>2017.</w:t>
      </w:r>
      <w:r w:rsidR="00E15E1B">
        <w:t xml:space="preserve"> </w:t>
      </w:r>
      <w:r>
        <w:t>It</w:t>
      </w:r>
      <w:r w:rsidR="00E15E1B">
        <w:t xml:space="preserve"> </w:t>
      </w:r>
      <w:r>
        <w:t>drew</w:t>
      </w:r>
      <w:r w:rsidR="00E15E1B">
        <w:t xml:space="preserve"> </w:t>
      </w:r>
      <w:r>
        <w:t>from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260</w:t>
      </w:r>
      <w:r w:rsidR="00E15E1B">
        <w:t xml:space="preserve"> </w:t>
      </w:r>
      <w:r>
        <w:t>submissions</w:t>
      </w:r>
      <w:r w:rsidR="00E15E1B">
        <w:t xml:space="preserve"> </w:t>
      </w:r>
      <w:r>
        <w:t>and</w:t>
      </w:r>
      <w:r w:rsidR="00E15E1B">
        <w:t xml:space="preserve"> </w:t>
      </w:r>
      <w:r>
        <w:t>face-to-face</w:t>
      </w:r>
      <w:r w:rsidR="00E15E1B">
        <w:t xml:space="preserve"> </w:t>
      </w:r>
      <w:r>
        <w:t>meetings</w:t>
      </w:r>
      <w:r w:rsidR="00E15E1B">
        <w:t xml:space="preserve"> </w:t>
      </w:r>
      <w:r>
        <w:t>with</w:t>
      </w:r>
      <w:r w:rsidR="00E15E1B">
        <w:t xml:space="preserve"> </w:t>
      </w:r>
      <w:r>
        <w:t>over</w:t>
      </w:r>
      <w:r w:rsidR="00E15E1B">
        <w:t xml:space="preserve"> </w:t>
      </w:r>
      <w:r>
        <w:t>130</w:t>
      </w:r>
      <w:r w:rsidR="00E15E1B">
        <w:t xml:space="preserve"> </w:t>
      </w:r>
      <w:r>
        <w:t>stakeholders</w:t>
      </w:r>
      <w:r w:rsidR="00E15E1B">
        <w:t xml:space="preserve"> </w:t>
      </w:r>
      <w:r>
        <w:t>across</w:t>
      </w:r>
      <w:r w:rsidR="00E15E1B">
        <w:t xml:space="preserve"> </w:t>
      </w:r>
      <w:r>
        <w:t>Australia.</w:t>
      </w:r>
    </w:p>
    <w:p w:rsidR="00156239" w:rsidRDefault="00156239" w:rsidP="00156239">
      <w:pPr>
        <w:pStyle w:val="BodyText"/>
      </w:pPr>
      <w:r>
        <w:t>Ministers</w:t>
      </w:r>
      <w:r w:rsidR="00E15E1B">
        <w:t xml:space="preserve"> </w:t>
      </w:r>
      <w:r>
        <w:t>from</w:t>
      </w:r>
      <w:r w:rsidR="00E15E1B">
        <w:t xml:space="preserve"> </w:t>
      </w:r>
      <w:r>
        <w:t>across</w:t>
      </w:r>
      <w:r w:rsidR="00E15E1B">
        <w:t xml:space="preserve"> </w:t>
      </w:r>
      <w:r>
        <w:t>the</w:t>
      </w:r>
      <w:r w:rsidR="00E15E1B">
        <w:t xml:space="preserve"> </w:t>
      </w:r>
      <w:r>
        <w:t>country</w:t>
      </w:r>
      <w:r w:rsidR="00E15E1B">
        <w:t xml:space="preserve"> </w:t>
      </w:r>
      <w:r>
        <w:t>endorsed</w:t>
      </w:r>
      <w:r w:rsidR="00E15E1B">
        <w:t xml:space="preserve"> </w:t>
      </w:r>
      <w:r>
        <w:t>a</w:t>
      </w:r>
      <w:r w:rsidR="00E15E1B">
        <w:t xml:space="preserve"> </w:t>
      </w:r>
      <w:r>
        <w:t>package</w:t>
      </w:r>
      <w:r w:rsidR="00E15E1B">
        <w:t xml:space="preserve"> </w:t>
      </w:r>
      <w:r>
        <w:t>of</w:t>
      </w:r>
      <w:r w:rsidR="00E15E1B">
        <w:t xml:space="preserve"> </w:t>
      </w:r>
      <w:r>
        <w:t>19</w:t>
      </w:r>
      <w:r w:rsidR="00E15E1B">
        <w:t xml:space="preserve"> </w:t>
      </w:r>
      <w:r>
        <w:t>legislative</w:t>
      </w:r>
      <w:r w:rsidR="00E15E1B">
        <w:t xml:space="preserve"> </w:t>
      </w:r>
      <w:r>
        <w:t>proposals</w:t>
      </w:r>
      <w:r w:rsidR="00E15E1B">
        <w:t xml:space="preserve"> </w:t>
      </w:r>
      <w:r>
        <w:t>to</w:t>
      </w:r>
      <w:r w:rsidR="00E15E1B">
        <w:t xml:space="preserve"> </w:t>
      </w:r>
      <w:r>
        <w:t>strengthen</w:t>
      </w:r>
      <w:r w:rsidR="00E15E1B">
        <w:t xml:space="preserve"> </w:t>
      </w:r>
      <w:r>
        <w:t>and</w:t>
      </w:r>
      <w:r w:rsidR="00E15E1B">
        <w:t xml:space="preserve"> </w:t>
      </w:r>
      <w:r>
        <w:t>clarify</w:t>
      </w:r>
      <w:r w:rsidR="00E15E1B">
        <w:t xml:space="preserve"> </w:t>
      </w:r>
      <w:r>
        <w:t>the</w:t>
      </w:r>
      <w:r w:rsidR="00E15E1B">
        <w:t xml:space="preserve"> </w:t>
      </w:r>
      <w:r>
        <w:t>law.</w:t>
      </w:r>
      <w:r w:rsidR="00E15E1B">
        <w:t xml:space="preserve"> </w:t>
      </w:r>
      <w:r>
        <w:t>These</w:t>
      </w:r>
      <w:r w:rsidR="00E15E1B">
        <w:t xml:space="preserve"> </w:t>
      </w:r>
      <w:r>
        <w:t>range</w:t>
      </w:r>
      <w:r w:rsidR="00E15E1B">
        <w:t xml:space="preserve"> </w:t>
      </w:r>
      <w:r>
        <w:t>from</w:t>
      </w:r>
      <w:r w:rsidR="00E15E1B">
        <w:t xml:space="preserve"> </w:t>
      </w:r>
      <w:r>
        <w:t>increasing</w:t>
      </w:r>
      <w:r w:rsidR="00E15E1B">
        <w:t xml:space="preserve"> </w:t>
      </w:r>
      <w:r>
        <w:t>the</w:t>
      </w:r>
      <w:r w:rsidR="00E15E1B">
        <w:t xml:space="preserve"> </w:t>
      </w:r>
      <w:r>
        <w:t>maximum</w:t>
      </w:r>
      <w:r w:rsidR="00E15E1B">
        <w:t xml:space="preserve"> </w:t>
      </w:r>
      <w:r>
        <w:t>penalties</w:t>
      </w:r>
      <w:r w:rsidR="00E15E1B">
        <w:t xml:space="preserve"> </w:t>
      </w:r>
      <w:r>
        <w:t>available</w:t>
      </w:r>
      <w:r w:rsidR="00E15E1B">
        <w:t xml:space="preserve"> </w:t>
      </w:r>
      <w:r>
        <w:t>for</w:t>
      </w:r>
      <w:r w:rsidR="00E15E1B">
        <w:t xml:space="preserve"> </w:t>
      </w:r>
      <w:r>
        <w:t>breaching</w:t>
      </w:r>
      <w:r w:rsidR="00E15E1B">
        <w:t xml:space="preserve"> </w:t>
      </w:r>
      <w:r>
        <w:t>the</w:t>
      </w:r>
      <w:r w:rsidR="00E15E1B">
        <w:t xml:space="preserve"> </w:t>
      </w:r>
      <w:r>
        <w:t>law,</w:t>
      </w:r>
      <w:r w:rsidR="00E15E1B">
        <w:t xml:space="preserve"> </w:t>
      </w:r>
      <w:r>
        <w:t>to</w:t>
      </w:r>
      <w:r w:rsidR="00E15E1B">
        <w:t xml:space="preserve"> </w:t>
      </w:r>
      <w:r>
        <w:t>making</w:t>
      </w:r>
      <w:r w:rsidR="00E15E1B">
        <w:t xml:space="preserve"> </w:t>
      </w:r>
      <w:r>
        <w:t>it</w:t>
      </w:r>
      <w:r w:rsidR="00E15E1B">
        <w:t xml:space="preserve"> </w:t>
      </w:r>
      <w:r>
        <w:t>easier</w:t>
      </w:r>
      <w:r w:rsidR="00E15E1B">
        <w:t xml:space="preserve"> </w:t>
      </w:r>
      <w:r>
        <w:t>for</w:t>
      </w:r>
      <w:r w:rsidR="00E15E1B">
        <w:t xml:space="preserve"> </w:t>
      </w:r>
      <w:r>
        <w:t>consumers</w:t>
      </w:r>
      <w:r w:rsidR="00E15E1B">
        <w:t xml:space="preserve"> </w:t>
      </w:r>
      <w:r>
        <w:t>to</w:t>
      </w:r>
      <w:r w:rsidR="00E15E1B">
        <w:t xml:space="preserve"> </w:t>
      </w:r>
      <w:r>
        <w:t>get</w:t>
      </w:r>
      <w:r w:rsidR="00E15E1B">
        <w:t xml:space="preserve"> </w:t>
      </w:r>
      <w:r>
        <w:t>refunds</w:t>
      </w:r>
      <w:r w:rsidR="00E15E1B">
        <w:t xml:space="preserve"> </w:t>
      </w:r>
      <w:r>
        <w:t>for</w:t>
      </w:r>
      <w:r w:rsidR="00E15E1B">
        <w:t xml:space="preserve"> </w:t>
      </w:r>
      <w:r>
        <w:t>faulty</w:t>
      </w:r>
      <w:r w:rsidR="00E15E1B">
        <w:t xml:space="preserve"> </w:t>
      </w:r>
      <w:r>
        <w:t>products.</w:t>
      </w:r>
    </w:p>
    <w:p w:rsidR="00156239" w:rsidRDefault="00156239" w:rsidP="00156239">
      <w:pPr>
        <w:pStyle w:val="BodyText"/>
      </w:pPr>
      <w:r>
        <w:t>Ministers</w:t>
      </w:r>
      <w:r w:rsidR="00E15E1B">
        <w:t xml:space="preserve"> </w:t>
      </w:r>
      <w:r>
        <w:t>also</w:t>
      </w:r>
      <w:r w:rsidR="00E15E1B">
        <w:t xml:space="preserve"> </w:t>
      </w:r>
      <w:r>
        <w:t>endorsed</w:t>
      </w:r>
      <w:r w:rsidR="00E15E1B">
        <w:t xml:space="preserve"> </w:t>
      </w:r>
      <w:r>
        <w:t>a</w:t>
      </w:r>
      <w:r w:rsidR="00E15E1B">
        <w:t xml:space="preserve"> </w:t>
      </w:r>
      <w:r>
        <w:t>significant</w:t>
      </w:r>
      <w:r w:rsidR="00E15E1B">
        <w:t xml:space="preserve"> </w:t>
      </w:r>
      <w:r>
        <w:t>and</w:t>
      </w:r>
      <w:r w:rsidR="00E15E1B">
        <w:t xml:space="preserve"> </w:t>
      </w:r>
      <w:r>
        <w:t>ambitious</w:t>
      </w:r>
      <w:r w:rsidR="00E15E1B">
        <w:t xml:space="preserve"> </w:t>
      </w:r>
      <w:r>
        <w:t>forward</w:t>
      </w:r>
      <w:r w:rsidR="00E15E1B">
        <w:t xml:space="preserve"> </w:t>
      </w:r>
      <w:r>
        <w:t>program</w:t>
      </w:r>
      <w:r w:rsidR="00E15E1B">
        <w:t xml:space="preserve"> </w:t>
      </w:r>
      <w:r>
        <w:t>of</w:t>
      </w:r>
      <w:r w:rsidR="00E15E1B">
        <w:t xml:space="preserve"> </w:t>
      </w:r>
      <w:r>
        <w:t>research</w:t>
      </w:r>
      <w:r w:rsidR="00E15E1B">
        <w:t xml:space="preserve"> </w:t>
      </w:r>
      <w:r>
        <w:t>and</w:t>
      </w:r>
      <w:r w:rsidR="00E15E1B">
        <w:t xml:space="preserve"> </w:t>
      </w:r>
      <w:r>
        <w:t>policy</w:t>
      </w:r>
      <w:r w:rsidR="00E15E1B">
        <w:t xml:space="preserve"> </w:t>
      </w:r>
      <w:r>
        <w:t>work</w:t>
      </w:r>
      <w:r w:rsidR="00E15E1B">
        <w:t xml:space="preserve"> </w:t>
      </w:r>
      <w:r>
        <w:t>for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agencies</w:t>
      </w:r>
      <w:r w:rsidR="00E15E1B">
        <w:t xml:space="preserve"> </w:t>
      </w:r>
      <w:r>
        <w:t>over</w:t>
      </w:r>
      <w:r w:rsidR="00E15E1B">
        <w:t xml:space="preserve"> </w:t>
      </w:r>
      <w:r>
        <w:t>the</w:t>
      </w:r>
      <w:r w:rsidR="00E15E1B">
        <w:t xml:space="preserve"> </w:t>
      </w:r>
      <w:r>
        <w:t>next</w:t>
      </w:r>
      <w:r w:rsidR="00E15E1B">
        <w:t xml:space="preserve"> </w:t>
      </w:r>
      <w:r>
        <w:t>four</w:t>
      </w:r>
      <w:r w:rsidR="00E15E1B">
        <w:t xml:space="preserve"> </w:t>
      </w:r>
      <w:r>
        <w:t>years,</w:t>
      </w:r>
      <w:r w:rsidR="00E15E1B">
        <w:t xml:space="preserve"> </w:t>
      </w:r>
      <w:r>
        <w:t>including</w:t>
      </w:r>
      <w:r w:rsidR="00E15E1B">
        <w:t xml:space="preserve"> </w:t>
      </w:r>
      <w:r>
        <w:t>examining</w:t>
      </w:r>
      <w:r w:rsidR="00E15E1B">
        <w:t xml:space="preserve"> </w:t>
      </w:r>
      <w:r>
        <w:t>how</w:t>
      </w:r>
      <w:r w:rsidR="00E15E1B">
        <w:t xml:space="preserve"> </w:t>
      </w:r>
      <w:r>
        <w:t>an</w:t>
      </w:r>
      <w:r w:rsidR="00E15E1B">
        <w:t xml:space="preserve"> </w:t>
      </w:r>
      <w:r>
        <w:t>unfair</w:t>
      </w:r>
      <w:r w:rsidR="00E15E1B">
        <w:t xml:space="preserve"> </w:t>
      </w:r>
      <w:r>
        <w:t>trading</w:t>
      </w:r>
      <w:r w:rsidR="00E15E1B">
        <w:t xml:space="preserve"> </w:t>
      </w:r>
      <w:r>
        <w:t>prohibition</w:t>
      </w:r>
      <w:r w:rsidR="00E15E1B">
        <w:t xml:space="preserve"> </w:t>
      </w:r>
      <w:r>
        <w:t>could</w:t>
      </w:r>
      <w:r w:rsidR="00E15E1B">
        <w:t xml:space="preserve"> </w:t>
      </w:r>
      <w:r>
        <w:t>be</w:t>
      </w:r>
      <w:r w:rsidR="00E15E1B">
        <w:t xml:space="preserve"> </w:t>
      </w:r>
      <w:r>
        <w:t>adopted</w:t>
      </w:r>
      <w:r w:rsidR="00E15E1B">
        <w:t xml:space="preserve"> </w:t>
      </w:r>
      <w:r>
        <w:t>in</w:t>
      </w:r>
      <w:r w:rsidR="00E15E1B">
        <w:t xml:space="preserve"> </w:t>
      </w:r>
      <w:r>
        <w:t>Australia.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program</w:t>
      </w:r>
      <w:r w:rsidR="00E15E1B">
        <w:t xml:space="preserve"> </w:t>
      </w:r>
      <w:r>
        <w:t>will</w:t>
      </w:r>
      <w:r w:rsidR="00E15E1B">
        <w:t xml:space="preserve"> </w:t>
      </w:r>
      <w:r>
        <w:t>also</w:t>
      </w:r>
      <w:r w:rsidR="00E15E1B">
        <w:t xml:space="preserve"> </w:t>
      </w:r>
      <w:r>
        <w:t>include</w:t>
      </w:r>
      <w:r w:rsidR="00E15E1B">
        <w:t xml:space="preserve"> </w:t>
      </w:r>
      <w:r>
        <w:t>a</w:t>
      </w:r>
      <w:r w:rsidR="00E15E1B">
        <w:t xml:space="preserve"> </w:t>
      </w:r>
      <w:r>
        <w:t>project,</w:t>
      </w:r>
      <w:r w:rsidR="00E15E1B">
        <w:t xml:space="preserve"> </w:t>
      </w:r>
      <w:r>
        <w:t>commencing</w:t>
      </w:r>
      <w:r w:rsidR="00E15E1B">
        <w:t xml:space="preserve"> </w:t>
      </w:r>
      <w:r>
        <w:t>in</w:t>
      </w:r>
      <w:r w:rsidR="00E15E1B">
        <w:t xml:space="preserve"> </w:t>
      </w:r>
      <w:r>
        <w:t>2018–19,</w:t>
      </w:r>
      <w:r w:rsidR="00E15E1B">
        <w:t xml:space="preserve"> </w:t>
      </w:r>
      <w:r>
        <w:t>to</w:t>
      </w:r>
      <w:r w:rsidR="00E15E1B">
        <w:t xml:space="preserve"> </w:t>
      </w:r>
      <w:r>
        <w:t>assess</w:t>
      </w:r>
      <w:r w:rsidR="00E15E1B">
        <w:t xml:space="preserve"> </w:t>
      </w:r>
      <w:r>
        <w:t>whether</w:t>
      </w:r>
      <w:r w:rsidR="00E15E1B">
        <w:t xml:space="preserve"> </w:t>
      </w:r>
      <w:r>
        <w:t>changes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law</w:t>
      </w:r>
      <w:r w:rsidR="00E15E1B">
        <w:t xml:space="preserve"> </w:t>
      </w:r>
      <w:r>
        <w:t>are</w:t>
      </w:r>
      <w:r w:rsidR="00E15E1B">
        <w:t xml:space="preserve"> </w:t>
      </w:r>
      <w:r>
        <w:t>needed</w:t>
      </w:r>
      <w:r w:rsidR="00E15E1B">
        <w:t xml:space="preserve"> </w:t>
      </w:r>
      <w:r>
        <w:t>in</w:t>
      </w:r>
      <w:r w:rsidR="00E15E1B">
        <w:t xml:space="preserve"> </w:t>
      </w:r>
      <w:r>
        <w:t>relation</w:t>
      </w:r>
      <w:r w:rsidR="00E15E1B">
        <w:t xml:space="preserve"> </w:t>
      </w:r>
      <w:r>
        <w:t>to</w:t>
      </w:r>
      <w:r w:rsidR="00E15E1B">
        <w:t xml:space="preserve"> </w:t>
      </w:r>
      <w:r>
        <w:t>not-for-profit</w:t>
      </w:r>
      <w:r w:rsidR="00E15E1B">
        <w:t xml:space="preserve"> </w:t>
      </w:r>
      <w:r>
        <w:t>fundraising.</w:t>
      </w:r>
    </w:p>
    <w:p w:rsidR="00156239" w:rsidRDefault="00156239" w:rsidP="00156239">
      <w:pPr>
        <w:pStyle w:val="Heading4"/>
      </w:pPr>
      <w:r>
        <w:t>Consumer</w:t>
      </w:r>
      <w:r w:rsidR="00E15E1B">
        <w:t xml:space="preserve"> </w:t>
      </w:r>
      <w:r>
        <w:t>property</w:t>
      </w:r>
      <w:r w:rsidR="00E15E1B">
        <w:t xml:space="preserve"> </w:t>
      </w:r>
      <w:r>
        <w:t>law</w:t>
      </w:r>
      <w:r w:rsidR="00E15E1B">
        <w:t xml:space="preserve"> </w:t>
      </w:r>
      <w:r>
        <w:t>review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completed</w:t>
      </w:r>
      <w:r w:rsidR="00E15E1B">
        <w:t xml:space="preserve"> </w:t>
      </w:r>
      <w:r>
        <w:t>our</w:t>
      </w:r>
      <w:r w:rsidR="00E15E1B">
        <w:t xml:space="preserve"> </w:t>
      </w:r>
      <w:r>
        <w:t>extensive</w:t>
      </w:r>
      <w:r w:rsidR="00E15E1B">
        <w:t xml:space="preserve"> </w:t>
      </w:r>
      <w:r>
        <w:t>review</w:t>
      </w:r>
      <w:r w:rsidR="00E15E1B">
        <w:t xml:space="preserve"> </w:t>
      </w:r>
      <w:r>
        <w:t>of</w:t>
      </w:r>
      <w:r w:rsidR="00E15E1B">
        <w:t xml:space="preserve"> </w:t>
      </w:r>
      <w:r>
        <w:t>a</w:t>
      </w:r>
      <w:r w:rsidR="00E15E1B">
        <w:t xml:space="preserve"> </w:t>
      </w:r>
      <w:r>
        <w:t>number</w:t>
      </w:r>
      <w:r w:rsidR="00E15E1B">
        <w:t xml:space="preserve"> </w:t>
      </w:r>
      <w:r>
        <w:t>of</w:t>
      </w:r>
      <w:r w:rsidR="00E15E1B">
        <w:t xml:space="preserve"> </w:t>
      </w:r>
      <w:r>
        <w:t>consumer</w:t>
      </w:r>
      <w:r w:rsidR="00E15E1B">
        <w:t xml:space="preserve"> </w:t>
      </w:r>
      <w:r>
        <w:t>property</w:t>
      </w:r>
      <w:r w:rsidR="00E15E1B">
        <w:t xml:space="preserve"> </w:t>
      </w:r>
      <w:r>
        <w:t>law</w:t>
      </w:r>
      <w:r w:rsidR="00E15E1B">
        <w:t xml:space="preserve"> </w:t>
      </w:r>
      <w:r>
        <w:t>Acts,</w:t>
      </w:r>
      <w:r w:rsidR="00E15E1B">
        <w:t xml:space="preserve"> </w:t>
      </w:r>
      <w:r>
        <w:t>underway</w:t>
      </w:r>
      <w:r w:rsidR="00E15E1B">
        <w:t xml:space="preserve"> </w:t>
      </w:r>
      <w:r>
        <w:t>since</w:t>
      </w:r>
      <w:r w:rsidR="00E15E1B">
        <w:t xml:space="preserve"> </w:t>
      </w:r>
      <w:r>
        <w:t>2015.</w:t>
      </w:r>
      <w:r w:rsidR="00E15E1B">
        <w:t xml:space="preserve"> </w:t>
      </w:r>
      <w:r>
        <w:t>The</w:t>
      </w:r>
      <w:r w:rsidR="00E15E1B">
        <w:t xml:space="preserve"> </w:t>
      </w:r>
      <w:r>
        <w:t>laws</w:t>
      </w:r>
      <w:r w:rsidR="00E15E1B">
        <w:t xml:space="preserve"> </w:t>
      </w:r>
      <w:r>
        <w:t>under</w:t>
      </w:r>
      <w:r w:rsidR="00E15E1B">
        <w:t xml:space="preserve"> </w:t>
      </w:r>
      <w:r>
        <w:t>review</w:t>
      </w:r>
      <w:r w:rsidR="00E15E1B">
        <w:t xml:space="preserve"> </w:t>
      </w:r>
      <w:r>
        <w:t>were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Sale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of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Land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1962</w:t>
      </w:r>
      <w:r>
        <w:t>,</w:t>
      </w:r>
      <w:r w:rsidR="00E15E1B">
        <w:t xml:space="preserve"> </w:t>
      </w:r>
      <w:r w:rsidRPr="00E96742">
        <w:rPr>
          <w:rStyle w:val="Emphasis"/>
        </w:rPr>
        <w:t>Estate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Agents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1980</w:t>
      </w:r>
      <w:r>
        <w:t>,</w:t>
      </w:r>
      <w:r w:rsidR="00E15E1B">
        <w:t xml:space="preserve"> </w:t>
      </w:r>
      <w:r w:rsidRPr="00E96742">
        <w:rPr>
          <w:rStyle w:val="Emphasis"/>
        </w:rPr>
        <w:t>Conveyancers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2006</w:t>
      </w:r>
      <w:r w:rsidR="00E15E1B">
        <w:t xml:space="preserve"> </w:t>
      </w:r>
      <w:r>
        <w:t>and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Owners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Corporations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2006</w:t>
      </w:r>
      <w:r>
        <w:t>.</w:t>
      </w:r>
      <w:r w:rsidR="00E15E1B">
        <w:t xml:space="preserve"> </w:t>
      </w:r>
      <w:r>
        <w:t>Each</w:t>
      </w:r>
      <w:r w:rsidR="00E15E1B">
        <w:t xml:space="preserve"> </w:t>
      </w:r>
      <w:r>
        <w:t>affects</w:t>
      </w:r>
      <w:r w:rsidR="00E15E1B">
        <w:t xml:space="preserve"> </w:t>
      </w:r>
      <w:r>
        <w:t>the</w:t>
      </w:r>
      <w:r w:rsidR="00E15E1B">
        <w:t xml:space="preserve"> </w:t>
      </w:r>
      <w:r>
        <w:t>way</w:t>
      </w:r>
      <w:r w:rsidR="00E15E1B">
        <w:t xml:space="preserve"> </w:t>
      </w:r>
      <w:r>
        <w:t>people</w:t>
      </w:r>
      <w:r w:rsidR="00E15E1B">
        <w:t xml:space="preserve"> </w:t>
      </w:r>
      <w:r>
        <w:t>buy,</w:t>
      </w:r>
      <w:r w:rsidR="00E15E1B">
        <w:t xml:space="preserve"> </w:t>
      </w:r>
      <w:r>
        <w:t>sell</w:t>
      </w:r>
      <w:r w:rsidR="00E15E1B">
        <w:t xml:space="preserve"> </w:t>
      </w:r>
      <w:r>
        <w:t>and</w:t>
      </w:r>
      <w:r w:rsidR="00E15E1B">
        <w:t xml:space="preserve"> </w:t>
      </w:r>
      <w:r>
        <w:t>manage</w:t>
      </w:r>
      <w:r w:rsidR="00E15E1B">
        <w:t xml:space="preserve"> </w:t>
      </w:r>
      <w:r>
        <w:t>their</w:t>
      </w:r>
      <w:r w:rsidR="00E15E1B">
        <w:t xml:space="preserve"> </w:t>
      </w:r>
      <w:r>
        <w:t>property.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review</w:t>
      </w:r>
      <w:r w:rsidR="00E15E1B">
        <w:t xml:space="preserve"> </w:t>
      </w:r>
      <w:r>
        <w:t>was</w:t>
      </w:r>
      <w:r w:rsidR="00E15E1B">
        <w:t xml:space="preserve"> </w:t>
      </w:r>
      <w:r>
        <w:t>a</w:t>
      </w:r>
      <w:r w:rsidR="00E15E1B">
        <w:t xml:space="preserve"> </w:t>
      </w:r>
      <w:r>
        <w:t>great</w:t>
      </w:r>
      <w:r w:rsidR="00E15E1B">
        <w:t xml:space="preserve"> </w:t>
      </w:r>
      <w:r>
        <w:t>opportunity</w:t>
      </w:r>
      <w:r w:rsidR="00E15E1B">
        <w:t xml:space="preserve"> </w:t>
      </w:r>
      <w:r>
        <w:t>for</w:t>
      </w:r>
      <w:r w:rsidR="00E15E1B">
        <w:t xml:space="preserve"> </w:t>
      </w:r>
      <w:r>
        <w:t>industry</w:t>
      </w:r>
      <w:r w:rsidR="00E15E1B">
        <w:t xml:space="preserve"> </w:t>
      </w:r>
      <w:r>
        <w:t>and</w:t>
      </w:r>
      <w:r w:rsidR="00E15E1B">
        <w:t xml:space="preserve"> </w:t>
      </w:r>
      <w:r>
        <w:t>consumers</w:t>
      </w:r>
      <w:r w:rsidR="00E15E1B">
        <w:t xml:space="preserve"> </w:t>
      </w:r>
      <w:r>
        <w:t>to</w:t>
      </w:r>
      <w:r w:rsidR="00E15E1B">
        <w:t xml:space="preserve"> </w:t>
      </w:r>
      <w:r>
        <w:t>participate</w:t>
      </w:r>
      <w:r w:rsidR="00E15E1B">
        <w:t xml:space="preserve"> </w:t>
      </w:r>
      <w:r>
        <w:t>in</w:t>
      </w:r>
      <w:r w:rsidR="00E15E1B">
        <w:t xml:space="preserve"> </w:t>
      </w:r>
      <w:r>
        <w:t>a</w:t>
      </w:r>
      <w:r w:rsidR="00E15E1B">
        <w:t xml:space="preserve"> </w:t>
      </w:r>
      <w:r>
        <w:t>wide-ranging</w:t>
      </w:r>
      <w:r w:rsidR="00E15E1B">
        <w:t xml:space="preserve"> </w:t>
      </w:r>
      <w:r>
        <w:t>examination</w:t>
      </w:r>
      <w:r w:rsidR="00E15E1B">
        <w:t xml:space="preserve"> </w:t>
      </w:r>
      <w:r>
        <w:t>of</w:t>
      </w:r>
      <w:r w:rsidR="00E15E1B">
        <w:t xml:space="preserve"> </w:t>
      </w:r>
      <w:r>
        <w:t>laws</w:t>
      </w:r>
      <w:r w:rsidR="00E15E1B">
        <w:t xml:space="preserve"> </w:t>
      </w:r>
      <w:r>
        <w:t>affecting</w:t>
      </w:r>
      <w:r w:rsidR="00E15E1B">
        <w:t xml:space="preserve"> </w:t>
      </w:r>
      <w:r>
        <w:t>the</w:t>
      </w:r>
      <w:r w:rsidR="00E15E1B">
        <w:t xml:space="preserve"> </w:t>
      </w:r>
      <w:r>
        <w:t>most</w:t>
      </w:r>
      <w:r w:rsidR="00E15E1B">
        <w:t xml:space="preserve"> </w:t>
      </w:r>
      <w:r>
        <w:t>significant</w:t>
      </w:r>
      <w:r w:rsidR="00E15E1B">
        <w:t xml:space="preserve"> </w:t>
      </w:r>
      <w:r>
        <w:t>lifetime</w:t>
      </w:r>
      <w:r w:rsidR="00E15E1B">
        <w:t xml:space="preserve"> </w:t>
      </w:r>
      <w:r>
        <w:t>transaction</w:t>
      </w:r>
      <w:r w:rsidR="00E15E1B">
        <w:t xml:space="preserve"> </w:t>
      </w:r>
      <w:r>
        <w:t>for</w:t>
      </w:r>
      <w:r w:rsidR="00E15E1B">
        <w:t xml:space="preserve"> </w:t>
      </w:r>
      <w:r>
        <w:t>many</w:t>
      </w:r>
      <w:r w:rsidR="00E15E1B">
        <w:t xml:space="preserve"> </w:t>
      </w:r>
      <w:r>
        <w:t>Victorians.</w:t>
      </w:r>
      <w:r w:rsidR="00E15E1B">
        <w:t xml:space="preserve"> </w:t>
      </w:r>
      <w:r>
        <w:t>It</w:t>
      </w:r>
      <w:r w:rsidR="00E15E1B">
        <w:t xml:space="preserve"> </w:t>
      </w:r>
      <w:r>
        <w:t>provided</w:t>
      </w:r>
      <w:r w:rsidR="00E15E1B">
        <w:t xml:space="preserve"> </w:t>
      </w:r>
      <w:r>
        <w:t>an</w:t>
      </w:r>
      <w:r w:rsidR="00E15E1B">
        <w:t xml:space="preserve"> </w:t>
      </w:r>
      <w:r>
        <w:t>avenue</w:t>
      </w:r>
      <w:r w:rsidR="00E15E1B">
        <w:t xml:space="preserve"> </w:t>
      </w:r>
      <w:r>
        <w:t>for</w:t>
      </w:r>
      <w:r w:rsidR="00E15E1B">
        <w:t xml:space="preserve"> </w:t>
      </w:r>
      <w:r>
        <w:t>Victorians</w:t>
      </w:r>
      <w:r w:rsidR="00E15E1B">
        <w:t xml:space="preserve"> </w:t>
      </w:r>
      <w:r>
        <w:t>to</w:t>
      </w:r>
      <w:r w:rsidR="00E15E1B">
        <w:t xml:space="preserve"> </w:t>
      </w:r>
      <w:r>
        <w:t>comment</w:t>
      </w:r>
      <w:r w:rsidR="00E15E1B">
        <w:t xml:space="preserve"> </w:t>
      </w:r>
      <w:r>
        <w:t>on</w:t>
      </w:r>
      <w:r w:rsidR="00E15E1B">
        <w:t xml:space="preserve"> </w:t>
      </w:r>
      <w:r>
        <w:t>how</w:t>
      </w:r>
      <w:r w:rsidR="00E15E1B">
        <w:t xml:space="preserve"> </w:t>
      </w:r>
      <w:r>
        <w:t>these</w:t>
      </w:r>
      <w:r w:rsidR="00E15E1B">
        <w:t xml:space="preserve"> </w:t>
      </w:r>
      <w:r>
        <w:t>laws</w:t>
      </w:r>
      <w:r w:rsidR="00E15E1B">
        <w:t xml:space="preserve"> </w:t>
      </w:r>
      <w:r>
        <w:t>are</w:t>
      </w:r>
      <w:r w:rsidR="00E15E1B">
        <w:t xml:space="preserve"> </w:t>
      </w:r>
      <w:r>
        <w:t>working</w:t>
      </w:r>
      <w:r w:rsidR="00E15E1B">
        <w:t xml:space="preserve"> </w:t>
      </w:r>
      <w:r>
        <w:t>and</w:t>
      </w:r>
      <w:r w:rsidR="00E15E1B">
        <w:t xml:space="preserve"> </w:t>
      </w:r>
      <w:r>
        <w:t>where</w:t>
      </w:r>
      <w:r w:rsidR="00E15E1B">
        <w:t xml:space="preserve"> </w:t>
      </w:r>
      <w:r>
        <w:t>improvements</w:t>
      </w:r>
      <w:r w:rsidR="00E15E1B">
        <w:t xml:space="preserve"> </w:t>
      </w:r>
      <w:r>
        <w:t>could</w:t>
      </w:r>
      <w:r w:rsidR="00E15E1B">
        <w:t xml:space="preserve"> </w:t>
      </w:r>
      <w:r>
        <w:t>be</w:t>
      </w:r>
      <w:r w:rsidR="00E15E1B">
        <w:t xml:space="preserve"> </w:t>
      </w:r>
      <w:r>
        <w:t>made.</w:t>
      </w:r>
    </w:p>
    <w:p w:rsidR="00156239" w:rsidRDefault="00156239" w:rsidP="00156239">
      <w:pPr>
        <w:pStyle w:val="BodyText"/>
      </w:pPr>
      <w:r>
        <w:t>Stakeholder</w:t>
      </w:r>
      <w:r w:rsidR="00E15E1B">
        <w:t xml:space="preserve"> </w:t>
      </w:r>
      <w:r>
        <w:t>feedback</w:t>
      </w:r>
      <w:r w:rsidR="00E15E1B">
        <w:t xml:space="preserve"> </w:t>
      </w:r>
      <w:r>
        <w:t>was</w:t>
      </w:r>
      <w:r w:rsidR="00E15E1B">
        <w:t xml:space="preserve"> </w:t>
      </w:r>
      <w:r>
        <w:t>very</w:t>
      </w:r>
      <w:r w:rsidR="00E15E1B">
        <w:t xml:space="preserve"> </w:t>
      </w:r>
      <w:r>
        <w:t>strong,</w:t>
      </w:r>
      <w:r w:rsidR="00E15E1B">
        <w:t xml:space="preserve"> </w:t>
      </w:r>
      <w:r>
        <w:t>with</w:t>
      </w:r>
      <w:r w:rsidR="00E15E1B">
        <w:t xml:space="preserve"> </w:t>
      </w:r>
      <w:r>
        <w:t>more</w:t>
      </w:r>
      <w:r w:rsidR="00E15E1B">
        <w:t xml:space="preserve"> </w:t>
      </w:r>
      <w:r>
        <w:t>than</w:t>
      </w:r>
      <w:r w:rsidR="00E15E1B">
        <w:t xml:space="preserve"> </w:t>
      </w:r>
      <w:r>
        <w:t>200</w:t>
      </w:r>
      <w:r w:rsidR="00E15E1B">
        <w:t xml:space="preserve"> </w:t>
      </w:r>
      <w:r>
        <w:t>submissions</w:t>
      </w:r>
      <w:r w:rsidR="00E15E1B">
        <w:t xml:space="preserve"> </w:t>
      </w:r>
      <w:r>
        <w:t>and</w:t>
      </w:r>
      <w:r w:rsidR="00E15E1B">
        <w:t xml:space="preserve"> </w:t>
      </w:r>
      <w:r>
        <w:t>comments</w:t>
      </w:r>
      <w:r w:rsidR="00E15E1B">
        <w:t xml:space="preserve"> </w:t>
      </w:r>
      <w:r>
        <w:t>received</w:t>
      </w:r>
      <w:r w:rsidR="00E15E1B">
        <w:t xml:space="preserve"> </w:t>
      </w:r>
      <w:r>
        <w:t>on</w:t>
      </w:r>
      <w:r w:rsidR="00E15E1B">
        <w:t xml:space="preserve"> </w:t>
      </w:r>
      <w:r>
        <w:t>the</w:t>
      </w:r>
      <w:r w:rsidR="00E15E1B">
        <w:t xml:space="preserve"> </w:t>
      </w:r>
      <w:r>
        <w:t>three</w:t>
      </w:r>
      <w:r w:rsidR="00E15E1B">
        <w:t xml:space="preserve"> </w:t>
      </w:r>
      <w:r>
        <w:t>issues</w:t>
      </w:r>
      <w:r w:rsidR="00E15E1B">
        <w:t xml:space="preserve"> </w:t>
      </w:r>
      <w:r>
        <w:t>papers</w:t>
      </w:r>
      <w:r w:rsidR="00E15E1B">
        <w:t xml:space="preserve"> </w:t>
      </w:r>
      <w:r>
        <w:t>released</w:t>
      </w:r>
      <w:r w:rsidR="00E15E1B">
        <w:t xml:space="preserve"> </w:t>
      </w:r>
      <w:r>
        <w:t>during</w:t>
      </w:r>
      <w:r w:rsidR="00E15E1B">
        <w:t xml:space="preserve"> </w:t>
      </w:r>
      <w:r>
        <w:t>the</w:t>
      </w:r>
      <w:r w:rsidR="00E15E1B">
        <w:t xml:space="preserve"> </w:t>
      </w:r>
      <w:r>
        <w:t>first</w:t>
      </w:r>
      <w:r w:rsidR="00E15E1B">
        <w:t xml:space="preserve"> </w:t>
      </w:r>
      <w:r>
        <w:t>stage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review.</w:t>
      </w:r>
      <w:r w:rsidR="00E15E1B">
        <w:t xml:space="preserve"> </w:t>
      </w:r>
      <w:r>
        <w:t>The</w:t>
      </w:r>
      <w:r w:rsidR="00E15E1B">
        <w:t xml:space="preserve"> </w:t>
      </w:r>
      <w:r>
        <w:t>second</w:t>
      </w:r>
      <w:r w:rsidR="00E15E1B">
        <w:t xml:space="preserve"> </w:t>
      </w:r>
      <w:r>
        <w:t>stage</w:t>
      </w:r>
      <w:r w:rsidR="00E15E1B">
        <w:t xml:space="preserve"> </w:t>
      </w:r>
      <w:r>
        <w:t>involved</w:t>
      </w:r>
      <w:r w:rsidR="00E15E1B">
        <w:t xml:space="preserve"> </w:t>
      </w:r>
      <w:r>
        <w:t>the</w:t>
      </w:r>
      <w:r w:rsidR="00E15E1B">
        <w:t xml:space="preserve"> </w:t>
      </w:r>
      <w:r>
        <w:t>release</w:t>
      </w:r>
      <w:r w:rsidR="00E15E1B">
        <w:t xml:space="preserve"> </w:t>
      </w:r>
      <w:r>
        <w:t>of</w:t>
      </w:r>
      <w:r w:rsidR="00E15E1B">
        <w:t xml:space="preserve"> </w:t>
      </w:r>
      <w:r>
        <w:t>three</w:t>
      </w:r>
      <w:r w:rsidR="00E15E1B">
        <w:t xml:space="preserve"> </w:t>
      </w:r>
      <w:r>
        <w:t>options</w:t>
      </w:r>
      <w:r w:rsidR="00E15E1B">
        <w:t xml:space="preserve"> </w:t>
      </w:r>
      <w:r>
        <w:t>papers,</w:t>
      </w:r>
      <w:r w:rsidR="00E15E1B">
        <w:t xml:space="preserve"> </w:t>
      </w:r>
      <w:r>
        <w:t>with</w:t>
      </w:r>
      <w:r w:rsidR="00E15E1B">
        <w:t xml:space="preserve"> </w:t>
      </w:r>
      <w:r>
        <w:t>over</w:t>
      </w:r>
      <w:r w:rsidR="00E15E1B">
        <w:t xml:space="preserve"> </w:t>
      </w:r>
      <w:r>
        <w:t>140</w:t>
      </w:r>
      <w:r w:rsidR="00E15E1B">
        <w:t xml:space="preserve"> </w:t>
      </w:r>
      <w:r>
        <w:t>stakeholders</w:t>
      </w:r>
      <w:r w:rsidR="00E15E1B">
        <w:t xml:space="preserve"> </w:t>
      </w:r>
      <w:r>
        <w:t>providing</w:t>
      </w:r>
      <w:r w:rsidR="00E15E1B">
        <w:t xml:space="preserve"> </w:t>
      </w:r>
      <w:r>
        <w:t>comment.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have</w:t>
      </w:r>
      <w:r w:rsidR="00E15E1B">
        <w:t xml:space="preserve"> </w:t>
      </w:r>
      <w:r>
        <w:t>carefully</w:t>
      </w:r>
      <w:r w:rsidR="00E15E1B">
        <w:t xml:space="preserve"> </w:t>
      </w:r>
      <w:r>
        <w:t>reviewed</w:t>
      </w:r>
      <w:r w:rsidR="00E15E1B">
        <w:t xml:space="preserve"> </w:t>
      </w:r>
      <w:r>
        <w:t>stakeholder</w:t>
      </w:r>
      <w:r w:rsidR="00E15E1B">
        <w:t xml:space="preserve"> </w:t>
      </w:r>
      <w:r>
        <w:t>feedback</w:t>
      </w:r>
      <w:r w:rsidR="00E15E1B">
        <w:t xml:space="preserve"> </w:t>
      </w:r>
      <w:r>
        <w:t>as</w:t>
      </w:r>
      <w:r w:rsidR="00E15E1B">
        <w:t xml:space="preserve"> </w:t>
      </w:r>
      <w:r>
        <w:t>we</w:t>
      </w:r>
      <w:r w:rsidR="00E15E1B">
        <w:t xml:space="preserve"> </w:t>
      </w:r>
      <w:r>
        <w:t>develop</w:t>
      </w:r>
      <w:r w:rsidR="00E15E1B">
        <w:t xml:space="preserve"> </w:t>
      </w:r>
      <w:r>
        <w:t>reform</w:t>
      </w:r>
      <w:r w:rsidR="00E15E1B">
        <w:t xml:space="preserve"> </w:t>
      </w:r>
      <w:r>
        <w:t>proposals</w:t>
      </w:r>
      <w:r w:rsidR="00E15E1B">
        <w:t xml:space="preserve"> </w:t>
      </w:r>
      <w:r>
        <w:t>for</w:t>
      </w:r>
      <w:r w:rsidR="00E15E1B">
        <w:t xml:space="preserve"> </w:t>
      </w:r>
      <w:r>
        <w:t>Government’s</w:t>
      </w:r>
      <w:r w:rsidR="00E15E1B">
        <w:t xml:space="preserve"> </w:t>
      </w:r>
      <w:r>
        <w:t>consideration.</w:t>
      </w:r>
      <w:r w:rsidR="00E15E1B">
        <w:t xml:space="preserve"> </w:t>
      </w:r>
      <w:r>
        <w:t>Reforms</w:t>
      </w:r>
      <w:r w:rsidR="00E15E1B">
        <w:t xml:space="preserve"> </w:t>
      </w:r>
      <w:r>
        <w:t>to</w:t>
      </w:r>
      <w:r w:rsidR="00E15E1B">
        <w:t xml:space="preserve"> </w:t>
      </w:r>
      <w:r>
        <w:t>sale</w:t>
      </w:r>
      <w:r w:rsidR="00E15E1B">
        <w:t xml:space="preserve"> </w:t>
      </w:r>
      <w:r>
        <w:t>of</w:t>
      </w:r>
      <w:r w:rsidR="00E15E1B">
        <w:t xml:space="preserve"> </w:t>
      </w:r>
      <w:r>
        <w:t>land</w:t>
      </w:r>
      <w:r w:rsidR="00E15E1B">
        <w:t xml:space="preserve"> </w:t>
      </w:r>
      <w:r>
        <w:t>laws</w:t>
      </w:r>
      <w:r w:rsidR="00E15E1B">
        <w:t xml:space="preserve"> </w:t>
      </w:r>
      <w:r>
        <w:t>have</w:t>
      </w:r>
      <w:r w:rsidR="00E15E1B">
        <w:t xml:space="preserve"> </w:t>
      </w:r>
      <w:r>
        <w:t>been</w:t>
      </w:r>
      <w:r w:rsidR="00E15E1B">
        <w:t xml:space="preserve"> </w:t>
      </w:r>
      <w:r>
        <w:t>finalised,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Sale</w:t>
      </w:r>
      <w:r w:rsidR="00E15E1B">
        <w:t xml:space="preserve"> </w:t>
      </w:r>
      <w:r>
        <w:t>of</w:t>
      </w:r>
      <w:r w:rsidR="00E15E1B">
        <w:t xml:space="preserve"> </w:t>
      </w:r>
      <w:r>
        <w:t>Land</w:t>
      </w:r>
      <w:r w:rsidR="00E15E1B">
        <w:t xml:space="preserve"> </w:t>
      </w:r>
      <w:r>
        <w:t>Amendment</w:t>
      </w:r>
      <w:r w:rsidR="00E15E1B">
        <w:t xml:space="preserve"> </w:t>
      </w:r>
      <w:r>
        <w:t>Bill</w:t>
      </w:r>
      <w:r w:rsidR="00E15E1B">
        <w:t xml:space="preserve"> </w:t>
      </w:r>
      <w:r>
        <w:t>2018</w:t>
      </w:r>
      <w:r w:rsidR="00E15E1B">
        <w:t xml:space="preserve"> </w:t>
      </w:r>
      <w:r>
        <w:t>introduced</w:t>
      </w:r>
      <w:r w:rsidR="00E15E1B">
        <w:t xml:space="preserve"> </w:t>
      </w:r>
      <w:r>
        <w:t>into</w:t>
      </w:r>
      <w:r w:rsidR="00E15E1B">
        <w:t xml:space="preserve"> </w:t>
      </w:r>
      <w:r>
        <w:t>Parliament</w:t>
      </w:r>
      <w:r w:rsidR="00E15E1B">
        <w:t xml:space="preserve"> </w:t>
      </w:r>
      <w:r>
        <w:t>and</w:t>
      </w:r>
      <w:r w:rsidR="00E15E1B">
        <w:t xml:space="preserve"> </w:t>
      </w:r>
      <w:r>
        <w:t>second</w:t>
      </w:r>
      <w:r w:rsidR="00E15E1B">
        <w:t xml:space="preserve"> </w:t>
      </w:r>
      <w:r>
        <w:t>read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Legislative</w:t>
      </w:r>
      <w:r w:rsidR="00E15E1B">
        <w:t xml:space="preserve"> </w:t>
      </w:r>
      <w:r>
        <w:t>Assembly</w:t>
      </w:r>
      <w:r w:rsidR="00E15E1B">
        <w:t xml:space="preserve"> </w:t>
      </w:r>
      <w:r>
        <w:t>on</w:t>
      </w:r>
      <w:r w:rsidR="00E15E1B">
        <w:t xml:space="preserve"> </w:t>
      </w:r>
      <w:r>
        <w:t>22</w:t>
      </w:r>
      <w:r w:rsidR="00E15E1B">
        <w:t xml:space="preserve"> </w:t>
      </w:r>
      <w:r>
        <w:t>August</w:t>
      </w:r>
      <w:r w:rsidR="00E15E1B">
        <w:t xml:space="preserve"> </w:t>
      </w:r>
      <w:r>
        <w:t>2018.</w:t>
      </w:r>
    </w:p>
    <w:p w:rsidR="00156239" w:rsidRDefault="00156239" w:rsidP="00156239">
      <w:pPr>
        <w:pStyle w:val="Heading4"/>
      </w:pPr>
      <w:r>
        <w:t>Retirement</w:t>
      </w:r>
      <w:r w:rsidR="00E15E1B">
        <w:t xml:space="preserve"> </w:t>
      </w:r>
      <w:r>
        <w:t>housing</w:t>
      </w:r>
      <w:r w:rsidR="00E15E1B">
        <w:t xml:space="preserve"> </w:t>
      </w:r>
      <w:r>
        <w:t>sector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</w:t>
      </w:r>
      <w:r w:rsidR="00E15E1B">
        <w:t xml:space="preserve"> </w:t>
      </w:r>
      <w:r>
        <w:t>is</w:t>
      </w:r>
      <w:r w:rsidR="00E15E1B">
        <w:t xml:space="preserve"> </w:t>
      </w:r>
      <w:r>
        <w:t>committed</w:t>
      </w:r>
      <w:r w:rsidR="00E15E1B">
        <w:t xml:space="preserve"> </w:t>
      </w:r>
      <w:r>
        <w:t>to</w:t>
      </w:r>
      <w:r w:rsidR="00E15E1B">
        <w:t xml:space="preserve"> </w:t>
      </w:r>
      <w:r>
        <w:t>ensuring</w:t>
      </w:r>
      <w:r w:rsidR="00E15E1B">
        <w:t xml:space="preserve"> </w:t>
      </w:r>
      <w:r>
        <w:t>the</w:t>
      </w:r>
      <w:r w:rsidR="00E15E1B">
        <w:t xml:space="preserve"> </w:t>
      </w:r>
      <w:r>
        <w:t>regulatory</w:t>
      </w:r>
      <w:r w:rsidR="00E15E1B">
        <w:t xml:space="preserve"> </w:t>
      </w:r>
      <w:r>
        <w:t>framework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Retirement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Villages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1986</w:t>
      </w:r>
      <w:r w:rsidR="00E15E1B">
        <w:t xml:space="preserve"> </w:t>
      </w:r>
      <w:r>
        <w:t>strikes</w:t>
      </w:r>
      <w:r w:rsidR="00E15E1B">
        <w:t xml:space="preserve"> </w:t>
      </w:r>
      <w:r>
        <w:t>a</w:t>
      </w:r>
      <w:r w:rsidR="00E15E1B">
        <w:t xml:space="preserve"> </w:t>
      </w:r>
      <w:r>
        <w:t>balance</w:t>
      </w:r>
      <w:r w:rsidR="00E15E1B">
        <w:t xml:space="preserve"> </w:t>
      </w:r>
      <w:r>
        <w:t>between</w:t>
      </w:r>
      <w:r w:rsidR="00E15E1B">
        <w:t xml:space="preserve"> </w:t>
      </w:r>
      <w:r>
        <w:t>supporting</w:t>
      </w:r>
      <w:r w:rsidR="00E15E1B">
        <w:t xml:space="preserve"> </w:t>
      </w:r>
      <w:r>
        <w:t>growth</w:t>
      </w:r>
      <w:r w:rsidR="00E15E1B">
        <w:t xml:space="preserve"> </w:t>
      </w:r>
      <w:r>
        <w:t>and</w:t>
      </w:r>
      <w:r w:rsidR="00E15E1B">
        <w:t xml:space="preserve"> </w:t>
      </w:r>
      <w:r>
        <w:t>innovation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sector</w:t>
      </w:r>
      <w:r w:rsidR="00E15E1B">
        <w:t xml:space="preserve"> </w:t>
      </w:r>
      <w:r>
        <w:t>and</w:t>
      </w:r>
      <w:r w:rsidR="00E15E1B">
        <w:t xml:space="preserve"> </w:t>
      </w:r>
      <w:r>
        <w:t>protecting</w:t>
      </w:r>
      <w:r w:rsidR="00E15E1B">
        <w:t xml:space="preserve"> </w:t>
      </w:r>
      <w:r>
        <w:t>the</w:t>
      </w:r>
      <w:r w:rsidR="00E15E1B">
        <w:t xml:space="preserve"> </w:t>
      </w:r>
      <w:r>
        <w:t>rights</w:t>
      </w:r>
      <w:r w:rsidR="00E15E1B">
        <w:t xml:space="preserve"> </w:t>
      </w:r>
      <w:r>
        <w:t>and</w:t>
      </w:r>
      <w:r w:rsidR="00E15E1B">
        <w:t xml:space="preserve"> </w:t>
      </w:r>
      <w:r>
        <w:t>interests</w:t>
      </w:r>
      <w:r w:rsidR="00E15E1B">
        <w:t xml:space="preserve"> </w:t>
      </w:r>
      <w:r>
        <w:t>of</w:t>
      </w:r>
      <w:r w:rsidR="00E15E1B">
        <w:t xml:space="preserve"> </w:t>
      </w:r>
      <w:r>
        <w:t>retirement</w:t>
      </w:r>
      <w:r w:rsidR="00E15E1B">
        <w:t xml:space="preserve"> </w:t>
      </w:r>
      <w:r>
        <w:t>village</w:t>
      </w:r>
      <w:r w:rsidR="00E15E1B">
        <w:t xml:space="preserve"> </w:t>
      </w:r>
      <w:r>
        <w:t>residents.</w:t>
      </w:r>
    </w:p>
    <w:p w:rsidR="00156239" w:rsidRDefault="00156239" w:rsidP="00156239">
      <w:pPr>
        <w:pStyle w:val="BodyText"/>
      </w:pPr>
      <w:r>
        <w:t>This</w:t>
      </w:r>
      <w:r w:rsidR="00E15E1B">
        <w:t xml:space="preserve"> </w:t>
      </w:r>
      <w:r>
        <w:t>year,</w:t>
      </w:r>
      <w:r w:rsidR="00E15E1B">
        <w:t xml:space="preserve"> </w:t>
      </w:r>
      <w:r>
        <w:t>we</w:t>
      </w:r>
      <w:r w:rsidR="00E15E1B">
        <w:t xml:space="preserve"> </w:t>
      </w:r>
      <w:r>
        <w:t>completed</w:t>
      </w:r>
      <w:r w:rsidR="00E15E1B">
        <w:t xml:space="preserve"> </w:t>
      </w:r>
      <w:r>
        <w:t>a</w:t>
      </w:r>
      <w:r w:rsidR="00E15E1B">
        <w:t xml:space="preserve"> </w:t>
      </w:r>
      <w:r>
        <w:t>review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Retirement</w:t>
      </w:r>
      <w:r w:rsidR="00E15E1B">
        <w:t xml:space="preserve"> </w:t>
      </w:r>
      <w:r>
        <w:t>Villages</w:t>
      </w:r>
      <w:r w:rsidR="00E15E1B">
        <w:t xml:space="preserve"> </w:t>
      </w:r>
      <w:r>
        <w:t>(Contractual</w:t>
      </w:r>
      <w:r w:rsidR="00E15E1B">
        <w:t xml:space="preserve"> </w:t>
      </w:r>
      <w:r>
        <w:t>Arrangements)</w:t>
      </w:r>
      <w:r w:rsidR="00E15E1B">
        <w:t xml:space="preserve"> </w:t>
      </w:r>
      <w:r>
        <w:t>Regulations</w:t>
      </w:r>
      <w:r w:rsidR="00E15E1B">
        <w:t xml:space="preserve"> </w:t>
      </w:r>
      <w:r>
        <w:t>2006,</w:t>
      </w:r>
      <w:r w:rsidR="00E15E1B">
        <w:t xml:space="preserve"> </w:t>
      </w:r>
      <w:r>
        <w:t>which</w:t>
      </w:r>
      <w:r w:rsidR="00E15E1B">
        <w:t xml:space="preserve"> </w:t>
      </w:r>
      <w:r>
        <w:t>resulted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Minister</w:t>
      </w:r>
      <w:r w:rsidR="00E15E1B">
        <w:t xml:space="preserve"> </w:t>
      </w:r>
      <w:r>
        <w:t>remaking</w:t>
      </w:r>
      <w:r w:rsidR="00E15E1B">
        <w:t xml:space="preserve"> </w:t>
      </w:r>
      <w:r>
        <w:t>the</w:t>
      </w:r>
      <w:r w:rsidR="00E15E1B">
        <w:t xml:space="preserve"> </w:t>
      </w:r>
      <w:r>
        <w:t>Regulations</w:t>
      </w:r>
      <w:r w:rsidR="00E15E1B">
        <w:t xml:space="preserve"> </w:t>
      </w:r>
      <w:r>
        <w:t>as</w:t>
      </w:r>
      <w:r w:rsidR="00E15E1B">
        <w:t xml:space="preserve"> </w:t>
      </w:r>
      <w:r>
        <w:t>the</w:t>
      </w:r>
      <w:r w:rsidR="00E15E1B">
        <w:t xml:space="preserve"> </w:t>
      </w:r>
      <w:r>
        <w:t>Retirement</w:t>
      </w:r>
      <w:r w:rsidR="00E15E1B">
        <w:t xml:space="preserve"> </w:t>
      </w:r>
      <w:r>
        <w:t>Villages</w:t>
      </w:r>
      <w:r w:rsidR="00E15E1B">
        <w:t xml:space="preserve"> </w:t>
      </w:r>
      <w:r>
        <w:t>(Contractual</w:t>
      </w:r>
      <w:r w:rsidR="00E15E1B">
        <w:t xml:space="preserve"> </w:t>
      </w:r>
      <w:r>
        <w:t>Arrangements)</w:t>
      </w:r>
      <w:r w:rsidR="00E15E1B">
        <w:t xml:space="preserve"> </w:t>
      </w:r>
      <w:r>
        <w:t>Regulations</w:t>
      </w:r>
      <w:r w:rsidR="00E15E1B">
        <w:t xml:space="preserve"> </w:t>
      </w:r>
      <w:r>
        <w:t>2017.</w:t>
      </w:r>
      <w:r w:rsidR="00E15E1B">
        <w:t xml:space="preserve"> </w:t>
      </w:r>
      <w:r>
        <w:t>We</w:t>
      </w:r>
      <w:r w:rsidR="00E15E1B">
        <w:t xml:space="preserve"> </w:t>
      </w:r>
      <w:r>
        <w:t>also</w:t>
      </w:r>
      <w:r w:rsidR="00E15E1B">
        <w:t xml:space="preserve"> </w:t>
      </w:r>
      <w:r>
        <w:t>undertook</w:t>
      </w:r>
      <w:r w:rsidR="00E15E1B">
        <w:t xml:space="preserve"> </w:t>
      </w:r>
      <w:r>
        <w:t>a</w:t>
      </w:r>
      <w:r w:rsidR="00E15E1B">
        <w:t xml:space="preserve"> </w:t>
      </w:r>
      <w:r>
        <w:t>review</w:t>
      </w:r>
      <w:r w:rsidR="00E15E1B">
        <w:t xml:space="preserve"> </w:t>
      </w:r>
      <w:r>
        <w:t>of</w:t>
      </w:r>
      <w:r w:rsidR="00E15E1B">
        <w:t xml:space="preserve"> </w:t>
      </w:r>
      <w:r>
        <w:t>internal</w:t>
      </w:r>
      <w:r w:rsidR="00E15E1B">
        <w:t xml:space="preserve"> </w:t>
      </w:r>
      <w:r>
        <w:t>dispute</w:t>
      </w:r>
      <w:r w:rsidR="00E15E1B">
        <w:t xml:space="preserve"> </w:t>
      </w:r>
      <w:r>
        <w:t>resolution</w:t>
      </w:r>
      <w:r w:rsidR="00E15E1B">
        <w:t xml:space="preserve"> </w:t>
      </w:r>
      <w:r>
        <w:t>procedures</w:t>
      </w:r>
      <w:r w:rsidR="00E15E1B">
        <w:t xml:space="preserve"> </w:t>
      </w:r>
      <w:r>
        <w:t>under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Retirement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Villages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1986</w:t>
      </w:r>
      <w:r w:rsidR="00E15E1B">
        <w:t xml:space="preserve"> </w:t>
      </w:r>
      <w:r>
        <w:t>as</w:t>
      </w:r>
      <w:r w:rsidR="00E15E1B">
        <w:t xml:space="preserve"> </w:t>
      </w:r>
      <w:r>
        <w:t>well</w:t>
      </w:r>
      <w:r w:rsidR="00E15E1B">
        <w:t xml:space="preserve"> </w:t>
      </w:r>
      <w:r>
        <w:t>as</w:t>
      </w:r>
      <w:r w:rsidR="00E15E1B">
        <w:t xml:space="preserve"> </w:t>
      </w:r>
      <w:r>
        <w:t>completing</w:t>
      </w:r>
      <w:r w:rsidR="00E15E1B">
        <w:t xml:space="preserve"> </w:t>
      </w:r>
      <w:r>
        <w:t>a</w:t>
      </w:r>
      <w:r w:rsidR="00E15E1B">
        <w:t xml:space="preserve"> </w:t>
      </w:r>
      <w:r>
        <w:t>review</w:t>
      </w:r>
      <w:r w:rsidR="00E15E1B">
        <w:t xml:space="preserve"> </w:t>
      </w:r>
      <w:r>
        <w:t>of</w:t>
      </w:r>
      <w:r w:rsidR="00E15E1B">
        <w:t xml:space="preserve"> </w:t>
      </w:r>
      <w:r>
        <w:t>a</w:t>
      </w:r>
      <w:r w:rsidR="00E15E1B">
        <w:t xml:space="preserve"> </w:t>
      </w:r>
      <w:r>
        <w:t>number</w:t>
      </w:r>
      <w:r w:rsidR="00E15E1B">
        <w:t xml:space="preserve"> </w:t>
      </w:r>
      <w:r>
        <w:t>of</w:t>
      </w:r>
      <w:r w:rsidR="00E15E1B">
        <w:t xml:space="preserve"> </w:t>
      </w:r>
      <w:r>
        <w:t>key</w:t>
      </w:r>
      <w:r w:rsidR="00E15E1B">
        <w:t xml:space="preserve"> </w:t>
      </w:r>
      <w:r>
        <w:t>aspects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Act</w:t>
      </w:r>
      <w:r w:rsidR="00E15E1B">
        <w:t xml:space="preserve"> </w:t>
      </w:r>
      <w:r>
        <w:t>as</w:t>
      </w:r>
      <w:r w:rsidR="00E15E1B">
        <w:t xml:space="preserve"> </w:t>
      </w:r>
      <w:r>
        <w:t>part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consumer</w:t>
      </w:r>
      <w:r w:rsidR="00E15E1B">
        <w:t xml:space="preserve"> </w:t>
      </w:r>
      <w:r>
        <w:t>property</w:t>
      </w:r>
      <w:r w:rsidR="00E15E1B">
        <w:t xml:space="preserve"> </w:t>
      </w:r>
      <w:r>
        <w:t>law</w:t>
      </w:r>
      <w:r w:rsidR="00E15E1B">
        <w:t xml:space="preserve"> </w:t>
      </w:r>
      <w:r>
        <w:t>review.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Standing</w:t>
      </w:r>
      <w:r w:rsidR="00E15E1B">
        <w:t xml:space="preserve"> </w:t>
      </w:r>
      <w:r>
        <w:t>Committee</w:t>
      </w:r>
      <w:r w:rsidR="00E15E1B">
        <w:t xml:space="preserve"> </w:t>
      </w:r>
      <w:r>
        <w:t>on</w:t>
      </w:r>
      <w:r w:rsidR="00E15E1B">
        <w:t xml:space="preserve"> </w:t>
      </w:r>
      <w:r>
        <w:t>Legal</w:t>
      </w:r>
      <w:r w:rsidR="00E15E1B">
        <w:t xml:space="preserve"> </w:t>
      </w:r>
      <w:r>
        <w:t>and</w:t>
      </w:r>
      <w:r w:rsidR="00E15E1B">
        <w:t xml:space="preserve"> </w:t>
      </w:r>
      <w:r>
        <w:t>Social</w:t>
      </w:r>
      <w:r w:rsidR="00E15E1B">
        <w:t xml:space="preserve"> </w:t>
      </w:r>
      <w:r>
        <w:t>Issues</w:t>
      </w:r>
      <w:r w:rsidR="00E15E1B">
        <w:t xml:space="preserve"> </w:t>
      </w:r>
      <w:r>
        <w:t>reported</w:t>
      </w:r>
      <w:r w:rsidR="00E15E1B">
        <w:t xml:space="preserve"> </w:t>
      </w:r>
      <w:r>
        <w:t>on</w:t>
      </w:r>
      <w:r w:rsidR="00E15E1B">
        <w:t xml:space="preserve"> </w:t>
      </w:r>
      <w:r>
        <w:t>its</w:t>
      </w:r>
      <w:r w:rsidR="00E15E1B">
        <w:t xml:space="preserve"> </w:t>
      </w:r>
      <w:r>
        <w:t>inquiry</w:t>
      </w:r>
      <w:r w:rsidR="00E15E1B">
        <w:t xml:space="preserve"> </w:t>
      </w:r>
      <w:r>
        <w:t>into</w:t>
      </w:r>
      <w:r w:rsidR="00E15E1B">
        <w:t xml:space="preserve"> </w:t>
      </w:r>
      <w:r>
        <w:t>the</w:t>
      </w:r>
      <w:r w:rsidR="00E15E1B">
        <w:t xml:space="preserve"> </w:t>
      </w:r>
      <w:r>
        <w:t>sector</w:t>
      </w:r>
      <w:r w:rsidR="00E15E1B">
        <w:t xml:space="preserve"> </w:t>
      </w:r>
      <w:r>
        <w:t>in</w:t>
      </w:r>
      <w:r w:rsidR="00E15E1B">
        <w:t xml:space="preserve"> </w:t>
      </w:r>
      <w:r>
        <w:t>March</w:t>
      </w:r>
      <w:r w:rsidR="00E15E1B">
        <w:t xml:space="preserve"> </w:t>
      </w:r>
      <w:r>
        <w:t>2017</w:t>
      </w:r>
      <w:r w:rsidR="00E15E1B">
        <w:t xml:space="preserve"> </w:t>
      </w:r>
      <w:r>
        <w:t>and</w:t>
      </w:r>
      <w:r w:rsidR="00E15E1B">
        <w:t xml:space="preserve"> </w:t>
      </w:r>
      <w:r>
        <w:t>made</w:t>
      </w:r>
      <w:r w:rsidR="00E15E1B">
        <w:t xml:space="preserve"> </w:t>
      </w:r>
      <w:r>
        <w:t>15</w:t>
      </w:r>
      <w:r w:rsidR="00E15E1B">
        <w:t xml:space="preserve"> </w:t>
      </w:r>
      <w:r>
        <w:t>recommendations.</w:t>
      </w:r>
      <w:r w:rsidR="00E15E1B">
        <w:t xml:space="preserve"> </w:t>
      </w:r>
      <w:r>
        <w:t>In</w:t>
      </w:r>
      <w:r w:rsidR="00E15E1B">
        <w:t xml:space="preserve"> </w:t>
      </w:r>
      <w:r>
        <w:t>tabling</w:t>
      </w:r>
      <w:r w:rsidR="00E15E1B">
        <w:t xml:space="preserve"> </w:t>
      </w:r>
      <w:r>
        <w:t>its</w:t>
      </w:r>
      <w:r w:rsidR="00E15E1B">
        <w:t xml:space="preserve"> </w:t>
      </w:r>
      <w:r>
        <w:t>response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Inquiry’s</w:t>
      </w:r>
      <w:r w:rsidR="00E15E1B">
        <w:t xml:space="preserve"> </w:t>
      </w:r>
      <w:r>
        <w:t>report</w:t>
      </w:r>
      <w:r w:rsidR="00E15E1B">
        <w:t xml:space="preserve"> </w:t>
      </w:r>
      <w:r>
        <w:t>in</w:t>
      </w:r>
      <w:r w:rsidR="00E15E1B">
        <w:t xml:space="preserve"> </w:t>
      </w:r>
      <w:r>
        <w:t>September</w:t>
      </w:r>
      <w:r w:rsidR="00E15E1B">
        <w:t xml:space="preserve"> </w:t>
      </w:r>
      <w:r>
        <w:t>2017,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</w:t>
      </w:r>
      <w:r w:rsidR="00E15E1B">
        <w:t xml:space="preserve"> </w:t>
      </w:r>
      <w:r>
        <w:t>has</w:t>
      </w:r>
      <w:r w:rsidR="00E15E1B">
        <w:t xml:space="preserve"> </w:t>
      </w:r>
      <w:r>
        <w:t>supported,</w:t>
      </w:r>
      <w:r w:rsidR="00E15E1B">
        <w:t xml:space="preserve"> </w:t>
      </w:r>
      <w:r>
        <w:t>supported</w:t>
      </w:r>
      <w:r w:rsidR="00E15E1B">
        <w:t xml:space="preserve"> </w:t>
      </w:r>
      <w:r>
        <w:t>in</w:t>
      </w:r>
      <w:r w:rsidR="00E15E1B">
        <w:t xml:space="preserve"> </w:t>
      </w:r>
      <w:r>
        <w:t>principle</w:t>
      </w:r>
      <w:r w:rsidR="00E15E1B">
        <w:t xml:space="preserve"> </w:t>
      </w:r>
      <w:r>
        <w:t>or</w:t>
      </w:r>
      <w:r w:rsidR="00E15E1B">
        <w:t xml:space="preserve"> </w:t>
      </w:r>
      <w:r>
        <w:t>committed</w:t>
      </w:r>
      <w:r w:rsidR="00E15E1B">
        <w:t xml:space="preserve"> </w:t>
      </w:r>
      <w:r>
        <w:t>to</w:t>
      </w:r>
      <w:r w:rsidR="00E15E1B">
        <w:t xml:space="preserve"> </w:t>
      </w:r>
      <w:r>
        <w:t>further</w:t>
      </w:r>
      <w:r w:rsidR="00E15E1B">
        <w:t xml:space="preserve"> </w:t>
      </w:r>
      <w:r>
        <w:t>investigate</w:t>
      </w:r>
      <w:r w:rsidR="00E15E1B">
        <w:t xml:space="preserve"> </w:t>
      </w:r>
      <w:r>
        <w:t>12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13</w:t>
      </w:r>
      <w:r w:rsidR="00E15E1B">
        <w:t xml:space="preserve"> </w:t>
      </w:r>
      <w:r>
        <w:t>recommendations</w:t>
      </w:r>
      <w:r w:rsidR="00E15E1B">
        <w:t xml:space="preserve"> </w:t>
      </w:r>
      <w:r>
        <w:t>directed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Government.</w:t>
      </w:r>
    </w:p>
    <w:p w:rsidR="00156239" w:rsidRDefault="00156239" w:rsidP="00156239">
      <w:pPr>
        <w:pStyle w:val="BodyText"/>
      </w:pPr>
      <w:r>
        <w:lastRenderedPageBreak/>
        <w:t>We</w:t>
      </w:r>
      <w:r w:rsidR="00E15E1B">
        <w:t xml:space="preserve"> </w:t>
      </w:r>
      <w:r>
        <w:t>are</w:t>
      </w:r>
      <w:r w:rsidR="00E15E1B">
        <w:t xml:space="preserve"> </w:t>
      </w:r>
      <w:r>
        <w:t>leading</w:t>
      </w:r>
      <w:r w:rsidR="00E15E1B">
        <w:t xml:space="preserve"> </w:t>
      </w:r>
      <w:r>
        <w:t>much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work</w:t>
      </w:r>
      <w:r w:rsidR="00E15E1B">
        <w:t xml:space="preserve"> </w:t>
      </w:r>
      <w:r>
        <w:t>required</w:t>
      </w:r>
      <w:r w:rsidR="00E15E1B">
        <w:t xml:space="preserve"> </w:t>
      </w:r>
      <w:r>
        <w:t>to</w:t>
      </w:r>
      <w:r w:rsidR="00E15E1B">
        <w:t xml:space="preserve"> </w:t>
      </w:r>
      <w:r>
        <w:t>implement</w:t>
      </w:r>
      <w:r w:rsidR="00E15E1B">
        <w:t xml:space="preserve"> </w:t>
      </w:r>
      <w:r>
        <w:t>these</w:t>
      </w:r>
      <w:r w:rsidR="00E15E1B">
        <w:t xml:space="preserve"> </w:t>
      </w:r>
      <w:r>
        <w:t>recommendations,</w:t>
      </w:r>
      <w:r w:rsidR="00E15E1B">
        <w:t xml:space="preserve"> </w:t>
      </w:r>
      <w:r>
        <w:t>a</w:t>
      </w:r>
      <w:r w:rsidR="00E15E1B">
        <w:t xml:space="preserve"> </w:t>
      </w:r>
      <w:r>
        <w:t>number</w:t>
      </w:r>
      <w:r w:rsidR="00E15E1B">
        <w:t xml:space="preserve"> </w:t>
      </w:r>
      <w:r>
        <w:t>of</w:t>
      </w:r>
      <w:r w:rsidR="00E15E1B">
        <w:t xml:space="preserve"> </w:t>
      </w:r>
      <w:r>
        <w:t>which</w:t>
      </w:r>
      <w:r w:rsidR="00E15E1B">
        <w:t xml:space="preserve"> </w:t>
      </w:r>
      <w:r>
        <w:t>will</w:t>
      </w:r>
      <w:r w:rsidR="00E15E1B">
        <w:t xml:space="preserve"> </w:t>
      </w:r>
      <w:r>
        <w:t>be</w:t>
      </w:r>
      <w:r w:rsidR="00E15E1B">
        <w:t xml:space="preserve"> </w:t>
      </w:r>
      <w:r>
        <w:t>considered</w:t>
      </w:r>
      <w:r w:rsidR="00E15E1B">
        <w:t xml:space="preserve"> </w:t>
      </w:r>
      <w:r>
        <w:t>as</w:t>
      </w:r>
      <w:r w:rsidR="00E15E1B">
        <w:t xml:space="preserve"> </w:t>
      </w:r>
      <w:r>
        <w:t>part</w:t>
      </w:r>
      <w:r w:rsidR="00E15E1B">
        <w:t xml:space="preserve"> </w:t>
      </w:r>
      <w:r>
        <w:t>of</w:t>
      </w:r>
      <w:r w:rsidR="00E15E1B">
        <w:t xml:space="preserve"> </w:t>
      </w:r>
      <w:r>
        <w:t>a</w:t>
      </w:r>
      <w:r w:rsidR="00E15E1B">
        <w:t xml:space="preserve"> </w:t>
      </w:r>
      <w:r>
        <w:t>review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Retirement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Villages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1986</w:t>
      </w:r>
      <w:r>
        <w:t>.</w:t>
      </w:r>
    </w:p>
    <w:p w:rsidR="00156239" w:rsidRDefault="00156239" w:rsidP="00156239">
      <w:pPr>
        <w:pStyle w:val="Heading4"/>
      </w:pPr>
      <w:r>
        <w:t>New</w:t>
      </w:r>
      <w:r w:rsidR="00E15E1B">
        <w:t xml:space="preserve"> </w:t>
      </w:r>
      <w:r>
        <w:t>regulations</w:t>
      </w:r>
      <w:r w:rsidR="00E15E1B">
        <w:t xml:space="preserve"> </w:t>
      </w:r>
      <w:r>
        <w:t>for</w:t>
      </w:r>
      <w:r w:rsidR="00E15E1B">
        <w:t xml:space="preserve"> </w:t>
      </w:r>
      <w:r>
        <w:t>conveyancers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</w:t>
      </w:r>
      <w:r w:rsidR="00E15E1B">
        <w:t xml:space="preserve"> </w:t>
      </w:r>
      <w:r>
        <w:t>introduced</w:t>
      </w:r>
      <w:r w:rsidR="00E15E1B">
        <w:t xml:space="preserve"> </w:t>
      </w:r>
      <w:r>
        <w:t>the</w:t>
      </w:r>
      <w:r w:rsidR="00E15E1B">
        <w:t xml:space="preserve"> </w:t>
      </w:r>
      <w:r>
        <w:t>Conveyancer</w:t>
      </w:r>
      <w:r w:rsidR="00E15E1B">
        <w:t xml:space="preserve"> </w:t>
      </w:r>
      <w:r>
        <w:t>(Qualifications</w:t>
      </w:r>
      <w:r w:rsidR="00E15E1B">
        <w:t xml:space="preserve"> </w:t>
      </w:r>
      <w:r>
        <w:t>and</w:t>
      </w:r>
      <w:r w:rsidR="00E15E1B">
        <w:t xml:space="preserve"> </w:t>
      </w:r>
      <w:r>
        <w:t>Experience)</w:t>
      </w:r>
      <w:r w:rsidR="00E15E1B">
        <w:t xml:space="preserve"> </w:t>
      </w:r>
      <w:r>
        <w:t>Regulations</w:t>
      </w:r>
      <w:r w:rsidR="00E15E1B">
        <w:t xml:space="preserve"> </w:t>
      </w:r>
      <w:r>
        <w:t>2018,</w:t>
      </w:r>
      <w:r w:rsidR="00E15E1B">
        <w:t xml:space="preserve"> </w:t>
      </w:r>
      <w:r>
        <w:t>as</w:t>
      </w:r>
      <w:r w:rsidR="00E15E1B">
        <w:t xml:space="preserve"> </w:t>
      </w:r>
      <w:r>
        <w:t>part</w:t>
      </w:r>
      <w:r w:rsidR="00E15E1B">
        <w:t xml:space="preserve"> </w:t>
      </w:r>
      <w:r>
        <w:t>of</w:t>
      </w:r>
      <w:r w:rsidR="00E15E1B">
        <w:t xml:space="preserve"> </w:t>
      </w:r>
      <w:r>
        <w:t>four</w:t>
      </w:r>
      <w:r w:rsidR="00E15E1B">
        <w:t xml:space="preserve"> </w:t>
      </w:r>
      <w:r>
        <w:t>new</w:t>
      </w:r>
      <w:r w:rsidR="00E15E1B">
        <w:t xml:space="preserve"> </w:t>
      </w:r>
      <w:r>
        <w:t>sets</w:t>
      </w:r>
      <w:r w:rsidR="00E15E1B">
        <w:t xml:space="preserve"> </w:t>
      </w:r>
      <w:r>
        <w:t>of</w:t>
      </w:r>
      <w:r w:rsidR="00E15E1B">
        <w:t xml:space="preserve"> </w:t>
      </w:r>
      <w:r>
        <w:t>regulations</w:t>
      </w:r>
      <w:r w:rsidR="00E15E1B">
        <w:t xml:space="preserve"> </w:t>
      </w:r>
      <w:r>
        <w:t>for</w:t>
      </w:r>
      <w:r w:rsidR="00E15E1B">
        <w:t xml:space="preserve"> </w:t>
      </w:r>
      <w:r>
        <w:t>conveyancers</w:t>
      </w:r>
      <w:r w:rsidR="00E15E1B">
        <w:t xml:space="preserve"> </w:t>
      </w:r>
      <w:r>
        <w:t>that</w:t>
      </w:r>
      <w:r w:rsidR="00E15E1B">
        <w:t xml:space="preserve"> </w:t>
      </w:r>
      <w:r>
        <w:t>came</w:t>
      </w:r>
      <w:r w:rsidR="00E15E1B">
        <w:t xml:space="preserve"> </w:t>
      </w:r>
      <w:r>
        <w:t>into</w:t>
      </w:r>
      <w:r w:rsidR="00E15E1B">
        <w:t xml:space="preserve"> </w:t>
      </w:r>
      <w:r>
        <w:t>effect</w:t>
      </w:r>
      <w:r w:rsidR="00E15E1B">
        <w:t xml:space="preserve"> </w:t>
      </w:r>
      <w:r>
        <w:t>on</w:t>
      </w:r>
      <w:r w:rsidR="00E15E1B">
        <w:t xml:space="preserve"> </w:t>
      </w:r>
      <w:r>
        <w:t>26</w:t>
      </w:r>
      <w:r w:rsidR="00E15E1B">
        <w:t xml:space="preserve"> </w:t>
      </w:r>
      <w:r>
        <w:t>May</w:t>
      </w:r>
      <w:r w:rsidR="00E15E1B">
        <w:t xml:space="preserve"> </w:t>
      </w:r>
      <w:r>
        <w:t>2018.</w:t>
      </w:r>
    </w:p>
    <w:p w:rsidR="00156239" w:rsidRDefault="00156239" w:rsidP="00156239">
      <w:pPr>
        <w:pStyle w:val="BodyText"/>
      </w:pPr>
      <w:r>
        <w:t>These</w:t>
      </w:r>
      <w:r w:rsidR="00E15E1B">
        <w:t xml:space="preserve"> </w:t>
      </w:r>
      <w:r>
        <w:t>Regulations</w:t>
      </w:r>
      <w:r w:rsidR="00E15E1B">
        <w:t xml:space="preserve"> </w:t>
      </w:r>
      <w:r>
        <w:t>introduce</w:t>
      </w:r>
      <w:r w:rsidR="00E15E1B">
        <w:t xml:space="preserve"> </w:t>
      </w:r>
      <w:r>
        <w:t>a</w:t>
      </w:r>
      <w:r w:rsidR="00E15E1B">
        <w:t xml:space="preserve"> </w:t>
      </w:r>
      <w:r>
        <w:t>new</w:t>
      </w:r>
      <w:r w:rsidR="00E15E1B">
        <w:t xml:space="preserve"> </w:t>
      </w:r>
      <w:r>
        <w:t>qualification</w:t>
      </w:r>
      <w:r w:rsidR="00E15E1B">
        <w:t xml:space="preserve"> </w:t>
      </w:r>
      <w:r>
        <w:t>for</w:t>
      </w:r>
      <w:r w:rsidR="00E15E1B">
        <w:t xml:space="preserve"> </w:t>
      </w:r>
      <w:r>
        <w:t>eligibility</w:t>
      </w:r>
      <w:r w:rsidR="00E15E1B">
        <w:t xml:space="preserve"> </w:t>
      </w:r>
      <w:r>
        <w:t>for</w:t>
      </w:r>
      <w:r w:rsidR="00E15E1B">
        <w:t xml:space="preserve"> </w:t>
      </w:r>
      <w:r>
        <w:t>a</w:t>
      </w:r>
      <w:r w:rsidR="00E15E1B">
        <w:t xml:space="preserve"> </w:t>
      </w:r>
      <w:r>
        <w:t>conveyancer’s</w:t>
      </w:r>
      <w:r w:rsidR="00E15E1B">
        <w:t xml:space="preserve"> </w:t>
      </w:r>
      <w:r>
        <w:t>licence,</w:t>
      </w:r>
      <w:r w:rsidR="00E15E1B">
        <w:t xml:space="preserve"> </w:t>
      </w:r>
      <w:r>
        <w:t>and</w:t>
      </w:r>
      <w:r w:rsidR="00E15E1B">
        <w:t xml:space="preserve"> </w:t>
      </w:r>
      <w:r>
        <w:t>expand</w:t>
      </w:r>
      <w:r w:rsidR="00E15E1B">
        <w:t xml:space="preserve"> </w:t>
      </w:r>
      <w:r>
        <w:t>the</w:t>
      </w:r>
      <w:r w:rsidR="00E15E1B">
        <w:t xml:space="preserve"> </w:t>
      </w:r>
      <w:r>
        <w:t>range</w:t>
      </w:r>
      <w:r w:rsidR="00E15E1B">
        <w:t xml:space="preserve"> </w:t>
      </w:r>
      <w:r>
        <w:t>of</w:t>
      </w:r>
      <w:r w:rsidR="00E15E1B">
        <w:t xml:space="preserve"> </w:t>
      </w:r>
      <w:r>
        <w:t>legal</w:t>
      </w:r>
      <w:r w:rsidR="00E15E1B">
        <w:t xml:space="preserve"> </w:t>
      </w:r>
      <w:r>
        <w:t>practitioner</w:t>
      </w:r>
      <w:r w:rsidR="00E15E1B">
        <w:t xml:space="preserve"> </w:t>
      </w:r>
      <w:r>
        <w:t>with</w:t>
      </w:r>
      <w:r w:rsidR="00E15E1B">
        <w:t xml:space="preserve"> </w:t>
      </w:r>
      <w:r>
        <w:t>whom</w:t>
      </w:r>
      <w:r w:rsidR="00E15E1B">
        <w:t xml:space="preserve"> </w:t>
      </w:r>
      <w:r>
        <w:t>a</w:t>
      </w:r>
      <w:r w:rsidR="00E15E1B">
        <w:t xml:space="preserve"> </w:t>
      </w:r>
      <w:r>
        <w:t>prospective</w:t>
      </w:r>
      <w:r w:rsidR="00E15E1B">
        <w:t xml:space="preserve"> </w:t>
      </w:r>
      <w:r>
        <w:t>conveyancer</w:t>
      </w:r>
      <w:r w:rsidR="00E15E1B">
        <w:t xml:space="preserve"> </w:t>
      </w:r>
      <w:r>
        <w:t>can</w:t>
      </w:r>
      <w:r w:rsidR="00E15E1B">
        <w:t xml:space="preserve"> </w:t>
      </w:r>
      <w:r>
        <w:t>gain</w:t>
      </w:r>
      <w:r w:rsidR="00E15E1B">
        <w:t xml:space="preserve"> </w:t>
      </w:r>
      <w:r>
        <w:t>their</w:t>
      </w:r>
      <w:r w:rsidR="00E15E1B">
        <w:t xml:space="preserve"> </w:t>
      </w:r>
      <w:r>
        <w:t>work</w:t>
      </w:r>
      <w:r w:rsidR="00E15E1B">
        <w:t xml:space="preserve"> </w:t>
      </w:r>
      <w:r>
        <w:t>experience.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qualification</w:t>
      </w:r>
      <w:r w:rsidR="00E15E1B">
        <w:t xml:space="preserve"> </w:t>
      </w:r>
      <w:r>
        <w:t>is</w:t>
      </w:r>
      <w:r w:rsidR="00E15E1B">
        <w:t xml:space="preserve"> </w:t>
      </w:r>
      <w:r>
        <w:t>the</w:t>
      </w:r>
      <w:r w:rsidR="00E15E1B">
        <w:t xml:space="preserve"> </w:t>
      </w:r>
      <w:r>
        <w:t>Advanced</w:t>
      </w:r>
      <w:r w:rsidR="00E15E1B">
        <w:t xml:space="preserve"> </w:t>
      </w:r>
      <w:r>
        <w:t>Diploma</w:t>
      </w:r>
      <w:r w:rsidR="00E15E1B">
        <w:t xml:space="preserve"> </w:t>
      </w:r>
      <w:r>
        <w:t>of</w:t>
      </w:r>
      <w:r w:rsidR="00E15E1B">
        <w:t xml:space="preserve"> </w:t>
      </w:r>
      <w:r>
        <w:t>Conveyancing</w:t>
      </w:r>
      <w:r w:rsidR="00E15E1B">
        <w:t xml:space="preserve"> </w:t>
      </w:r>
      <w:r>
        <w:t>from</w:t>
      </w:r>
      <w:r w:rsidR="00E15E1B">
        <w:t xml:space="preserve"> </w:t>
      </w:r>
      <w:r>
        <w:t>the</w:t>
      </w:r>
      <w:r w:rsidR="00E15E1B">
        <w:t xml:space="preserve"> </w:t>
      </w:r>
      <w:r>
        <w:t>Business</w:t>
      </w:r>
      <w:r w:rsidR="00E15E1B">
        <w:t xml:space="preserve"> </w:t>
      </w:r>
      <w:r>
        <w:t>Services</w:t>
      </w:r>
      <w:r w:rsidR="00E15E1B">
        <w:t xml:space="preserve"> </w:t>
      </w:r>
      <w:r>
        <w:t>Training</w:t>
      </w:r>
      <w:r w:rsidR="00E15E1B">
        <w:t xml:space="preserve"> </w:t>
      </w:r>
      <w:r>
        <w:t>Package.</w:t>
      </w:r>
      <w:r w:rsidR="00E15E1B">
        <w:t xml:space="preserve"> </w:t>
      </w:r>
      <w:r>
        <w:t>The</w:t>
      </w:r>
      <w:r w:rsidR="00E15E1B">
        <w:t xml:space="preserve"> </w:t>
      </w:r>
      <w:r>
        <w:t>Advanced</w:t>
      </w:r>
      <w:r w:rsidR="00E15E1B">
        <w:t xml:space="preserve"> </w:t>
      </w:r>
      <w:r>
        <w:t>Diploma</w:t>
      </w:r>
      <w:r w:rsidR="00E15E1B">
        <w:t xml:space="preserve"> </w:t>
      </w:r>
      <w:r>
        <w:t>of</w:t>
      </w:r>
      <w:r w:rsidR="00E15E1B">
        <w:t xml:space="preserve"> </w:t>
      </w:r>
      <w:r>
        <w:t>Conveyancing</w:t>
      </w:r>
      <w:r w:rsidR="00E15E1B">
        <w:t xml:space="preserve"> </w:t>
      </w:r>
      <w:r>
        <w:t>comprises</w:t>
      </w:r>
      <w:r w:rsidR="00E15E1B">
        <w:t xml:space="preserve"> </w:t>
      </w:r>
      <w:r>
        <w:t>18</w:t>
      </w:r>
      <w:r w:rsidR="00E15E1B">
        <w:t xml:space="preserve"> </w:t>
      </w:r>
      <w:r>
        <w:t>units</w:t>
      </w:r>
      <w:r w:rsidR="00E15E1B">
        <w:t xml:space="preserve"> </w:t>
      </w:r>
      <w:r>
        <w:t>of</w:t>
      </w:r>
      <w:r w:rsidR="00E15E1B">
        <w:t xml:space="preserve"> </w:t>
      </w:r>
      <w:r>
        <w:t>competency</w:t>
      </w:r>
      <w:r w:rsidR="00E15E1B">
        <w:t xml:space="preserve"> </w:t>
      </w:r>
      <w:r>
        <w:t>and</w:t>
      </w:r>
      <w:r w:rsidR="00E15E1B">
        <w:t xml:space="preserve"> </w:t>
      </w:r>
      <w:r>
        <w:t>replaces</w:t>
      </w:r>
      <w:r w:rsidR="00E15E1B">
        <w:t xml:space="preserve"> </w:t>
      </w:r>
      <w:r>
        <w:t>the</w:t>
      </w:r>
      <w:r w:rsidR="00E15E1B">
        <w:t xml:space="preserve"> </w:t>
      </w:r>
      <w:r>
        <w:t>current</w:t>
      </w:r>
      <w:r w:rsidR="00E15E1B">
        <w:t xml:space="preserve"> </w:t>
      </w:r>
      <w:r>
        <w:t>qualification</w:t>
      </w:r>
      <w:r w:rsidR="00E15E1B">
        <w:t xml:space="preserve"> </w:t>
      </w:r>
      <w:r>
        <w:t>for</w:t>
      </w:r>
      <w:r w:rsidR="00E15E1B">
        <w:t xml:space="preserve"> </w:t>
      </w:r>
      <w:r>
        <w:t>a</w:t>
      </w:r>
      <w:r w:rsidR="00E15E1B">
        <w:t xml:space="preserve"> </w:t>
      </w:r>
      <w:r>
        <w:t>licence,</w:t>
      </w:r>
      <w:r w:rsidR="00E15E1B">
        <w:t xml:space="preserve"> </w:t>
      </w:r>
      <w:r>
        <w:t>which</w:t>
      </w:r>
      <w:r w:rsidR="00E15E1B">
        <w:t xml:space="preserve"> </w:t>
      </w:r>
      <w:r>
        <w:t>is</w:t>
      </w:r>
      <w:r w:rsidR="00E15E1B">
        <w:t xml:space="preserve"> </w:t>
      </w:r>
      <w:r>
        <w:t>eight</w:t>
      </w:r>
      <w:r w:rsidR="00E15E1B">
        <w:t xml:space="preserve"> </w:t>
      </w:r>
      <w:r>
        <w:t>units.</w:t>
      </w:r>
    </w:p>
    <w:p w:rsidR="00156239" w:rsidRDefault="00156239" w:rsidP="00156239">
      <w:pPr>
        <w:pStyle w:val="BodyText"/>
      </w:pPr>
      <w:r>
        <w:t>This</w:t>
      </w:r>
      <w:r w:rsidR="00E15E1B">
        <w:t xml:space="preserve"> </w:t>
      </w:r>
      <w:r>
        <w:t>new</w:t>
      </w:r>
      <w:r w:rsidR="00E15E1B">
        <w:t xml:space="preserve"> </w:t>
      </w:r>
      <w:r>
        <w:t>qualification</w:t>
      </w:r>
      <w:r w:rsidR="00E15E1B">
        <w:t xml:space="preserve"> </w:t>
      </w:r>
      <w:r>
        <w:t>provides</w:t>
      </w:r>
      <w:r w:rsidR="00E15E1B">
        <w:t xml:space="preserve"> </w:t>
      </w:r>
      <w:r>
        <w:t>further</w:t>
      </w:r>
      <w:r w:rsidR="00E15E1B">
        <w:t xml:space="preserve"> </w:t>
      </w:r>
      <w:r>
        <w:t>assurance</w:t>
      </w:r>
      <w:r w:rsidR="00E15E1B">
        <w:t xml:space="preserve"> </w:t>
      </w:r>
      <w:r>
        <w:t>to</w:t>
      </w:r>
      <w:r w:rsidR="00E15E1B">
        <w:t xml:space="preserve"> </w:t>
      </w:r>
      <w:r>
        <w:t>Victorians</w:t>
      </w:r>
      <w:r w:rsidR="00E15E1B">
        <w:t xml:space="preserve"> </w:t>
      </w:r>
      <w:r>
        <w:t>that</w:t>
      </w:r>
      <w:r w:rsidR="00E15E1B">
        <w:t xml:space="preserve"> </w:t>
      </w:r>
      <w:r>
        <w:t>conveyancing</w:t>
      </w:r>
      <w:r w:rsidR="00E15E1B">
        <w:t xml:space="preserve"> </w:t>
      </w:r>
      <w:r>
        <w:t>matters</w:t>
      </w:r>
      <w:r w:rsidR="00E15E1B">
        <w:t xml:space="preserve"> </w:t>
      </w:r>
      <w:r>
        <w:t>are</w:t>
      </w:r>
      <w:r w:rsidR="00E15E1B">
        <w:t xml:space="preserve"> </w:t>
      </w:r>
      <w:r>
        <w:t>handled</w:t>
      </w:r>
      <w:r w:rsidR="00E15E1B">
        <w:t xml:space="preserve"> </w:t>
      </w:r>
      <w:r>
        <w:t>appropriately.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other</w:t>
      </w:r>
      <w:r w:rsidR="00E15E1B">
        <w:t xml:space="preserve"> </w:t>
      </w:r>
      <w:r>
        <w:t>three</w:t>
      </w:r>
      <w:r w:rsidR="00E15E1B">
        <w:t xml:space="preserve"> </w:t>
      </w:r>
      <w:r>
        <w:t>sets</w:t>
      </w:r>
      <w:r w:rsidR="00E15E1B">
        <w:t xml:space="preserve"> </w:t>
      </w:r>
      <w:r>
        <w:t>of</w:t>
      </w:r>
      <w:r w:rsidR="00E15E1B">
        <w:t xml:space="preserve"> </w:t>
      </w:r>
      <w:r>
        <w:t>regulations</w:t>
      </w:r>
      <w:r w:rsidR="00E15E1B">
        <w:t xml:space="preserve"> </w:t>
      </w:r>
      <w:r>
        <w:t>introduced</w:t>
      </w:r>
      <w:r w:rsidR="00E15E1B">
        <w:t xml:space="preserve"> </w:t>
      </w:r>
      <w:r>
        <w:t>were</w:t>
      </w:r>
      <w:r w:rsidR="00E15E1B">
        <w:t xml:space="preserve"> </w:t>
      </w:r>
      <w:r>
        <w:t>the</w:t>
      </w:r>
      <w:r w:rsidR="00E15E1B">
        <w:t xml:space="preserve"> </w:t>
      </w:r>
      <w:r>
        <w:t>Conveyancers</w:t>
      </w:r>
      <w:r w:rsidR="00E15E1B">
        <w:t xml:space="preserve"> </w:t>
      </w:r>
      <w:r>
        <w:t>(Fees)</w:t>
      </w:r>
      <w:r w:rsidR="00E15E1B">
        <w:t xml:space="preserve"> </w:t>
      </w:r>
      <w:r>
        <w:t>Regulations</w:t>
      </w:r>
      <w:r w:rsidR="00E15E1B">
        <w:t xml:space="preserve"> </w:t>
      </w:r>
      <w:r>
        <w:t>2018,</w:t>
      </w:r>
      <w:r w:rsidR="00E15E1B">
        <w:t xml:space="preserve"> </w:t>
      </w:r>
      <w:r>
        <w:t>Conveyancers</w:t>
      </w:r>
      <w:r w:rsidR="00E15E1B">
        <w:t xml:space="preserve"> </w:t>
      </w:r>
      <w:r>
        <w:t>(Professional</w:t>
      </w:r>
      <w:r w:rsidR="00E15E1B">
        <w:t xml:space="preserve"> </w:t>
      </w:r>
      <w:r>
        <w:t>Conduct)</w:t>
      </w:r>
      <w:r w:rsidR="00E15E1B">
        <w:t xml:space="preserve"> </w:t>
      </w:r>
      <w:r>
        <w:t>Regulations</w:t>
      </w:r>
      <w:r w:rsidR="00E15E1B">
        <w:t xml:space="preserve"> </w:t>
      </w:r>
      <w:r>
        <w:t>2018,</w:t>
      </w:r>
      <w:r w:rsidR="00E15E1B">
        <w:t xml:space="preserve"> </w:t>
      </w:r>
      <w:r>
        <w:t>and</w:t>
      </w:r>
      <w:r w:rsidR="00E15E1B">
        <w:t xml:space="preserve"> </w:t>
      </w:r>
      <w:r>
        <w:t>Conveyancers</w:t>
      </w:r>
      <w:r w:rsidR="00E15E1B">
        <w:t xml:space="preserve"> </w:t>
      </w:r>
      <w:r>
        <w:t>(Trust</w:t>
      </w:r>
      <w:r w:rsidR="00E15E1B">
        <w:t xml:space="preserve"> </w:t>
      </w:r>
      <w:r>
        <w:t>Account</w:t>
      </w:r>
      <w:r w:rsidR="00E15E1B">
        <w:t xml:space="preserve"> </w:t>
      </w:r>
      <w:r>
        <w:t>and</w:t>
      </w:r>
      <w:r w:rsidR="00E15E1B">
        <w:t xml:space="preserve"> </w:t>
      </w:r>
      <w:r>
        <w:t>General)</w:t>
      </w:r>
      <w:r w:rsidR="00E15E1B">
        <w:t xml:space="preserve"> </w:t>
      </w:r>
      <w:r>
        <w:t>Regulations</w:t>
      </w:r>
      <w:r w:rsidR="00E15E1B">
        <w:t xml:space="preserve"> </w:t>
      </w:r>
      <w:r>
        <w:t>2018.</w:t>
      </w:r>
    </w:p>
    <w:p w:rsidR="00156239" w:rsidRDefault="00156239" w:rsidP="00156239">
      <w:pPr>
        <w:pStyle w:val="Heading4"/>
      </w:pPr>
      <w:r>
        <w:t>New</w:t>
      </w:r>
      <w:r w:rsidR="00E15E1B">
        <w:t xml:space="preserve"> </w:t>
      </w:r>
      <w:r>
        <w:t>consumer</w:t>
      </w:r>
      <w:r w:rsidR="00E15E1B">
        <w:t xml:space="preserve"> </w:t>
      </w:r>
      <w:r>
        <w:t>policy</w:t>
      </w:r>
      <w:r w:rsidR="00E15E1B">
        <w:t xml:space="preserve"> </w:t>
      </w:r>
      <w:r>
        <w:t>and</w:t>
      </w:r>
      <w:r w:rsidR="00E15E1B">
        <w:t xml:space="preserve"> </w:t>
      </w:r>
      <w:r>
        <w:t>research</w:t>
      </w:r>
      <w:r w:rsidR="00E15E1B">
        <w:t xml:space="preserve"> </w:t>
      </w:r>
      <w:r>
        <w:t>hub</w:t>
      </w:r>
      <w:r w:rsidR="00E15E1B">
        <w:t xml:space="preserve"> </w:t>
      </w:r>
      <w:r>
        <w:t>launched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</w:t>
      </w:r>
      <w:r w:rsidR="00E15E1B">
        <w:t xml:space="preserve"> </w:t>
      </w:r>
      <w:r>
        <w:t>has</w:t>
      </w:r>
      <w:r w:rsidR="00E15E1B">
        <w:t xml:space="preserve"> </w:t>
      </w:r>
      <w:r>
        <w:t>established</w:t>
      </w:r>
      <w:r w:rsidR="00E15E1B">
        <w:t xml:space="preserve"> </w:t>
      </w:r>
      <w:r>
        <w:t>a</w:t>
      </w:r>
      <w:r w:rsidR="00E15E1B">
        <w:t xml:space="preserve"> </w:t>
      </w:r>
      <w:r>
        <w:t>new</w:t>
      </w:r>
      <w:r w:rsidR="00E15E1B">
        <w:t xml:space="preserve"> </w:t>
      </w:r>
      <w:r>
        <w:t>research</w:t>
      </w:r>
      <w:r w:rsidR="00E15E1B">
        <w:t xml:space="preserve"> </w:t>
      </w:r>
      <w:r>
        <w:t>centre,</w:t>
      </w:r>
      <w:r w:rsidR="00E15E1B">
        <w:t xml:space="preserve"> </w:t>
      </w:r>
      <w:r>
        <w:t>the</w:t>
      </w:r>
      <w:r w:rsidR="00E15E1B">
        <w:t xml:space="preserve"> </w:t>
      </w:r>
      <w:r>
        <w:t>Consumer</w:t>
      </w:r>
      <w:r w:rsidR="00E15E1B">
        <w:t xml:space="preserve"> </w:t>
      </w:r>
      <w:r>
        <w:t>Policy</w:t>
      </w:r>
      <w:r w:rsidR="00E15E1B">
        <w:t xml:space="preserve"> </w:t>
      </w:r>
      <w:r>
        <w:t>Research</w:t>
      </w:r>
      <w:r w:rsidR="00E15E1B">
        <w:t xml:space="preserve"> </w:t>
      </w:r>
      <w:r>
        <w:t>Centre</w:t>
      </w:r>
      <w:r w:rsidR="00E15E1B">
        <w:t xml:space="preserve"> </w:t>
      </w:r>
      <w:r>
        <w:t>(CPRC).</w:t>
      </w:r>
      <w:r w:rsidR="00E15E1B">
        <w:t xml:space="preserve"> </w:t>
      </w:r>
      <w:r>
        <w:t>CPRC</w:t>
      </w:r>
      <w:r w:rsidR="00E15E1B">
        <w:t xml:space="preserve"> </w:t>
      </w:r>
      <w:r>
        <w:t>was</w:t>
      </w:r>
      <w:r w:rsidR="00E15E1B">
        <w:t xml:space="preserve"> </w:t>
      </w:r>
      <w:r>
        <w:t>launched</w:t>
      </w:r>
      <w:r w:rsidR="00E15E1B">
        <w:t xml:space="preserve"> </w:t>
      </w:r>
      <w:r>
        <w:t>in</w:t>
      </w:r>
      <w:r w:rsidR="00E15E1B">
        <w:t xml:space="preserve"> </w:t>
      </w:r>
      <w:r>
        <w:t>August</w:t>
      </w:r>
      <w:r w:rsidR="00E15E1B">
        <w:t xml:space="preserve"> </w:t>
      </w:r>
      <w:r>
        <w:t>2017</w:t>
      </w:r>
      <w:r w:rsidR="00E15E1B">
        <w:t xml:space="preserve"> </w:t>
      </w:r>
      <w:r>
        <w:t>as</w:t>
      </w:r>
      <w:r w:rsidR="00E15E1B">
        <w:t xml:space="preserve"> </w:t>
      </w:r>
      <w:r>
        <w:t>an</w:t>
      </w:r>
      <w:r w:rsidR="00E15E1B">
        <w:t xml:space="preserve"> </w:t>
      </w:r>
      <w:r>
        <w:t>independent</w:t>
      </w:r>
      <w:r w:rsidR="00E15E1B">
        <w:t xml:space="preserve"> </w:t>
      </w:r>
      <w:r>
        <w:t>and</w:t>
      </w:r>
      <w:r w:rsidR="00E15E1B">
        <w:t xml:space="preserve"> </w:t>
      </w:r>
      <w:r>
        <w:t>not-for-profit</w:t>
      </w:r>
      <w:r w:rsidR="00E15E1B">
        <w:t xml:space="preserve"> </w:t>
      </w:r>
      <w:r>
        <w:t>centre</w:t>
      </w:r>
      <w:r w:rsidR="00E15E1B">
        <w:t xml:space="preserve"> </w:t>
      </w:r>
      <w:r>
        <w:t>to</w:t>
      </w:r>
      <w:r w:rsidR="00E15E1B">
        <w:t xml:space="preserve"> </w:t>
      </w:r>
      <w:r>
        <w:t>research</w:t>
      </w:r>
      <w:r w:rsidR="00E15E1B">
        <w:t xml:space="preserve"> </w:t>
      </w:r>
      <w:r>
        <w:t>issues</w:t>
      </w:r>
      <w:r w:rsidR="00E15E1B">
        <w:t xml:space="preserve"> </w:t>
      </w:r>
      <w:r>
        <w:t>important</w:t>
      </w:r>
      <w:r w:rsidR="00E15E1B">
        <w:t xml:space="preserve"> </w:t>
      </w:r>
      <w:r>
        <w:t>to</w:t>
      </w:r>
      <w:r w:rsidR="00E15E1B">
        <w:t xml:space="preserve"> </w:t>
      </w:r>
      <w:r>
        <w:t>Victorian</w:t>
      </w:r>
      <w:r w:rsidR="00E15E1B">
        <w:t xml:space="preserve"> </w:t>
      </w:r>
      <w:r>
        <w:t>consumers,</w:t>
      </w:r>
      <w:r w:rsidR="00E15E1B">
        <w:t xml:space="preserve"> </w:t>
      </w:r>
      <w:r>
        <w:t>and</w:t>
      </w:r>
      <w:r w:rsidR="00E15E1B">
        <w:t xml:space="preserve"> </w:t>
      </w:r>
      <w:r>
        <w:t>inform</w:t>
      </w:r>
      <w:r w:rsidR="00E15E1B">
        <w:t xml:space="preserve"> </w:t>
      </w:r>
      <w:r>
        <w:t>the</w:t>
      </w:r>
      <w:r w:rsidR="00E15E1B">
        <w:t xml:space="preserve"> </w:t>
      </w:r>
      <w:r>
        <w:t>development</w:t>
      </w:r>
      <w:r w:rsidR="00E15E1B">
        <w:t xml:space="preserve"> </w:t>
      </w:r>
      <w:r>
        <w:t>of</w:t>
      </w:r>
      <w:r w:rsidR="00E15E1B">
        <w:t xml:space="preserve"> </w:t>
      </w:r>
      <w:r>
        <w:t>policy</w:t>
      </w:r>
      <w:r w:rsidR="00E15E1B">
        <w:t xml:space="preserve"> </w:t>
      </w:r>
      <w:r>
        <w:t>and</w:t>
      </w:r>
      <w:r w:rsidR="00E15E1B">
        <w:t xml:space="preserve"> </w:t>
      </w:r>
      <w:r>
        <w:t>services.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CPRC</w:t>
      </w:r>
      <w:r w:rsidR="00E15E1B">
        <w:t xml:space="preserve"> </w:t>
      </w:r>
      <w:r>
        <w:t>will</w:t>
      </w:r>
      <w:r w:rsidR="00E15E1B">
        <w:t xml:space="preserve"> </w:t>
      </w:r>
      <w:r>
        <w:t>investigate</w:t>
      </w:r>
      <w:r w:rsidR="00E15E1B">
        <w:t xml:space="preserve"> </w:t>
      </w:r>
      <w:r>
        <w:t>changes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housing</w:t>
      </w:r>
      <w:r w:rsidR="00E15E1B">
        <w:t xml:space="preserve"> </w:t>
      </w:r>
      <w:r>
        <w:t>market,</w:t>
      </w:r>
      <w:r w:rsidR="00E15E1B">
        <w:t xml:space="preserve"> </w:t>
      </w:r>
      <w:r>
        <w:t>dispute</w:t>
      </w:r>
      <w:r w:rsidR="00E15E1B">
        <w:t xml:space="preserve"> </w:t>
      </w:r>
      <w:r>
        <w:t>resolution</w:t>
      </w:r>
      <w:r w:rsidR="00E15E1B">
        <w:t xml:space="preserve"> </w:t>
      </w:r>
      <w:r>
        <w:t>and</w:t>
      </w:r>
      <w:r w:rsidR="00E15E1B">
        <w:t xml:space="preserve"> </w:t>
      </w:r>
      <w:r>
        <w:t>breaches</w:t>
      </w:r>
      <w:r w:rsidR="00E15E1B">
        <w:t xml:space="preserve"> </w:t>
      </w:r>
      <w:r>
        <w:t>of</w:t>
      </w:r>
      <w:r w:rsidR="00E15E1B">
        <w:t xml:space="preserve"> </w:t>
      </w:r>
      <w:r>
        <w:t>consumer</w:t>
      </w:r>
      <w:r w:rsidR="00E15E1B">
        <w:t xml:space="preserve"> </w:t>
      </w:r>
      <w:r>
        <w:t>law,</w:t>
      </w:r>
      <w:r w:rsidR="00E15E1B">
        <w:t xml:space="preserve"> </w:t>
      </w:r>
      <w:r>
        <w:t>and</w:t>
      </w:r>
      <w:r w:rsidR="00E15E1B">
        <w:t xml:space="preserve"> </w:t>
      </w:r>
      <w:r>
        <w:t>place</w:t>
      </w:r>
      <w:r w:rsidR="00E15E1B">
        <w:t xml:space="preserve"> </w:t>
      </w:r>
      <w:r>
        <w:t>Victoria</w:t>
      </w:r>
      <w:r w:rsidR="00E15E1B">
        <w:t xml:space="preserve"> </w:t>
      </w:r>
      <w:r>
        <w:t>at</w:t>
      </w:r>
      <w:r w:rsidR="00E15E1B">
        <w:t xml:space="preserve"> </w:t>
      </w:r>
      <w:r>
        <w:t>the</w:t>
      </w:r>
      <w:r w:rsidR="00E15E1B">
        <w:t xml:space="preserve"> </w:t>
      </w:r>
      <w:r>
        <w:t>forefront</w:t>
      </w:r>
      <w:r w:rsidR="00E15E1B">
        <w:t xml:space="preserve"> </w:t>
      </w:r>
      <w:r>
        <w:t>of</w:t>
      </w:r>
      <w:r w:rsidR="00E15E1B">
        <w:t xml:space="preserve"> </w:t>
      </w:r>
      <w:r>
        <w:t>consumer</w:t>
      </w:r>
      <w:r w:rsidR="00E15E1B">
        <w:t xml:space="preserve"> </w:t>
      </w:r>
      <w:r>
        <w:t>research.</w:t>
      </w:r>
      <w:r w:rsidR="00E15E1B">
        <w:t xml:space="preserve"> </w:t>
      </w:r>
      <w:r>
        <w:t>It</w:t>
      </w:r>
      <w:r w:rsidR="00E15E1B">
        <w:t xml:space="preserve"> </w:t>
      </w:r>
      <w:r>
        <w:t>will</w:t>
      </w:r>
      <w:r w:rsidR="00E15E1B">
        <w:t xml:space="preserve"> </w:t>
      </w:r>
      <w:r>
        <w:t>deliver</w:t>
      </w:r>
      <w:r w:rsidR="00E15E1B">
        <w:t xml:space="preserve"> </w:t>
      </w:r>
      <w:r>
        <w:t>evidence-based</w:t>
      </w:r>
      <w:r w:rsidR="00E15E1B">
        <w:t xml:space="preserve"> </w:t>
      </w:r>
      <w:r>
        <w:t>policy</w:t>
      </w:r>
      <w:r w:rsidR="00E15E1B">
        <w:t xml:space="preserve"> </w:t>
      </w:r>
      <w:r>
        <w:t>research</w:t>
      </w:r>
      <w:r w:rsidR="00E15E1B">
        <w:t xml:space="preserve"> </w:t>
      </w:r>
      <w:r>
        <w:t>that</w:t>
      </w:r>
      <w:r w:rsidR="00E15E1B">
        <w:t xml:space="preserve"> </w:t>
      </w:r>
      <w:r>
        <w:t>focuses</w:t>
      </w:r>
      <w:r w:rsidR="00E15E1B">
        <w:t xml:space="preserve"> </w:t>
      </w:r>
      <w:r>
        <w:t>on:</w:t>
      </w:r>
    </w:p>
    <w:p w:rsidR="00156239" w:rsidRDefault="00156239" w:rsidP="00156239">
      <w:pPr>
        <w:pStyle w:val="ListBullet"/>
      </w:pPr>
      <w:r>
        <w:t>developing</w:t>
      </w:r>
      <w:r w:rsidR="00E15E1B">
        <w:t xml:space="preserve"> </w:t>
      </w:r>
      <w:r>
        <w:t>an</w:t>
      </w:r>
      <w:r w:rsidR="00E15E1B">
        <w:t xml:space="preserve"> </w:t>
      </w:r>
      <w:r>
        <w:t>annual</w:t>
      </w:r>
      <w:r w:rsidR="00E15E1B">
        <w:t xml:space="preserve"> </w:t>
      </w:r>
      <w:r>
        <w:t>consumer</w:t>
      </w:r>
      <w:r w:rsidR="00E15E1B">
        <w:t xml:space="preserve"> </w:t>
      </w:r>
      <w:r>
        <w:t>index</w:t>
      </w:r>
    </w:p>
    <w:p w:rsidR="00156239" w:rsidRDefault="00156239" w:rsidP="00156239">
      <w:pPr>
        <w:pStyle w:val="ListBullet"/>
      </w:pPr>
      <w:r>
        <w:t>exploring</w:t>
      </w:r>
      <w:r w:rsidR="00E15E1B">
        <w:t xml:space="preserve"> </w:t>
      </w:r>
      <w:r>
        <w:t>areas</w:t>
      </w:r>
      <w:r w:rsidR="00E15E1B">
        <w:t xml:space="preserve"> </w:t>
      </w:r>
      <w:r>
        <w:t>of</w:t>
      </w:r>
      <w:r w:rsidR="00E15E1B">
        <w:t xml:space="preserve"> </w:t>
      </w:r>
      <w:r>
        <w:t>concern</w:t>
      </w:r>
      <w:r w:rsidR="00E15E1B">
        <w:t xml:space="preserve"> </w:t>
      </w:r>
      <w:r>
        <w:t>around</w:t>
      </w:r>
      <w:r w:rsidR="00E15E1B">
        <w:t xml:space="preserve"> </w:t>
      </w:r>
      <w:r>
        <w:t>consumer</w:t>
      </w:r>
      <w:r w:rsidR="00E15E1B">
        <w:t xml:space="preserve"> </w:t>
      </w:r>
      <w:r>
        <w:t>property</w:t>
      </w:r>
      <w:r w:rsidR="00E15E1B">
        <w:t xml:space="preserve"> </w:t>
      </w:r>
      <w:r>
        <w:t>law,</w:t>
      </w:r>
      <w:r w:rsidR="00E15E1B">
        <w:t xml:space="preserve"> </w:t>
      </w:r>
      <w:r>
        <w:t>continuing</w:t>
      </w:r>
      <w:r w:rsidR="00E15E1B">
        <w:t xml:space="preserve"> </w:t>
      </w:r>
      <w:r>
        <w:t>the</w:t>
      </w:r>
      <w:r w:rsidR="00E15E1B">
        <w:t xml:space="preserve"> </w:t>
      </w:r>
      <w:r>
        <w:t>efforts</w:t>
      </w:r>
      <w:r w:rsidR="00E15E1B">
        <w:t xml:space="preserve"> </w:t>
      </w:r>
      <w:r>
        <w:t>of</w:t>
      </w:r>
      <w:r w:rsidR="00E15E1B">
        <w:t xml:space="preserve"> </w:t>
      </w:r>
      <w:r>
        <w:t>current</w:t>
      </w:r>
      <w:r w:rsidR="00E15E1B">
        <w:t xml:space="preserve"> </w:t>
      </w:r>
      <w:r>
        <w:t>reforms</w:t>
      </w:r>
    </w:p>
    <w:p w:rsidR="00156239" w:rsidRDefault="00156239" w:rsidP="00156239">
      <w:pPr>
        <w:pStyle w:val="ListBullet"/>
      </w:pPr>
      <w:r>
        <w:t>improving</w:t>
      </w:r>
      <w:r w:rsidR="00E15E1B">
        <w:t xml:space="preserve"> </w:t>
      </w:r>
      <w:r>
        <w:t>access</w:t>
      </w:r>
      <w:r w:rsidR="00E15E1B">
        <w:t xml:space="preserve"> </w:t>
      </w:r>
      <w:r>
        <w:t>to</w:t>
      </w:r>
      <w:r w:rsidR="00E15E1B">
        <w:t xml:space="preserve"> </w:t>
      </w:r>
      <w:r>
        <w:t>and</w:t>
      </w:r>
      <w:r w:rsidR="00E15E1B">
        <w:t xml:space="preserve"> </w:t>
      </w:r>
      <w:r>
        <w:t>effectiveness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dispute</w:t>
      </w:r>
      <w:r w:rsidR="00E15E1B">
        <w:t xml:space="preserve"> </w:t>
      </w:r>
      <w:r>
        <w:t>resolution</w:t>
      </w:r>
      <w:r w:rsidR="00E15E1B">
        <w:t xml:space="preserve"> </w:t>
      </w:r>
      <w:r>
        <w:t>process</w:t>
      </w:r>
      <w:r w:rsidR="00E15E1B">
        <w:t xml:space="preserve"> </w:t>
      </w:r>
      <w:r>
        <w:t>for</w:t>
      </w:r>
      <w:r w:rsidR="00E15E1B">
        <w:t xml:space="preserve"> </w:t>
      </w:r>
      <w:r>
        <w:t>consumers</w:t>
      </w:r>
    </w:p>
    <w:p w:rsidR="00156239" w:rsidRDefault="00156239" w:rsidP="00156239">
      <w:pPr>
        <w:pStyle w:val="ListBullet"/>
      </w:pPr>
      <w:r>
        <w:t>improving</w:t>
      </w:r>
      <w:r w:rsidR="00E15E1B">
        <w:t xml:space="preserve"> </w:t>
      </w:r>
      <w:r>
        <w:t>consumer</w:t>
      </w:r>
      <w:r w:rsidR="00E15E1B">
        <w:t xml:space="preserve"> </w:t>
      </w:r>
      <w:r>
        <w:t>choice</w:t>
      </w:r>
      <w:r w:rsidR="00E15E1B">
        <w:t xml:space="preserve"> </w:t>
      </w:r>
      <w:r>
        <w:t>and</w:t>
      </w:r>
      <w:r w:rsidR="00E15E1B">
        <w:t xml:space="preserve"> </w:t>
      </w:r>
      <w:r>
        <w:t>aiding</w:t>
      </w:r>
      <w:r w:rsidR="00E15E1B">
        <w:t xml:space="preserve"> </w:t>
      </w:r>
      <w:r>
        <w:t>consumer</w:t>
      </w:r>
      <w:r w:rsidR="00E15E1B">
        <w:t xml:space="preserve"> </w:t>
      </w:r>
      <w:r>
        <w:t>decision-making</w:t>
      </w:r>
    </w:p>
    <w:p w:rsidR="00156239" w:rsidRDefault="00156239" w:rsidP="00156239">
      <w:pPr>
        <w:pStyle w:val="ListBullet"/>
      </w:pPr>
      <w:r>
        <w:t>the</w:t>
      </w:r>
      <w:r w:rsidR="00E15E1B">
        <w:t xml:space="preserve"> </w:t>
      </w:r>
      <w:r>
        <w:t>digital</w:t>
      </w:r>
      <w:r w:rsidR="00E15E1B">
        <w:t xml:space="preserve"> </w:t>
      </w:r>
      <w:r>
        <w:t>economy,</w:t>
      </w:r>
      <w:r w:rsidR="00E15E1B">
        <w:t xml:space="preserve"> </w:t>
      </w:r>
      <w:r>
        <w:t>including</w:t>
      </w:r>
      <w:r w:rsidR="00E15E1B">
        <w:t xml:space="preserve"> </w:t>
      </w:r>
      <w:r>
        <w:t>the</w:t>
      </w:r>
      <w:r w:rsidR="00E15E1B">
        <w:t xml:space="preserve"> </w:t>
      </w:r>
      <w:r>
        <w:t>online</w:t>
      </w:r>
      <w:r w:rsidR="00E15E1B">
        <w:t xml:space="preserve"> </w:t>
      </w:r>
      <w:r>
        <w:t>marketplace</w:t>
      </w:r>
      <w:r w:rsidR="00E15E1B">
        <w:t xml:space="preserve"> </w:t>
      </w:r>
      <w:r>
        <w:t>and</w:t>
      </w:r>
      <w:r w:rsidR="00E15E1B">
        <w:t xml:space="preserve"> </w:t>
      </w:r>
      <w:r>
        <w:t>consumer</w:t>
      </w:r>
      <w:r w:rsidR="00E15E1B">
        <w:t xml:space="preserve"> </w:t>
      </w:r>
      <w:r>
        <w:t>data</w:t>
      </w:r>
      <w:r w:rsidR="00E15E1B">
        <w:t xml:space="preserve"> </w:t>
      </w:r>
      <w:r>
        <w:t>collection,</w:t>
      </w:r>
      <w:r w:rsidR="00E15E1B">
        <w:t xml:space="preserve"> </w:t>
      </w:r>
      <w:r>
        <w:t>sharing</w:t>
      </w:r>
      <w:r w:rsidR="00E15E1B">
        <w:t xml:space="preserve"> </w:t>
      </w:r>
      <w:r>
        <w:t>and</w:t>
      </w:r>
      <w:r w:rsidR="00E15E1B">
        <w:t xml:space="preserve"> </w:t>
      </w:r>
      <w:r>
        <w:t>use.</w:t>
      </w:r>
    </w:p>
    <w:p w:rsidR="00156239" w:rsidRDefault="00156239" w:rsidP="00156239">
      <w:pPr>
        <w:pStyle w:val="BodyText"/>
      </w:pPr>
      <w:r>
        <w:t>To</w:t>
      </w:r>
      <w:r w:rsidR="00E15E1B">
        <w:t xml:space="preserve"> </w:t>
      </w:r>
      <w:r>
        <w:t>deliver</w:t>
      </w:r>
      <w:r w:rsidR="00E15E1B">
        <w:t xml:space="preserve"> </w:t>
      </w:r>
      <w:r>
        <w:t>this,</w:t>
      </w:r>
      <w:r w:rsidR="00E15E1B">
        <w:t xml:space="preserve"> </w:t>
      </w:r>
      <w:r>
        <w:t>in</w:t>
      </w:r>
      <w:r w:rsidR="00E15E1B">
        <w:t xml:space="preserve"> </w:t>
      </w:r>
      <w:r>
        <w:t>addition</w:t>
      </w:r>
      <w:r w:rsidR="00E15E1B">
        <w:t xml:space="preserve"> </w:t>
      </w:r>
      <w:r>
        <w:t>to</w:t>
      </w:r>
      <w:r w:rsidR="00E15E1B">
        <w:t xml:space="preserve"> </w:t>
      </w:r>
      <w:r>
        <w:t>its</w:t>
      </w:r>
      <w:r w:rsidR="00E15E1B">
        <w:t xml:space="preserve"> </w:t>
      </w:r>
      <w:r>
        <w:t>own</w:t>
      </w:r>
      <w:r w:rsidR="00E15E1B">
        <w:t xml:space="preserve"> </w:t>
      </w:r>
      <w:r>
        <w:t>research</w:t>
      </w:r>
      <w:r w:rsidR="00E15E1B">
        <w:t xml:space="preserve"> </w:t>
      </w:r>
      <w:r>
        <w:t>program,</w:t>
      </w:r>
      <w:r w:rsidR="00E15E1B">
        <w:t xml:space="preserve"> </w:t>
      </w:r>
      <w:r>
        <w:t>the</w:t>
      </w:r>
      <w:r w:rsidR="00E15E1B">
        <w:t xml:space="preserve"> </w:t>
      </w:r>
      <w:r>
        <w:t>CPRC</w:t>
      </w:r>
      <w:r w:rsidR="00E15E1B">
        <w:t xml:space="preserve"> </w:t>
      </w:r>
      <w:r>
        <w:t>launched</w:t>
      </w:r>
      <w:r w:rsidR="00E15E1B">
        <w:t xml:space="preserve"> </w:t>
      </w:r>
      <w:r>
        <w:t>its</w:t>
      </w:r>
      <w:r w:rsidR="00E15E1B">
        <w:t xml:space="preserve"> </w:t>
      </w:r>
      <w:r>
        <w:t>Research</w:t>
      </w:r>
      <w:r w:rsidR="00E15E1B">
        <w:t xml:space="preserve"> </w:t>
      </w:r>
      <w:r>
        <w:t>Pathways</w:t>
      </w:r>
      <w:r w:rsidR="00E15E1B">
        <w:t xml:space="preserve"> </w:t>
      </w:r>
      <w:r>
        <w:t>Program</w:t>
      </w:r>
      <w:r w:rsidR="00E15E1B">
        <w:t xml:space="preserve"> </w:t>
      </w:r>
      <w:r>
        <w:t>in</w:t>
      </w:r>
      <w:r w:rsidR="00E15E1B">
        <w:t xml:space="preserve"> </w:t>
      </w:r>
      <w:r>
        <w:t>February</w:t>
      </w:r>
      <w:r w:rsidR="00E15E1B">
        <w:t xml:space="preserve"> </w:t>
      </w:r>
      <w:r>
        <w:t>2018.</w:t>
      </w:r>
      <w:r w:rsidR="00E15E1B">
        <w:t xml:space="preserve"> </w:t>
      </w:r>
      <w:r>
        <w:t>This</w:t>
      </w:r>
      <w:r w:rsidR="00E15E1B">
        <w:t xml:space="preserve"> </w:t>
      </w:r>
      <w:r>
        <w:t>program</w:t>
      </w:r>
      <w:r w:rsidR="00E15E1B">
        <w:t xml:space="preserve"> </w:t>
      </w:r>
      <w:r>
        <w:t>provides</w:t>
      </w:r>
      <w:r w:rsidR="00E15E1B">
        <w:t xml:space="preserve"> </w:t>
      </w:r>
      <w:r>
        <w:t>$220,000</w:t>
      </w:r>
      <w:r w:rsidR="00E15E1B">
        <w:t xml:space="preserve"> </w:t>
      </w:r>
      <w:r>
        <w:t>in</w:t>
      </w:r>
      <w:r w:rsidR="00E15E1B">
        <w:t xml:space="preserve"> </w:t>
      </w:r>
      <w:r>
        <w:t>funding</w:t>
      </w:r>
      <w:r w:rsidR="00E15E1B">
        <w:t xml:space="preserve"> </w:t>
      </w:r>
      <w:r>
        <w:t>annually,</w:t>
      </w:r>
      <w:r w:rsidR="00E15E1B">
        <w:t xml:space="preserve"> </w:t>
      </w:r>
      <w:r>
        <w:t>to</w:t>
      </w:r>
      <w:r w:rsidR="00E15E1B">
        <w:t xml:space="preserve"> </w:t>
      </w:r>
      <w:r>
        <w:t>support</w:t>
      </w:r>
      <w:r w:rsidR="00E15E1B">
        <w:t xml:space="preserve"> </w:t>
      </w:r>
      <w:r>
        <w:t>collaborative</w:t>
      </w:r>
      <w:r w:rsidR="00E15E1B">
        <w:t xml:space="preserve"> </w:t>
      </w:r>
      <w:r>
        <w:t>consumer</w:t>
      </w:r>
      <w:r>
        <w:rPr>
          <w:rFonts w:ascii="MS Mincho" w:eastAsia="MS Mincho" w:hAnsi="MS Mincho" w:cs="MS Mincho" w:hint="eastAsia"/>
        </w:rPr>
        <w:t>‑</w:t>
      </w:r>
      <w:r>
        <w:t>focused</w:t>
      </w:r>
      <w:r w:rsidR="00E15E1B">
        <w:t xml:space="preserve"> </w:t>
      </w:r>
      <w:r>
        <w:t>research</w:t>
      </w:r>
      <w:r w:rsidR="00E15E1B">
        <w:t xml:space="preserve"> </w:t>
      </w:r>
      <w:r>
        <w:t>across</w:t>
      </w:r>
      <w:r w:rsidR="00E15E1B">
        <w:t xml:space="preserve"> </w:t>
      </w:r>
      <w:r>
        <w:t>government,</w:t>
      </w:r>
      <w:r w:rsidR="00E15E1B">
        <w:t xml:space="preserve"> </w:t>
      </w:r>
      <w:r>
        <w:t>industry,</w:t>
      </w:r>
      <w:r w:rsidR="00E15E1B">
        <w:t xml:space="preserve"> </w:t>
      </w:r>
      <w:r>
        <w:t>the</w:t>
      </w:r>
      <w:r w:rsidR="00E15E1B">
        <w:t xml:space="preserve"> </w:t>
      </w:r>
      <w:r>
        <w:t>community</w:t>
      </w:r>
      <w:r w:rsidR="00E15E1B">
        <w:t xml:space="preserve"> </w:t>
      </w:r>
      <w:r>
        <w:t>and</w:t>
      </w:r>
      <w:r w:rsidR="00E15E1B">
        <w:t xml:space="preserve"> </w:t>
      </w:r>
      <w:r>
        <w:t>academia.</w:t>
      </w:r>
      <w:r w:rsidR="00E15E1B">
        <w:t xml:space="preserve"> </w:t>
      </w:r>
      <w:r>
        <w:t>The</w:t>
      </w:r>
      <w:r w:rsidR="00E15E1B">
        <w:t xml:space="preserve"> </w:t>
      </w:r>
      <w:r>
        <w:t>program</w:t>
      </w:r>
      <w:r w:rsidR="00E15E1B">
        <w:t xml:space="preserve"> </w:t>
      </w:r>
      <w:r>
        <w:t>will</w:t>
      </w:r>
      <w:r w:rsidR="00E15E1B">
        <w:t xml:space="preserve"> </w:t>
      </w:r>
      <w:r>
        <w:t>develop</w:t>
      </w:r>
      <w:r w:rsidR="00E15E1B">
        <w:t xml:space="preserve"> </w:t>
      </w:r>
      <w:r>
        <w:t>the</w:t>
      </w:r>
      <w:r w:rsidR="00E15E1B">
        <w:t xml:space="preserve"> </w:t>
      </w:r>
      <w:r>
        <w:t>evidence</w:t>
      </w:r>
      <w:r w:rsidR="00E15E1B">
        <w:t xml:space="preserve"> </w:t>
      </w:r>
      <w:r>
        <w:t>base</w:t>
      </w:r>
      <w:r w:rsidR="00E15E1B">
        <w:t xml:space="preserve"> </w:t>
      </w:r>
      <w:r>
        <w:t>for</w:t>
      </w:r>
      <w:r w:rsidR="00E15E1B">
        <w:t xml:space="preserve"> </w:t>
      </w:r>
      <w:r>
        <w:t>policy</w:t>
      </w:r>
      <w:r w:rsidR="00E15E1B">
        <w:t xml:space="preserve"> </w:t>
      </w:r>
      <w:r>
        <w:t>and</w:t>
      </w:r>
      <w:r w:rsidR="00E15E1B">
        <w:t xml:space="preserve"> </w:t>
      </w:r>
      <w:r>
        <w:t>practice</w:t>
      </w:r>
      <w:r w:rsidR="00E15E1B">
        <w:t xml:space="preserve"> </w:t>
      </w:r>
      <w:r>
        <w:t>changes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CPRC</w:t>
      </w:r>
      <w:r w:rsidR="00E15E1B">
        <w:t xml:space="preserve"> </w:t>
      </w:r>
      <w:r>
        <w:t>priority</w:t>
      </w:r>
      <w:r w:rsidR="00E15E1B">
        <w:t xml:space="preserve"> </w:t>
      </w:r>
      <w:r>
        <w:t>research</w:t>
      </w:r>
      <w:r w:rsidR="00E15E1B">
        <w:t xml:space="preserve"> </w:t>
      </w:r>
      <w:r>
        <w:t>areas.</w:t>
      </w:r>
    </w:p>
    <w:p w:rsidR="00156239" w:rsidRDefault="00156239" w:rsidP="00156239">
      <w:pPr>
        <w:pStyle w:val="BodyText"/>
      </w:pPr>
      <w:r>
        <w:t>CPRC</w:t>
      </w:r>
      <w:r w:rsidR="00E15E1B">
        <w:t xml:space="preserve"> </w:t>
      </w:r>
      <w:r>
        <w:t>also</w:t>
      </w:r>
      <w:r w:rsidR="00E15E1B">
        <w:t xml:space="preserve"> </w:t>
      </w:r>
      <w:r>
        <w:t>released</w:t>
      </w:r>
      <w:r w:rsidR="00E15E1B">
        <w:t xml:space="preserve"> </w:t>
      </w:r>
      <w:r>
        <w:t>its</w:t>
      </w:r>
      <w:r w:rsidR="00E15E1B">
        <w:t xml:space="preserve"> </w:t>
      </w:r>
      <w:r>
        <w:t>first</w:t>
      </w:r>
      <w:r w:rsidR="00E15E1B">
        <w:t xml:space="preserve"> </w:t>
      </w:r>
      <w:r>
        <w:t>research</w:t>
      </w:r>
      <w:r w:rsidR="00E15E1B">
        <w:t xml:space="preserve"> </w:t>
      </w:r>
      <w:r>
        <w:t>report</w:t>
      </w:r>
      <w:r w:rsidR="00E15E1B">
        <w:t xml:space="preserve"> </w:t>
      </w:r>
      <w:r>
        <w:t>in</w:t>
      </w:r>
      <w:r w:rsidR="00E15E1B">
        <w:t xml:space="preserve"> </w:t>
      </w:r>
      <w:r>
        <w:t>March</w:t>
      </w:r>
      <w:r w:rsidR="00E15E1B">
        <w:t xml:space="preserve"> </w:t>
      </w:r>
      <w:r>
        <w:t>2018,</w:t>
      </w:r>
      <w:r w:rsidR="00E15E1B">
        <w:t xml:space="preserve"> </w:t>
      </w:r>
      <w:r w:rsidRPr="00E96742">
        <w:rPr>
          <w:rStyle w:val="Emphasis"/>
        </w:rPr>
        <w:t>Five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Preconditions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of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Effective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Consumer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Engagement</w:t>
      </w:r>
      <w:r w:rsidR="00E15E1B">
        <w:t xml:space="preserve"> </w:t>
      </w:r>
      <w:r>
        <w:t>–</w:t>
      </w:r>
      <w:r w:rsidR="00E15E1B">
        <w:t xml:space="preserve"> </w:t>
      </w:r>
      <w:r>
        <w:t>a</w:t>
      </w:r>
      <w:r w:rsidR="00E15E1B">
        <w:t xml:space="preserve"> </w:t>
      </w:r>
      <w:r>
        <w:t>conceptual</w:t>
      </w:r>
      <w:r w:rsidR="00E15E1B">
        <w:t xml:space="preserve"> </w:t>
      </w:r>
      <w:r>
        <w:t>framework.</w:t>
      </w:r>
      <w:r w:rsidR="00E15E1B">
        <w:t xml:space="preserve"> </w:t>
      </w:r>
      <w:r>
        <w:t>The</w:t>
      </w:r>
      <w:r w:rsidR="00E15E1B">
        <w:t xml:space="preserve"> </w:t>
      </w:r>
      <w:r>
        <w:t>report</w:t>
      </w:r>
      <w:r w:rsidR="00E15E1B">
        <w:t xml:space="preserve"> </w:t>
      </w:r>
      <w:r>
        <w:t>provides</w:t>
      </w:r>
      <w:r w:rsidR="00E15E1B">
        <w:t xml:space="preserve"> </w:t>
      </w:r>
      <w:r>
        <w:t>guidance</w:t>
      </w:r>
      <w:r w:rsidR="00E15E1B">
        <w:t xml:space="preserve"> </w:t>
      </w:r>
      <w:r>
        <w:t>to</w:t>
      </w:r>
      <w:r w:rsidR="00E15E1B">
        <w:t xml:space="preserve"> </w:t>
      </w:r>
      <w:r>
        <w:t>policymakers</w:t>
      </w:r>
      <w:r w:rsidR="00E15E1B">
        <w:t xml:space="preserve"> </w:t>
      </w:r>
      <w:r>
        <w:t>and</w:t>
      </w:r>
      <w:r w:rsidR="00E15E1B">
        <w:t xml:space="preserve"> </w:t>
      </w:r>
      <w:r>
        <w:t>business</w:t>
      </w:r>
      <w:r w:rsidR="00E15E1B">
        <w:t xml:space="preserve"> </w:t>
      </w:r>
      <w:r>
        <w:t>on</w:t>
      </w:r>
      <w:r w:rsidR="00E15E1B">
        <w:t xml:space="preserve"> </w:t>
      </w:r>
      <w:r>
        <w:t>how</w:t>
      </w:r>
      <w:r w:rsidR="00E15E1B">
        <w:t xml:space="preserve"> </w:t>
      </w:r>
      <w:r>
        <w:t>to</w:t>
      </w:r>
      <w:r w:rsidR="00E15E1B">
        <w:t xml:space="preserve"> </w:t>
      </w:r>
      <w:r>
        <w:t>enact</w:t>
      </w:r>
      <w:r w:rsidR="00E15E1B">
        <w:t xml:space="preserve"> </w:t>
      </w:r>
      <w:r>
        <w:t>changes</w:t>
      </w:r>
      <w:r w:rsidR="00E15E1B">
        <w:t xml:space="preserve"> </w:t>
      </w:r>
      <w:r>
        <w:t>to</w:t>
      </w:r>
      <w:r w:rsidR="00E15E1B">
        <w:t xml:space="preserve"> </w:t>
      </w:r>
      <w:r>
        <w:t>enhance</w:t>
      </w:r>
      <w:r w:rsidR="00E15E1B">
        <w:t xml:space="preserve"> </w:t>
      </w:r>
      <w:r>
        <w:t>consumer</w:t>
      </w:r>
      <w:r w:rsidR="00E15E1B">
        <w:t xml:space="preserve"> </w:t>
      </w:r>
      <w:r>
        <w:t>choice</w:t>
      </w:r>
      <w:r w:rsidR="00E15E1B">
        <w:t xml:space="preserve"> </w:t>
      </w:r>
      <w:r>
        <w:t>and</w:t>
      </w:r>
      <w:r w:rsidR="00E15E1B">
        <w:t xml:space="preserve"> </w:t>
      </w:r>
      <w:r>
        <w:t>decision-making.</w:t>
      </w:r>
    </w:p>
    <w:p w:rsidR="00156239" w:rsidRDefault="00156239" w:rsidP="00156239">
      <w:pPr>
        <w:pStyle w:val="Heading4"/>
      </w:pPr>
      <w:r>
        <w:lastRenderedPageBreak/>
        <w:t>Regulations</w:t>
      </w:r>
      <w:r w:rsidR="00E15E1B">
        <w:t xml:space="preserve"> </w:t>
      </w:r>
      <w:r>
        <w:t>commenced</w:t>
      </w:r>
      <w:r w:rsidR="00E15E1B">
        <w:t xml:space="preserve"> </w:t>
      </w:r>
      <w:r>
        <w:t>or</w:t>
      </w:r>
      <w:r w:rsidR="00E15E1B">
        <w:t xml:space="preserve"> </w:t>
      </w:r>
      <w:r>
        <w:t>revoked</w:t>
      </w:r>
    </w:p>
    <w:p w:rsidR="00156239" w:rsidRDefault="00156239" w:rsidP="00156239">
      <w:pPr>
        <w:pStyle w:val="Caption"/>
      </w:pPr>
      <w:r>
        <w:t>Table</w:t>
      </w:r>
      <w:r w:rsidR="00E15E1B">
        <w:t xml:space="preserve"> </w:t>
      </w:r>
      <w:r>
        <w:t>6:</w:t>
      </w:r>
      <w:r w:rsidR="00E15E1B">
        <w:t xml:space="preserve"> </w:t>
      </w:r>
      <w:r>
        <w:t>Regulations</w:t>
      </w:r>
      <w:r w:rsidR="00E15E1B">
        <w:t xml:space="preserve"> </w:t>
      </w:r>
      <w:r>
        <w:t>commenced</w:t>
      </w:r>
      <w:r w:rsidR="00E15E1B">
        <w:t xml:space="preserve"> </w:t>
      </w:r>
      <w:r>
        <w:t>in</w:t>
      </w:r>
      <w:r w:rsidR="00E15E1B">
        <w:t xml:space="preserve"> </w:t>
      </w:r>
      <w:r>
        <w:t>2017–18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7035"/>
        <w:gridCol w:w="2037"/>
      </w:tblGrid>
      <w:tr w:rsidR="00156239" w:rsidRPr="00F41A61" w:rsidTr="00104254">
        <w:trPr>
          <w:trHeight w:val="68"/>
          <w:tblHeader/>
        </w:trPr>
        <w:tc>
          <w:tcPr>
            <w:tcW w:w="7483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Name</w:t>
            </w:r>
          </w:p>
        </w:tc>
        <w:tc>
          <w:tcPr>
            <w:tcW w:w="2155" w:type="dxa"/>
            <w:tcBorders>
              <w:lef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Date</w:t>
            </w:r>
            <w:r w:rsidR="00E15E1B">
              <w:t xml:space="preserve"> </w:t>
            </w:r>
            <w:r>
              <w:t>commenced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Conveyancers</w:t>
            </w:r>
            <w:r w:rsidR="00E15E1B">
              <w:t xml:space="preserve"> </w:t>
            </w:r>
            <w:r>
              <w:t>(Fees)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2018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26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Conveyancers</w:t>
            </w:r>
            <w:r w:rsidR="00E15E1B">
              <w:t xml:space="preserve"> </w:t>
            </w:r>
            <w:r>
              <w:t>(Professional</w:t>
            </w:r>
            <w:r w:rsidR="00E15E1B">
              <w:t xml:space="preserve"> </w:t>
            </w:r>
            <w:r>
              <w:t>Conduct)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2018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26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Conveyancers</w:t>
            </w:r>
            <w:r w:rsidR="00E15E1B">
              <w:t xml:space="preserve"> </w:t>
            </w:r>
            <w:r>
              <w:t>(Qualifications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Experience)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2018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26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Conveyancers</w:t>
            </w:r>
            <w:r w:rsidR="00E15E1B">
              <w:t xml:space="preserve"> </w:t>
            </w:r>
            <w:r>
              <w:t>(Trust</w:t>
            </w:r>
            <w:r w:rsidR="00E15E1B">
              <w:t xml:space="preserve"> </w:t>
            </w:r>
            <w:r>
              <w:t>Account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General)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2018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26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Domestic</w:t>
            </w:r>
            <w:r w:rsidR="00E15E1B">
              <w:t xml:space="preserve"> </w:t>
            </w:r>
            <w:r>
              <w:t>Building</w:t>
            </w:r>
            <w:r w:rsidR="00E15E1B">
              <w:t xml:space="preserve"> </w:t>
            </w:r>
            <w:r>
              <w:t>Contracts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2017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1</w:t>
            </w:r>
            <w:r w:rsidR="00E15E1B">
              <w:t xml:space="preserve"> </w:t>
            </w:r>
            <w:r>
              <w:t>August</w:t>
            </w:r>
            <w:r w:rsidR="00E15E1B">
              <w:t xml:space="preserve"> </w:t>
            </w:r>
            <w:r>
              <w:t>2017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Estate</w:t>
            </w:r>
            <w:r w:rsidR="00E15E1B">
              <w:t xml:space="preserve"> </w:t>
            </w:r>
            <w:r>
              <w:t>Agents</w:t>
            </w:r>
            <w:r w:rsidR="00E15E1B">
              <w:t xml:space="preserve"> </w:t>
            </w:r>
            <w:r>
              <w:t>(Professional</w:t>
            </w:r>
            <w:r w:rsidR="00E15E1B">
              <w:t xml:space="preserve"> </w:t>
            </w:r>
            <w:r>
              <w:t>Conduct)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2018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26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Estate</w:t>
            </w:r>
            <w:r w:rsidR="00E15E1B">
              <w:t xml:space="preserve"> </w:t>
            </w:r>
            <w:r>
              <w:t>Agents</w:t>
            </w:r>
            <w:r w:rsidR="00E15E1B">
              <w:t xml:space="preserve"> </w:t>
            </w:r>
            <w:r>
              <w:t>(General,</w:t>
            </w:r>
            <w:r w:rsidR="00E15E1B">
              <w:t xml:space="preserve"> </w:t>
            </w:r>
            <w:r>
              <w:t>Accounts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Audit)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2018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20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Retirement</w:t>
            </w:r>
            <w:r w:rsidR="00E15E1B">
              <w:t xml:space="preserve"> </w:t>
            </w:r>
            <w:r>
              <w:t>Villages</w:t>
            </w:r>
            <w:r w:rsidR="00E15E1B">
              <w:t xml:space="preserve"> </w:t>
            </w:r>
            <w:r>
              <w:t>(Contractual</w:t>
            </w:r>
            <w:r w:rsidR="00E15E1B">
              <w:t xml:space="preserve"> </w:t>
            </w:r>
            <w:r>
              <w:t>Arrangements)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2017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30</w:t>
            </w:r>
            <w:r w:rsidR="00E15E1B">
              <w:t xml:space="preserve"> </w:t>
            </w:r>
            <w:r>
              <w:t>July</w:t>
            </w:r>
            <w:r w:rsidR="00E15E1B">
              <w:t xml:space="preserve"> </w:t>
            </w:r>
            <w:r>
              <w:t>2017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Retirement</w:t>
            </w:r>
            <w:r w:rsidR="00E15E1B">
              <w:t xml:space="preserve"> </w:t>
            </w:r>
            <w:r>
              <w:t>Villages</w:t>
            </w:r>
            <w:r w:rsidR="00E15E1B">
              <w:t xml:space="preserve"> </w:t>
            </w:r>
            <w:r>
              <w:t>(Infringements)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2017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1</w:t>
            </w:r>
            <w:r w:rsidR="00E15E1B">
              <w:t xml:space="preserve"> </w:t>
            </w:r>
            <w:r>
              <w:t>December</w:t>
            </w:r>
            <w:r w:rsidR="00E15E1B">
              <w:t xml:space="preserve"> </w:t>
            </w:r>
            <w:r>
              <w:t>2017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Second-Hand</w:t>
            </w:r>
            <w:r w:rsidR="00E15E1B">
              <w:t xml:space="preserve"> </w:t>
            </w:r>
            <w:r>
              <w:t>Dealers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Pawnbrokers</w:t>
            </w:r>
            <w:r w:rsidR="00E15E1B">
              <w:t xml:space="preserve"> </w:t>
            </w:r>
            <w:r>
              <w:t>(General,</w:t>
            </w:r>
            <w:r w:rsidR="00E15E1B">
              <w:t xml:space="preserve"> </w:t>
            </w:r>
            <w:r>
              <w:t>Exemption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Record</w:t>
            </w:r>
            <w:r w:rsidRPr="00F41A61">
              <w:rPr>
                <w:rFonts w:ascii="MS Mincho" w:eastAsia="MS Mincho" w:hAnsi="MS Mincho" w:cs="MS Mincho" w:hint="eastAsia"/>
              </w:rPr>
              <w:t>‑</w:t>
            </w:r>
            <w:r>
              <w:t>Keeping)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2018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22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Sex</w:t>
            </w:r>
            <w:r w:rsidR="00E15E1B">
              <w:t xml:space="preserve"> </w:t>
            </w:r>
            <w:r>
              <w:t>Work</w:t>
            </w:r>
            <w:r w:rsidR="00E15E1B">
              <w:t xml:space="preserve"> </w:t>
            </w:r>
            <w:r>
              <w:t>Amendment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2017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1</w:t>
            </w:r>
            <w:r w:rsidR="00E15E1B">
              <w:t xml:space="preserve"> </w:t>
            </w:r>
            <w:r>
              <w:t>October</w:t>
            </w:r>
            <w:r w:rsidR="00E15E1B">
              <w:t xml:space="preserve"> </w:t>
            </w:r>
            <w:r>
              <w:t>2017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Subordinate</w:t>
            </w:r>
            <w:r w:rsidR="00E15E1B">
              <w:t xml:space="preserve"> </w:t>
            </w:r>
            <w:r>
              <w:t>Legislation</w:t>
            </w:r>
            <w:r w:rsidR="00E15E1B">
              <w:t xml:space="preserve"> </w:t>
            </w:r>
            <w:r>
              <w:t>(Owners</w:t>
            </w:r>
            <w:r w:rsidR="00E15E1B">
              <w:t xml:space="preserve"> </w:t>
            </w:r>
            <w:r>
              <w:t>Corporation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2007)</w:t>
            </w:r>
            <w:r w:rsidR="00E15E1B">
              <w:t xml:space="preserve"> </w:t>
            </w:r>
            <w:r>
              <w:t>Extension</w:t>
            </w:r>
            <w:r>
              <w:t> </w:t>
            </w:r>
            <w:r>
              <w:t>Regulations</w:t>
            </w:r>
            <w:r w:rsidR="00E15E1B">
              <w:t xml:space="preserve"> </w:t>
            </w:r>
            <w:r>
              <w:t>2017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4</w:t>
            </w:r>
            <w:r w:rsidR="00E15E1B">
              <w:t xml:space="preserve"> </w:t>
            </w:r>
            <w:r>
              <w:t>December</w:t>
            </w:r>
            <w:r w:rsidR="00E15E1B">
              <w:t xml:space="preserve"> </w:t>
            </w:r>
            <w:r>
              <w:t>2017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Subordinate</w:t>
            </w:r>
            <w:r w:rsidR="00E15E1B">
              <w:t xml:space="preserve"> </w:t>
            </w:r>
            <w:r>
              <w:t>Legislation</w:t>
            </w:r>
            <w:r w:rsidR="00E15E1B">
              <w:t xml:space="preserve"> </w:t>
            </w:r>
            <w:r>
              <w:t>(Residential</w:t>
            </w:r>
            <w:r w:rsidR="00E15E1B">
              <w:t xml:space="preserve"> </w:t>
            </w:r>
            <w:r>
              <w:t>Tenancies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2008)</w:t>
            </w:r>
            <w:r w:rsidR="00E15E1B">
              <w:t xml:space="preserve"> </w:t>
            </w:r>
            <w:r>
              <w:t>Extension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2018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10</w:t>
            </w:r>
            <w:r w:rsidR="00E15E1B">
              <w:t xml:space="preserve"> </w:t>
            </w:r>
            <w:r>
              <w:t>June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Veterans</w:t>
            </w:r>
            <w:r w:rsidR="00E15E1B">
              <w:t xml:space="preserve"> </w:t>
            </w:r>
            <w:r>
              <w:t>(Patriotic</w:t>
            </w:r>
            <w:r w:rsidR="00E15E1B">
              <w:t xml:space="preserve"> </w:t>
            </w:r>
            <w:r>
              <w:t>Funds)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2017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1</w:t>
            </w:r>
            <w:r w:rsidR="00E15E1B">
              <w:t xml:space="preserve"> </w:t>
            </w:r>
            <w:r>
              <w:t>November</w:t>
            </w:r>
            <w:r w:rsidR="00E15E1B">
              <w:t xml:space="preserve"> </w:t>
            </w:r>
            <w:r>
              <w:t>2017</w:t>
            </w:r>
          </w:p>
        </w:tc>
      </w:tr>
    </w:tbl>
    <w:p w:rsidR="00BF3355" w:rsidRPr="00BF3355" w:rsidRDefault="00BF3355" w:rsidP="00BF3355">
      <w:pPr>
        <w:pStyle w:val="BodyText"/>
      </w:pPr>
      <w:r w:rsidRPr="00BF3355">
        <w:br w:type="page"/>
      </w:r>
    </w:p>
    <w:p w:rsidR="00156239" w:rsidRDefault="00156239" w:rsidP="007E4229">
      <w:pPr>
        <w:pStyle w:val="Caption"/>
      </w:pPr>
      <w:r>
        <w:lastRenderedPageBreak/>
        <w:t>Table</w:t>
      </w:r>
      <w:r w:rsidR="00E15E1B">
        <w:t xml:space="preserve"> </w:t>
      </w:r>
      <w:r>
        <w:t>7:</w:t>
      </w:r>
      <w:r w:rsidR="00E15E1B">
        <w:t xml:space="preserve"> </w:t>
      </w:r>
      <w:r>
        <w:t>Regulations</w:t>
      </w:r>
      <w:r w:rsidR="00E15E1B">
        <w:t xml:space="preserve"> </w:t>
      </w:r>
      <w:r>
        <w:t>revoked</w:t>
      </w:r>
      <w:r w:rsidR="00E15E1B">
        <w:t xml:space="preserve"> </w:t>
      </w:r>
      <w:r>
        <w:t>in</w:t>
      </w:r>
      <w:r w:rsidR="00E15E1B">
        <w:t xml:space="preserve"> </w:t>
      </w:r>
      <w:r>
        <w:t>2017–18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7035"/>
        <w:gridCol w:w="2037"/>
      </w:tblGrid>
      <w:tr w:rsidR="00156239" w:rsidRPr="00F41A61" w:rsidTr="00104254">
        <w:trPr>
          <w:trHeight w:val="68"/>
          <w:tblHeader/>
        </w:trPr>
        <w:tc>
          <w:tcPr>
            <w:tcW w:w="7483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Name</w:t>
            </w:r>
          </w:p>
        </w:tc>
        <w:tc>
          <w:tcPr>
            <w:tcW w:w="2155" w:type="dxa"/>
            <w:tcBorders>
              <w:lef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Date</w:t>
            </w:r>
            <w:r w:rsidR="00E15E1B">
              <w:t xml:space="preserve"> </w:t>
            </w:r>
            <w:r>
              <w:t>revoked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Conveyancers</w:t>
            </w:r>
            <w:r w:rsidR="00E15E1B">
              <w:t xml:space="preserve"> </w:t>
            </w:r>
            <w:r>
              <w:t>(Professional</w:t>
            </w:r>
            <w:r w:rsidR="00E15E1B">
              <w:t xml:space="preserve"> </w:t>
            </w:r>
            <w:r>
              <w:t>Conduct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Trust</w:t>
            </w:r>
            <w:r w:rsidR="00E15E1B">
              <w:t xml:space="preserve"> </w:t>
            </w:r>
            <w:r>
              <w:t>Account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General)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2008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26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Conveyancers</w:t>
            </w:r>
            <w:r w:rsidR="00E15E1B">
              <w:t xml:space="preserve"> </w:t>
            </w:r>
            <w:r>
              <w:t>(Professional</w:t>
            </w:r>
            <w:r w:rsidR="00E15E1B">
              <w:t xml:space="preserve"> </w:t>
            </w:r>
            <w:r>
              <w:t>Conduct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Trust</w:t>
            </w:r>
            <w:r w:rsidR="00E15E1B">
              <w:t xml:space="preserve"> </w:t>
            </w:r>
            <w:r>
              <w:t>Account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General)</w:t>
            </w:r>
            <w:r w:rsidR="00E15E1B">
              <w:t xml:space="preserve"> </w:t>
            </w:r>
            <w:r>
              <w:t>Amendment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2010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26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Conveyancers</w:t>
            </w:r>
            <w:r w:rsidR="00E15E1B">
              <w:t xml:space="preserve"> </w:t>
            </w:r>
            <w:r>
              <w:t>(Professional</w:t>
            </w:r>
            <w:r w:rsidR="00E15E1B">
              <w:t xml:space="preserve"> </w:t>
            </w:r>
            <w:r>
              <w:t>Conduct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Trust</w:t>
            </w:r>
            <w:r w:rsidR="00E15E1B">
              <w:t xml:space="preserve"> </w:t>
            </w:r>
            <w:r>
              <w:t>Account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General)</w:t>
            </w:r>
            <w:r w:rsidR="00E15E1B">
              <w:t xml:space="preserve"> </w:t>
            </w:r>
            <w:r>
              <w:t>Amendment</w:t>
            </w:r>
            <w:r w:rsidR="00E15E1B">
              <w:t xml:space="preserve"> </w:t>
            </w:r>
            <w:r>
              <w:t>(Infringements)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2010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26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Conveyancers</w:t>
            </w:r>
            <w:r w:rsidR="00E15E1B">
              <w:t xml:space="preserve"> </w:t>
            </w:r>
            <w:r>
              <w:t>(Professional</w:t>
            </w:r>
            <w:r w:rsidR="00E15E1B">
              <w:t xml:space="preserve"> </w:t>
            </w:r>
            <w:r>
              <w:t>Conduct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Trust</w:t>
            </w:r>
            <w:r w:rsidR="00E15E1B">
              <w:t xml:space="preserve"> </w:t>
            </w:r>
            <w:r>
              <w:t>Account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General)</w:t>
            </w:r>
            <w:r w:rsidR="00E15E1B">
              <w:t xml:space="preserve"> </w:t>
            </w:r>
            <w:r>
              <w:t>Amendment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2015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26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Conveyancers</w:t>
            </w:r>
            <w:r w:rsidR="00E15E1B">
              <w:t xml:space="preserve"> </w:t>
            </w:r>
            <w:r>
              <w:t>(Qualifications,</w:t>
            </w:r>
            <w:r w:rsidR="00E15E1B">
              <w:t xml:space="preserve"> </w:t>
            </w:r>
            <w:r>
              <w:t>Experience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Fees)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2008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26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Conveyancers</w:t>
            </w:r>
            <w:r w:rsidR="00E15E1B">
              <w:t xml:space="preserve"> </w:t>
            </w:r>
            <w:r>
              <w:t>(Qualifications,</w:t>
            </w:r>
            <w:r w:rsidR="00E15E1B">
              <w:t xml:space="preserve"> </w:t>
            </w:r>
            <w:r>
              <w:t>Experience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Fees)</w:t>
            </w:r>
            <w:r w:rsidR="00E15E1B">
              <w:t xml:space="preserve"> </w:t>
            </w:r>
            <w:r>
              <w:t>Amendment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2012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26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Conveyancers</w:t>
            </w:r>
            <w:r w:rsidR="00E15E1B">
              <w:t xml:space="preserve"> </w:t>
            </w:r>
            <w:r>
              <w:t>(Qualifications,</w:t>
            </w:r>
            <w:r w:rsidR="00E15E1B">
              <w:t xml:space="preserve"> </w:t>
            </w:r>
            <w:r>
              <w:t>Experience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Fees)</w:t>
            </w:r>
            <w:r w:rsidR="00E15E1B">
              <w:t xml:space="preserve"> </w:t>
            </w:r>
            <w:r>
              <w:t>Amendment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2016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26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Estate</w:t>
            </w:r>
            <w:r w:rsidR="00E15E1B">
              <w:t xml:space="preserve"> </w:t>
            </w:r>
            <w:r>
              <w:t>Agents</w:t>
            </w:r>
            <w:r w:rsidR="00E15E1B">
              <w:t xml:space="preserve"> </w:t>
            </w:r>
            <w:r>
              <w:t>(Professional</w:t>
            </w:r>
            <w:r w:rsidR="00E15E1B">
              <w:t xml:space="preserve"> </w:t>
            </w:r>
            <w:r>
              <w:t>Conduct)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2008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26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Estate</w:t>
            </w:r>
            <w:r w:rsidR="00E15E1B">
              <w:t xml:space="preserve"> </w:t>
            </w:r>
            <w:r>
              <w:t>Agents</w:t>
            </w:r>
            <w:r w:rsidR="00E15E1B">
              <w:t xml:space="preserve"> </w:t>
            </w:r>
            <w:r>
              <w:t>(General,</w:t>
            </w:r>
            <w:r w:rsidR="00E15E1B">
              <w:t xml:space="preserve"> </w:t>
            </w:r>
            <w:r>
              <w:t>Accounts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Audit)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2008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20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Second-Hand</w:t>
            </w:r>
            <w:r w:rsidR="00E15E1B">
              <w:t xml:space="preserve"> </w:t>
            </w:r>
            <w:r>
              <w:t>Dealers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Pawnbrokers</w:t>
            </w:r>
            <w:r w:rsidR="00E15E1B">
              <w:t xml:space="preserve"> </w:t>
            </w:r>
            <w:r>
              <w:t>(Exemption)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2008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22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Second-Hand</w:t>
            </w:r>
            <w:r w:rsidR="00E15E1B">
              <w:t xml:space="preserve"> </w:t>
            </w:r>
            <w:r>
              <w:t>Dealers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Pawnbrokers</w:t>
            </w:r>
            <w:r w:rsidR="00E15E1B">
              <w:t xml:space="preserve"> </w:t>
            </w:r>
            <w:r>
              <w:t>Amendment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2009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22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Second-Hand</w:t>
            </w:r>
            <w:r w:rsidR="00E15E1B">
              <w:t xml:space="preserve"> </w:t>
            </w:r>
            <w:r>
              <w:t>Dealers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Pawnbrokers</w:t>
            </w:r>
            <w:r w:rsidR="00E15E1B">
              <w:t xml:space="preserve"> </w:t>
            </w:r>
            <w:r>
              <w:t>(Exemption)</w:t>
            </w:r>
            <w:r w:rsidR="00E15E1B">
              <w:t xml:space="preserve"> </w:t>
            </w:r>
            <w:r>
              <w:t>Amendment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2011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22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Second-Hand</w:t>
            </w:r>
            <w:r w:rsidR="00E15E1B">
              <w:t xml:space="preserve"> </w:t>
            </w:r>
            <w:r>
              <w:t>Dealers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Pawnbrokers</w:t>
            </w:r>
            <w:r w:rsidR="00E15E1B">
              <w:t xml:space="preserve"> </w:t>
            </w:r>
            <w:r>
              <w:t>Amendment</w:t>
            </w:r>
            <w:r w:rsidR="00E15E1B">
              <w:t xml:space="preserve"> </w:t>
            </w:r>
            <w:r>
              <w:t>(Infringements)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2012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22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Second-Hand</w:t>
            </w:r>
            <w:r w:rsidR="00E15E1B">
              <w:t xml:space="preserve"> </w:t>
            </w:r>
            <w:r>
              <w:t>Dealers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Pawnbrokers</w:t>
            </w:r>
            <w:r w:rsidR="00E15E1B">
              <w:t xml:space="preserve"> </w:t>
            </w:r>
            <w:r>
              <w:t>(Exemption)</w:t>
            </w:r>
            <w:r w:rsidR="00E15E1B">
              <w:t xml:space="preserve"> </w:t>
            </w:r>
            <w:r>
              <w:t>Amendment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2016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22</w:t>
            </w:r>
            <w:r w:rsidR="00E15E1B">
              <w:t xml:space="preserve"> </w:t>
            </w:r>
            <w:r>
              <w:t>May</w:t>
            </w:r>
            <w:r w:rsidR="00E15E1B">
              <w:t xml:space="preserve"> </w:t>
            </w:r>
            <w:r>
              <w:t>2018</w:t>
            </w:r>
          </w:p>
        </w:tc>
      </w:tr>
      <w:tr w:rsidR="00156239" w:rsidRPr="00F41A61" w:rsidTr="00104254">
        <w:trPr>
          <w:trHeight w:val="68"/>
        </w:trPr>
        <w:tc>
          <w:tcPr>
            <w:tcW w:w="748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Veterans</w:t>
            </w:r>
            <w:r w:rsidR="00E15E1B">
              <w:t xml:space="preserve"> </w:t>
            </w:r>
            <w:r>
              <w:t>(Patriotic</w:t>
            </w:r>
            <w:r w:rsidR="00E15E1B">
              <w:t xml:space="preserve"> </w:t>
            </w:r>
            <w:r>
              <w:t>Funds)</w:t>
            </w:r>
            <w:r w:rsidR="00E15E1B">
              <w:t xml:space="preserve"> </w:t>
            </w:r>
            <w:r>
              <w:t>Regulations</w:t>
            </w:r>
            <w:r w:rsidR="00E15E1B">
              <w:t xml:space="preserve"> </w:t>
            </w:r>
            <w:r>
              <w:t>2008</w:t>
            </w:r>
          </w:p>
        </w:tc>
        <w:tc>
          <w:tcPr>
            <w:tcW w:w="215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1</w:t>
            </w:r>
            <w:r w:rsidR="00E15E1B">
              <w:t xml:space="preserve"> </w:t>
            </w:r>
            <w:r>
              <w:t>November</w:t>
            </w:r>
            <w:r w:rsidR="00E15E1B">
              <w:t xml:space="preserve"> </w:t>
            </w:r>
            <w:r>
              <w:t>2017</w:t>
            </w:r>
          </w:p>
        </w:tc>
      </w:tr>
    </w:tbl>
    <w:p w:rsidR="00BF3355" w:rsidRPr="00BF3355" w:rsidRDefault="00BF3355" w:rsidP="00BF3355">
      <w:pPr>
        <w:pStyle w:val="BodyText"/>
      </w:pPr>
      <w:r w:rsidRPr="00BF3355">
        <w:br w:type="page"/>
      </w:r>
    </w:p>
    <w:p w:rsidR="00156239" w:rsidRDefault="00156239" w:rsidP="00156239">
      <w:pPr>
        <w:pStyle w:val="Heading3"/>
      </w:pPr>
      <w:bookmarkStart w:id="16" w:name="_Toc525132666"/>
      <w:r>
        <w:lastRenderedPageBreak/>
        <w:t>Goal</w:t>
      </w:r>
      <w:r w:rsidR="00E15E1B">
        <w:t xml:space="preserve"> </w:t>
      </w:r>
      <w:r>
        <w:t>5:</w:t>
      </w:r>
      <w:r w:rsidR="00E15E1B">
        <w:t xml:space="preserve"> </w:t>
      </w:r>
      <w:r>
        <w:t>A</w:t>
      </w:r>
      <w:r w:rsidR="00E15E1B">
        <w:t xml:space="preserve"> </w:t>
      </w:r>
      <w:r>
        <w:t>sustainable</w:t>
      </w:r>
      <w:r w:rsidR="00E15E1B">
        <w:t xml:space="preserve"> </w:t>
      </w:r>
      <w:r>
        <w:t>and</w:t>
      </w:r>
      <w:r w:rsidR="00E15E1B">
        <w:t xml:space="preserve"> </w:t>
      </w:r>
      <w:r>
        <w:t>innovative</w:t>
      </w:r>
      <w:r w:rsidR="00E15E1B">
        <w:t xml:space="preserve"> </w:t>
      </w:r>
      <w:r>
        <w:t>regulator</w:t>
      </w:r>
      <w:bookmarkEnd w:id="16"/>
    </w:p>
    <w:p w:rsidR="00156239" w:rsidRDefault="00156239" w:rsidP="00156239">
      <w:pPr>
        <w:pStyle w:val="BodyText"/>
      </w:pPr>
      <w:r>
        <w:t>Efficient</w:t>
      </w:r>
      <w:r w:rsidR="00E15E1B">
        <w:t xml:space="preserve"> </w:t>
      </w:r>
      <w:r>
        <w:t>and</w:t>
      </w:r>
      <w:r w:rsidR="00E15E1B">
        <w:t xml:space="preserve"> </w:t>
      </w:r>
      <w:r>
        <w:t>effective</w:t>
      </w:r>
      <w:r w:rsidR="00E15E1B">
        <w:t xml:space="preserve"> </w:t>
      </w:r>
      <w:r>
        <w:t>internal</w:t>
      </w:r>
      <w:r w:rsidR="00E15E1B">
        <w:t xml:space="preserve"> </w:t>
      </w:r>
      <w:r>
        <w:t>operations</w:t>
      </w:r>
      <w:r w:rsidR="00E15E1B">
        <w:t xml:space="preserve"> </w:t>
      </w:r>
      <w:r>
        <w:t>are</w:t>
      </w:r>
      <w:r w:rsidR="00E15E1B">
        <w:t xml:space="preserve"> </w:t>
      </w:r>
      <w:r>
        <w:t>critical</w:t>
      </w:r>
      <w:r w:rsidR="00E15E1B">
        <w:t xml:space="preserve"> </w:t>
      </w:r>
      <w:r>
        <w:t>to</w:t>
      </w:r>
      <w:r w:rsidR="00E15E1B">
        <w:t xml:space="preserve"> </w:t>
      </w:r>
      <w:r>
        <w:t>our</w:t>
      </w:r>
      <w:r w:rsidR="00E15E1B">
        <w:t xml:space="preserve"> </w:t>
      </w:r>
      <w:r>
        <w:t>ability</w:t>
      </w:r>
      <w:r w:rsidR="00E15E1B">
        <w:t xml:space="preserve"> </w:t>
      </w:r>
      <w:r>
        <w:t>to</w:t>
      </w:r>
      <w:r w:rsidR="00E15E1B">
        <w:t xml:space="preserve"> </w:t>
      </w:r>
      <w:r>
        <w:t>be</w:t>
      </w:r>
      <w:r w:rsidR="00E15E1B">
        <w:t xml:space="preserve"> </w:t>
      </w:r>
      <w:r>
        <w:t>a</w:t>
      </w:r>
      <w:r w:rsidR="00E15E1B">
        <w:t xml:space="preserve"> </w:t>
      </w:r>
      <w:r>
        <w:t>modern</w:t>
      </w:r>
      <w:r w:rsidR="00E15E1B">
        <w:t xml:space="preserve"> </w:t>
      </w:r>
      <w:r>
        <w:t>and</w:t>
      </w:r>
      <w:r w:rsidR="00E15E1B">
        <w:t xml:space="preserve"> </w:t>
      </w:r>
      <w:r>
        <w:t>effective</w:t>
      </w:r>
      <w:r w:rsidR="00E15E1B">
        <w:t xml:space="preserve"> </w:t>
      </w:r>
      <w:r>
        <w:t>regulator.</w:t>
      </w:r>
      <w:r w:rsidR="00E15E1B">
        <w:t xml:space="preserve"> </w:t>
      </w:r>
      <w:r>
        <w:t>We</w:t>
      </w:r>
      <w:r w:rsidR="00E15E1B">
        <w:t xml:space="preserve"> </w:t>
      </w:r>
      <w:r>
        <w:t>continue</w:t>
      </w:r>
      <w:r w:rsidR="00E15E1B">
        <w:t xml:space="preserve"> </w:t>
      </w:r>
      <w:r>
        <w:t>working</w:t>
      </w:r>
      <w:r w:rsidR="00E15E1B">
        <w:t xml:space="preserve"> </w:t>
      </w:r>
      <w:r>
        <w:t>on</w:t>
      </w:r>
      <w:r w:rsidR="00E15E1B">
        <w:t xml:space="preserve"> </w:t>
      </w:r>
      <w:r>
        <w:t>new</w:t>
      </w:r>
      <w:r w:rsidR="00E15E1B">
        <w:t xml:space="preserve"> </w:t>
      </w:r>
      <w:r>
        <w:t>ways</w:t>
      </w:r>
      <w:r w:rsidR="00E15E1B">
        <w:t xml:space="preserve"> </w:t>
      </w:r>
      <w:r>
        <w:t>to</w:t>
      </w:r>
      <w:r w:rsidR="00E15E1B">
        <w:t xml:space="preserve"> </w:t>
      </w:r>
      <w:r>
        <w:t>develop</w:t>
      </w:r>
      <w:r w:rsidR="00E15E1B">
        <w:t xml:space="preserve"> </w:t>
      </w:r>
      <w:r>
        <w:t>our</w:t>
      </w:r>
      <w:r w:rsidR="00E15E1B">
        <w:t xml:space="preserve"> </w:t>
      </w:r>
      <w:r>
        <w:t>capability,</w:t>
      </w:r>
      <w:r w:rsidR="00E15E1B">
        <w:t xml:space="preserve"> </w:t>
      </w:r>
      <w:r>
        <w:t>technology</w:t>
      </w:r>
      <w:r w:rsidR="00E15E1B">
        <w:t xml:space="preserve"> </w:t>
      </w:r>
      <w:r>
        <w:t>and</w:t>
      </w:r>
      <w:r w:rsidR="00E15E1B">
        <w:t xml:space="preserve"> </w:t>
      </w:r>
      <w:r>
        <w:t>approach</w:t>
      </w:r>
      <w:r w:rsidR="00E15E1B">
        <w:t xml:space="preserve"> </w:t>
      </w:r>
      <w:r>
        <w:t>to</w:t>
      </w:r>
      <w:r w:rsidR="00E15E1B">
        <w:t xml:space="preserve"> </w:t>
      </w:r>
      <w:r>
        <w:t>collaborating</w:t>
      </w:r>
      <w:r w:rsidR="00E15E1B">
        <w:t xml:space="preserve"> </w:t>
      </w:r>
      <w:r>
        <w:t>with</w:t>
      </w:r>
      <w:r w:rsidR="00E15E1B">
        <w:t xml:space="preserve"> </w:t>
      </w:r>
      <w:r>
        <w:t>our</w:t>
      </w:r>
      <w:r w:rsidR="00E15E1B">
        <w:t xml:space="preserve"> </w:t>
      </w:r>
      <w:r>
        <w:t>partner</w:t>
      </w:r>
      <w:r w:rsidR="00E15E1B">
        <w:t xml:space="preserve"> </w:t>
      </w:r>
      <w:r>
        <w:t>agencies.</w:t>
      </w:r>
    </w:p>
    <w:p w:rsidR="00156239" w:rsidRDefault="00156239" w:rsidP="00156239">
      <w:pPr>
        <w:pStyle w:val="Heading4"/>
      </w:pPr>
      <w:r>
        <w:t>Highlights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commenced</w:t>
      </w:r>
      <w:r w:rsidR="00E15E1B">
        <w:t xml:space="preserve"> </w:t>
      </w:r>
      <w:r>
        <w:t>a</w:t>
      </w:r>
      <w:r w:rsidR="00E15E1B">
        <w:t xml:space="preserve"> </w:t>
      </w:r>
      <w:r>
        <w:t>two-year</w:t>
      </w:r>
      <w:r w:rsidR="00E15E1B">
        <w:t xml:space="preserve"> </w:t>
      </w:r>
      <w:r>
        <w:t>program</w:t>
      </w:r>
      <w:r w:rsidR="00E15E1B">
        <w:t xml:space="preserve"> </w:t>
      </w:r>
      <w:r>
        <w:t>to</w:t>
      </w:r>
      <w:r w:rsidR="00E15E1B">
        <w:t xml:space="preserve"> </w:t>
      </w:r>
      <w:r>
        <w:t>reduce</w:t>
      </w:r>
      <w:r w:rsidR="00E15E1B">
        <w:t xml:space="preserve"> </w:t>
      </w:r>
      <w:r>
        <w:t>the</w:t>
      </w:r>
      <w:r w:rsidR="00E15E1B">
        <w:t xml:space="preserve"> </w:t>
      </w:r>
      <w:r>
        <w:t>cost</w:t>
      </w:r>
      <w:r w:rsidR="00E15E1B">
        <w:t xml:space="preserve"> </w:t>
      </w:r>
      <w:r>
        <w:t>of</w:t>
      </w:r>
      <w:r w:rsidR="00E15E1B">
        <w:t xml:space="preserve"> </w:t>
      </w:r>
      <w:r>
        <w:t>regulation</w:t>
      </w:r>
      <w:r w:rsidR="00E15E1B">
        <w:t xml:space="preserve"> </w:t>
      </w:r>
      <w:r>
        <w:t>for</w:t>
      </w:r>
      <w:r w:rsidR="00E15E1B">
        <w:t xml:space="preserve"> </w:t>
      </w:r>
      <w:r>
        <w:t>business,</w:t>
      </w:r>
      <w:r w:rsidR="00E15E1B">
        <w:t xml:space="preserve"> </w:t>
      </w:r>
      <w:r>
        <w:t>while</w:t>
      </w:r>
      <w:r w:rsidR="00E15E1B">
        <w:t xml:space="preserve"> </w:t>
      </w:r>
      <w:r>
        <w:t>maintaining</w:t>
      </w:r>
      <w:r w:rsidR="00E15E1B">
        <w:t xml:space="preserve"> </w:t>
      </w:r>
      <w:r>
        <w:t>appropriate</w:t>
      </w:r>
      <w:r w:rsidR="00E15E1B">
        <w:t xml:space="preserve"> </w:t>
      </w:r>
      <w:r>
        <w:t>consumer</w:t>
      </w:r>
      <w:r w:rsidR="00E15E1B">
        <w:t xml:space="preserve"> </w:t>
      </w:r>
      <w:r>
        <w:t>protections,</w:t>
      </w:r>
      <w:r w:rsidR="00E15E1B">
        <w:t xml:space="preserve"> </w:t>
      </w:r>
      <w:r>
        <w:t>outlined</w:t>
      </w:r>
      <w:r w:rsidR="00E15E1B">
        <w:t xml:space="preserve"> </w:t>
      </w:r>
      <w:r>
        <w:t>in</w:t>
      </w:r>
      <w:r w:rsidR="00E15E1B">
        <w:t xml:space="preserve"> </w:t>
      </w:r>
      <w:r>
        <w:t>our</w:t>
      </w:r>
      <w:r w:rsidR="00E15E1B">
        <w:t xml:space="preserve"> </w:t>
      </w:r>
      <w:r>
        <w:t>Statement</w:t>
      </w:r>
      <w:r w:rsidR="00E15E1B">
        <w:t xml:space="preserve"> </w:t>
      </w:r>
      <w:r>
        <w:t>of</w:t>
      </w:r>
      <w:r w:rsidR="00E15E1B">
        <w:t xml:space="preserve"> </w:t>
      </w:r>
      <w:r>
        <w:t>Expectations</w:t>
      </w:r>
      <w:r w:rsidR="00E15E1B">
        <w:t xml:space="preserve"> </w:t>
      </w:r>
      <w:r>
        <w:t>2017–19.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continued</w:t>
      </w:r>
      <w:r w:rsidR="00E15E1B">
        <w:t xml:space="preserve"> </w:t>
      </w:r>
      <w:r>
        <w:t>to</w:t>
      </w:r>
      <w:r w:rsidR="00E15E1B">
        <w:t xml:space="preserve"> </w:t>
      </w:r>
      <w:r>
        <w:t>develop</w:t>
      </w:r>
      <w:r w:rsidR="00E15E1B">
        <w:t xml:space="preserve"> </w:t>
      </w:r>
      <w:r>
        <w:t>mutually</w:t>
      </w:r>
      <w:r w:rsidR="00E15E1B">
        <w:t xml:space="preserve"> </w:t>
      </w:r>
      <w:r>
        <w:t>beneficial</w:t>
      </w:r>
      <w:r w:rsidR="00E15E1B">
        <w:t xml:space="preserve"> </w:t>
      </w:r>
      <w:r>
        <w:t>partnerships</w:t>
      </w:r>
      <w:r w:rsidR="00E15E1B">
        <w:t xml:space="preserve"> </w:t>
      </w:r>
      <w:r>
        <w:t>with</w:t>
      </w:r>
      <w:r w:rsidR="00E15E1B">
        <w:t xml:space="preserve"> </w:t>
      </w:r>
      <w:r>
        <w:t>key</w:t>
      </w:r>
      <w:r w:rsidR="00E15E1B">
        <w:t xml:space="preserve"> </w:t>
      </w:r>
      <w:r>
        <w:t>stakeholders</w:t>
      </w:r>
      <w:r w:rsidR="00E15E1B">
        <w:t xml:space="preserve"> </w:t>
      </w:r>
      <w:r>
        <w:t>and</w:t>
      </w:r>
      <w:r w:rsidR="00E15E1B">
        <w:t xml:space="preserve"> </w:t>
      </w:r>
      <w:r>
        <w:t>organisations</w:t>
      </w:r>
      <w:r w:rsidR="00E15E1B">
        <w:t xml:space="preserve"> </w:t>
      </w:r>
      <w:r>
        <w:t>through</w:t>
      </w:r>
      <w:r w:rsidR="00E15E1B">
        <w:t xml:space="preserve"> </w:t>
      </w:r>
      <w:r>
        <w:t>our</w:t>
      </w:r>
      <w:r w:rsidR="00E15E1B">
        <w:t xml:space="preserve"> </w:t>
      </w:r>
      <w:r>
        <w:t>Partnership</w:t>
      </w:r>
      <w:r w:rsidR="00E15E1B">
        <w:t xml:space="preserve"> </w:t>
      </w:r>
      <w:r>
        <w:t>Strategy.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are</w:t>
      </w:r>
      <w:r w:rsidR="00E15E1B">
        <w:t xml:space="preserve"> </w:t>
      </w:r>
      <w:r>
        <w:t>supporting</w:t>
      </w:r>
      <w:r w:rsidR="00E15E1B">
        <w:t xml:space="preserve"> </w:t>
      </w:r>
      <w:r>
        <w:t>the</w:t>
      </w:r>
      <w:r w:rsidR="00E15E1B">
        <w:t xml:space="preserve"> </w:t>
      </w:r>
      <w:r>
        <w:t>establishment</w:t>
      </w:r>
      <w:r w:rsidR="00E15E1B">
        <w:t xml:space="preserve"> </w:t>
      </w:r>
      <w:r>
        <w:t>of</w:t>
      </w:r>
      <w:r w:rsidR="00E15E1B">
        <w:t xml:space="preserve"> </w:t>
      </w:r>
      <w:r>
        <w:t>a</w:t>
      </w:r>
      <w:r w:rsidR="00E15E1B">
        <w:t xml:space="preserve"> </w:t>
      </w:r>
      <w:r>
        <w:t>new</w:t>
      </w:r>
      <w:r w:rsidR="00E15E1B">
        <w:t xml:space="preserve"> </w:t>
      </w:r>
      <w:r>
        <w:t>GovHub</w:t>
      </w:r>
      <w:r w:rsidR="00E15E1B">
        <w:t xml:space="preserve"> </w:t>
      </w:r>
      <w:r>
        <w:t>office</w:t>
      </w:r>
      <w:r w:rsidR="00E15E1B">
        <w:t xml:space="preserve"> </w:t>
      </w:r>
      <w:r>
        <w:t>to</w:t>
      </w:r>
      <w:r w:rsidR="00E15E1B">
        <w:t xml:space="preserve"> </w:t>
      </w:r>
      <w:r>
        <w:t>be</w:t>
      </w:r>
      <w:r w:rsidR="00E15E1B">
        <w:t xml:space="preserve"> </w:t>
      </w:r>
      <w:r>
        <w:t>built</w:t>
      </w:r>
      <w:r w:rsidR="00E15E1B">
        <w:t xml:space="preserve"> </w:t>
      </w:r>
      <w:r>
        <w:t>in</w:t>
      </w:r>
      <w:r w:rsidR="00E15E1B">
        <w:t xml:space="preserve"> </w:t>
      </w:r>
      <w:r>
        <w:t>Ballarat,</w:t>
      </w:r>
      <w:r w:rsidR="00E15E1B">
        <w:t xml:space="preserve"> </w:t>
      </w:r>
      <w:r>
        <w:t>an</w:t>
      </w:r>
      <w:r w:rsidR="00E15E1B">
        <w:t xml:space="preserve"> </w:t>
      </w:r>
      <w:r>
        <w:t>investment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future</w:t>
      </w:r>
      <w:r w:rsidR="00E15E1B">
        <w:t xml:space="preserve"> </w:t>
      </w:r>
      <w:r>
        <w:t>of</w:t>
      </w:r>
      <w:r w:rsidR="00E15E1B">
        <w:t xml:space="preserve"> </w:t>
      </w:r>
      <w:r>
        <w:t>regional</w:t>
      </w:r>
      <w:r w:rsidR="00E15E1B">
        <w:t xml:space="preserve"> </w:t>
      </w:r>
      <w:r>
        <w:t>Victoria.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established</w:t>
      </w:r>
      <w:r w:rsidR="00E15E1B">
        <w:t xml:space="preserve"> </w:t>
      </w:r>
      <w:r>
        <w:t>a</w:t>
      </w:r>
      <w:r w:rsidR="00E15E1B">
        <w:t xml:space="preserve"> </w:t>
      </w:r>
      <w:r>
        <w:t>compliance</w:t>
      </w:r>
      <w:r w:rsidR="00E15E1B">
        <w:t xml:space="preserve"> </w:t>
      </w:r>
      <w:r>
        <w:t>operating</w:t>
      </w:r>
      <w:r w:rsidR="00E15E1B">
        <w:t xml:space="preserve"> </w:t>
      </w:r>
      <w:r>
        <w:t>model</w:t>
      </w:r>
      <w:r w:rsidR="00E15E1B">
        <w:t xml:space="preserve"> </w:t>
      </w:r>
      <w:r>
        <w:t>to</w:t>
      </w:r>
      <w:r w:rsidR="00E15E1B">
        <w:t xml:space="preserve"> </w:t>
      </w:r>
      <w:r>
        <w:t>ensure</w:t>
      </w:r>
      <w:r w:rsidR="00E15E1B">
        <w:t xml:space="preserve"> </w:t>
      </w:r>
      <w:r>
        <w:t>that</w:t>
      </w:r>
      <w:r w:rsidR="00E15E1B">
        <w:t xml:space="preserve"> </w:t>
      </w:r>
      <w:r>
        <w:t>risk</w:t>
      </w:r>
      <w:r w:rsidR="00E15E1B">
        <w:t xml:space="preserve"> </w:t>
      </w:r>
      <w:r>
        <w:t>is</w:t>
      </w:r>
      <w:r w:rsidR="00E15E1B">
        <w:t xml:space="preserve"> </w:t>
      </w:r>
      <w:r>
        <w:t>at</w:t>
      </w:r>
      <w:r w:rsidR="00E15E1B">
        <w:t xml:space="preserve"> </w:t>
      </w:r>
      <w:r>
        <w:t>the</w:t>
      </w:r>
      <w:r w:rsidR="00E15E1B">
        <w:t xml:space="preserve"> </w:t>
      </w:r>
      <w:r>
        <w:t>centre</w:t>
      </w:r>
      <w:r w:rsidR="00E15E1B">
        <w:t xml:space="preserve"> </w:t>
      </w:r>
      <w:r>
        <w:t>of</w:t>
      </w:r>
      <w:r w:rsidR="00E15E1B">
        <w:t xml:space="preserve"> </w:t>
      </w:r>
      <w:r>
        <w:t>compliance</w:t>
      </w:r>
      <w:r w:rsidR="00E15E1B">
        <w:t xml:space="preserve"> </w:t>
      </w:r>
      <w:r>
        <w:t>decision</w:t>
      </w:r>
      <w:r w:rsidR="00E15E1B">
        <w:t xml:space="preserve"> </w:t>
      </w:r>
      <w:r>
        <w:t>making.</w:t>
      </w:r>
      <w:r w:rsidR="00E15E1B">
        <w:t xml:space="preserve"> </w:t>
      </w:r>
      <w:r>
        <w:t>Our</w:t>
      </w:r>
      <w:r w:rsidR="00E15E1B">
        <w:t xml:space="preserve"> </w:t>
      </w:r>
      <w:r>
        <w:t>intelligence</w:t>
      </w:r>
      <w:r w:rsidR="00E15E1B">
        <w:t xml:space="preserve"> </w:t>
      </w:r>
      <w:r>
        <w:t>capabilities</w:t>
      </w:r>
      <w:r w:rsidR="00E15E1B">
        <w:t xml:space="preserve"> </w:t>
      </w:r>
      <w:r>
        <w:t>were</w:t>
      </w:r>
      <w:r w:rsidR="00E15E1B">
        <w:t xml:space="preserve"> </w:t>
      </w:r>
      <w:r>
        <w:t>recognised</w:t>
      </w:r>
      <w:r w:rsidR="00E15E1B">
        <w:t xml:space="preserve"> </w:t>
      </w:r>
      <w:r>
        <w:t>through</w:t>
      </w:r>
      <w:r w:rsidR="00E15E1B">
        <w:t xml:space="preserve"> </w:t>
      </w:r>
      <w:r>
        <w:t>a</w:t>
      </w:r>
      <w:r w:rsidR="00E15E1B">
        <w:t xml:space="preserve"> </w:t>
      </w:r>
      <w:r>
        <w:t>national</w:t>
      </w:r>
      <w:r w:rsidR="00E15E1B">
        <w:t xml:space="preserve"> </w:t>
      </w:r>
      <w:r>
        <w:t>award</w:t>
      </w:r>
      <w:r w:rsidR="00E15E1B">
        <w:t xml:space="preserve"> </w:t>
      </w:r>
      <w:r>
        <w:t>from</w:t>
      </w:r>
      <w:r w:rsidR="00E15E1B">
        <w:t xml:space="preserve"> </w:t>
      </w:r>
      <w:r>
        <w:t>the</w:t>
      </w:r>
      <w:r w:rsidR="00E15E1B">
        <w:t xml:space="preserve"> </w:t>
      </w:r>
      <w:r>
        <w:t>Australian</w:t>
      </w:r>
      <w:r w:rsidR="00E15E1B">
        <w:t xml:space="preserve"> </w:t>
      </w:r>
      <w:r>
        <w:t>Institute</w:t>
      </w:r>
      <w:r w:rsidR="00E15E1B">
        <w:t xml:space="preserve"> </w:t>
      </w:r>
      <w:r>
        <w:t>of</w:t>
      </w:r>
      <w:r w:rsidR="00E15E1B">
        <w:t xml:space="preserve"> </w:t>
      </w:r>
      <w:r>
        <w:t>Professional</w:t>
      </w:r>
      <w:r w:rsidR="00E15E1B">
        <w:t xml:space="preserve"> </w:t>
      </w:r>
      <w:r>
        <w:t>Intelligence</w:t>
      </w:r>
      <w:r w:rsidR="00E15E1B">
        <w:t xml:space="preserve"> </w:t>
      </w:r>
      <w:r>
        <w:t>Officers.</w:t>
      </w:r>
    </w:p>
    <w:p w:rsidR="00156239" w:rsidRDefault="00156239" w:rsidP="00156239">
      <w:pPr>
        <w:pStyle w:val="BodyText"/>
      </w:pPr>
      <w:r>
        <w:t>Through</w:t>
      </w:r>
      <w:r w:rsidR="00E15E1B">
        <w:t xml:space="preserve"> </w:t>
      </w:r>
      <w:r>
        <w:t>effective</w:t>
      </w:r>
      <w:r w:rsidR="00E15E1B">
        <w:t xml:space="preserve"> </w:t>
      </w:r>
      <w:r>
        <w:t>management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trust</w:t>
      </w:r>
      <w:r w:rsidR="00E15E1B">
        <w:t xml:space="preserve"> </w:t>
      </w:r>
      <w:r>
        <w:t>accounts,</w:t>
      </w:r>
      <w:r w:rsidR="00E15E1B">
        <w:t xml:space="preserve"> </w:t>
      </w:r>
      <w:r>
        <w:t>in</w:t>
      </w:r>
      <w:r w:rsidR="00E15E1B">
        <w:t xml:space="preserve"> </w:t>
      </w:r>
      <w:r>
        <w:t>accordance</w:t>
      </w:r>
      <w:r w:rsidR="00E15E1B">
        <w:t xml:space="preserve"> </w:t>
      </w:r>
      <w:r>
        <w:t>with</w:t>
      </w:r>
      <w:r w:rsidR="00E15E1B">
        <w:t xml:space="preserve"> </w:t>
      </w:r>
      <w:r>
        <w:t>relevant</w:t>
      </w:r>
      <w:r w:rsidR="00E15E1B">
        <w:t xml:space="preserve"> </w:t>
      </w:r>
      <w:r>
        <w:t>legislation,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</w:t>
      </w:r>
      <w:r w:rsidR="00E15E1B">
        <w:t xml:space="preserve"> </w:t>
      </w:r>
      <w:r>
        <w:t>was</w:t>
      </w:r>
      <w:r w:rsidR="00E15E1B">
        <w:t xml:space="preserve"> </w:t>
      </w:r>
      <w:r>
        <w:t>able</w:t>
      </w:r>
      <w:r w:rsidR="00E15E1B">
        <w:t xml:space="preserve"> </w:t>
      </w:r>
      <w:r>
        <w:t>to</w:t>
      </w:r>
      <w:r w:rsidR="00E15E1B">
        <w:t xml:space="preserve"> </w:t>
      </w:r>
      <w:r>
        <w:t>allocate</w:t>
      </w:r>
      <w:r w:rsidR="00E15E1B">
        <w:t xml:space="preserve"> </w:t>
      </w:r>
      <w:r>
        <w:t>$29</w:t>
      </w:r>
      <w:r w:rsidR="00E15E1B">
        <w:t xml:space="preserve"> </w:t>
      </w:r>
      <w:r>
        <w:t>million</w:t>
      </w:r>
      <w:r w:rsidR="00E15E1B">
        <w:t xml:space="preserve"> </w:t>
      </w:r>
      <w:r>
        <w:t>from</w:t>
      </w:r>
      <w:r w:rsidR="00E15E1B">
        <w:t xml:space="preserve"> </w:t>
      </w:r>
      <w:r>
        <w:t>the</w:t>
      </w:r>
      <w:r w:rsidR="00E15E1B">
        <w:t xml:space="preserve"> </w:t>
      </w:r>
      <w:r>
        <w:t>VPF</w:t>
      </w:r>
      <w:r w:rsidR="00E15E1B">
        <w:t xml:space="preserve"> </w:t>
      </w:r>
      <w:r>
        <w:t>to</w:t>
      </w:r>
      <w:r w:rsidR="00E15E1B">
        <w:t xml:space="preserve"> </w:t>
      </w:r>
      <w:r>
        <w:t>important</w:t>
      </w:r>
      <w:r w:rsidR="00E15E1B">
        <w:t xml:space="preserve"> </w:t>
      </w:r>
      <w:r>
        <w:t>affordable</w:t>
      </w:r>
      <w:r w:rsidR="00E15E1B">
        <w:t xml:space="preserve"> </w:t>
      </w:r>
      <w:r>
        <w:t>housing</w:t>
      </w:r>
      <w:r w:rsidR="00E15E1B">
        <w:t xml:space="preserve"> </w:t>
      </w:r>
      <w:r>
        <w:t>projects.</w:t>
      </w:r>
      <w:r w:rsidR="00E15E1B">
        <w:t xml:space="preserve"> </w:t>
      </w:r>
      <w:r>
        <w:t>We</w:t>
      </w:r>
      <w:r w:rsidR="00E15E1B">
        <w:t xml:space="preserve"> </w:t>
      </w:r>
      <w:r>
        <w:t>also</w:t>
      </w:r>
      <w:r w:rsidR="00E15E1B">
        <w:t xml:space="preserve"> </w:t>
      </w:r>
      <w:r>
        <w:t>launched</w:t>
      </w:r>
      <w:r w:rsidR="00E15E1B">
        <w:t xml:space="preserve"> </w:t>
      </w:r>
      <w:r>
        <w:t>the</w:t>
      </w:r>
      <w:r w:rsidR="00E15E1B">
        <w:t xml:space="preserve"> </w:t>
      </w:r>
      <w:r>
        <w:t>first</w:t>
      </w:r>
      <w:r w:rsidR="00E15E1B">
        <w:t xml:space="preserve"> </w:t>
      </w:r>
      <w:r>
        <w:t>VPF</w:t>
      </w:r>
      <w:r w:rsidR="00E15E1B">
        <w:t xml:space="preserve"> </w:t>
      </w:r>
      <w:r>
        <w:t>funding</w:t>
      </w:r>
      <w:r w:rsidR="00E15E1B">
        <w:t xml:space="preserve"> </w:t>
      </w:r>
      <w:r>
        <w:t>round</w:t>
      </w:r>
      <w:r w:rsidR="00E15E1B">
        <w:t xml:space="preserve"> </w:t>
      </w:r>
      <w:r>
        <w:t>to</w:t>
      </w:r>
      <w:r w:rsidR="00E15E1B">
        <w:t xml:space="preserve"> </w:t>
      </w:r>
      <w:r>
        <w:t>support</w:t>
      </w:r>
      <w:r w:rsidR="00E15E1B">
        <w:t xml:space="preserve"> </w:t>
      </w:r>
      <w:r>
        <w:t>registered</w:t>
      </w:r>
      <w:r w:rsidR="00E15E1B">
        <w:t xml:space="preserve"> </w:t>
      </w:r>
      <w:r>
        <w:t>housing</w:t>
      </w:r>
      <w:r w:rsidR="00E15E1B">
        <w:t xml:space="preserve"> </w:t>
      </w:r>
      <w:r>
        <w:t>agencies</w:t>
      </w:r>
      <w:r w:rsidR="00E15E1B">
        <w:t xml:space="preserve"> </w:t>
      </w:r>
      <w:r>
        <w:t>to</w:t>
      </w:r>
      <w:r w:rsidR="00E15E1B">
        <w:t xml:space="preserve"> </w:t>
      </w:r>
      <w:r>
        <w:t>improve</w:t>
      </w:r>
      <w:r w:rsidR="00E15E1B">
        <w:t xml:space="preserve"> </w:t>
      </w:r>
      <w:r>
        <w:t>the</w:t>
      </w:r>
      <w:r w:rsidR="00E15E1B">
        <w:t xml:space="preserve"> </w:t>
      </w:r>
      <w:r>
        <w:t>environmental</w:t>
      </w:r>
      <w:r w:rsidR="00E15E1B">
        <w:t xml:space="preserve"> </w:t>
      </w:r>
      <w:r>
        <w:t>sustainability</w:t>
      </w:r>
      <w:r w:rsidR="00E15E1B">
        <w:t xml:space="preserve"> </w:t>
      </w:r>
      <w:r>
        <w:t>of</w:t>
      </w:r>
      <w:r w:rsidR="00E15E1B">
        <w:t xml:space="preserve"> </w:t>
      </w:r>
      <w:r>
        <w:t>their</w:t>
      </w:r>
      <w:r w:rsidR="00E15E1B">
        <w:t xml:space="preserve"> </w:t>
      </w:r>
      <w:r>
        <w:t>social</w:t>
      </w:r>
      <w:r w:rsidR="00E15E1B">
        <w:t xml:space="preserve"> </w:t>
      </w:r>
      <w:r>
        <w:t>housing</w:t>
      </w:r>
      <w:r w:rsidR="00E15E1B">
        <w:t xml:space="preserve"> </w:t>
      </w:r>
      <w:r>
        <w:t>properties.</w:t>
      </w:r>
    </w:p>
    <w:p w:rsidR="00156239" w:rsidRDefault="00156239" w:rsidP="00156239">
      <w:pPr>
        <w:pStyle w:val="Heading4"/>
      </w:pPr>
      <w:r>
        <w:t>Extending</w:t>
      </w:r>
      <w:r w:rsidR="00E15E1B">
        <w:t xml:space="preserve"> </w:t>
      </w:r>
      <w:r>
        <w:t>our</w:t>
      </w:r>
      <w:r w:rsidR="00E15E1B">
        <w:t xml:space="preserve"> </w:t>
      </w:r>
      <w:r>
        <w:t>capabilities</w:t>
      </w:r>
      <w:r w:rsidR="00E15E1B">
        <w:t xml:space="preserve"> </w:t>
      </w:r>
      <w:r>
        <w:t>through</w:t>
      </w:r>
      <w:r w:rsidR="00E15E1B">
        <w:t xml:space="preserve"> </w:t>
      </w:r>
      <w:r>
        <w:t>partnerships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continue</w:t>
      </w:r>
      <w:r w:rsidR="00E15E1B">
        <w:t xml:space="preserve"> </w:t>
      </w:r>
      <w:r>
        <w:t>to</w:t>
      </w:r>
      <w:r w:rsidR="00E15E1B">
        <w:t xml:space="preserve"> </w:t>
      </w:r>
      <w:r>
        <w:t>develop</w:t>
      </w:r>
      <w:r w:rsidR="00E15E1B">
        <w:t xml:space="preserve"> </w:t>
      </w:r>
      <w:r>
        <w:t>mutually</w:t>
      </w:r>
      <w:r w:rsidR="00E15E1B">
        <w:t xml:space="preserve"> </w:t>
      </w:r>
      <w:r>
        <w:t>beneficial</w:t>
      </w:r>
      <w:r w:rsidR="00E15E1B">
        <w:t xml:space="preserve"> </w:t>
      </w:r>
      <w:r>
        <w:t>partnerships</w:t>
      </w:r>
      <w:r w:rsidR="00E15E1B">
        <w:t xml:space="preserve"> </w:t>
      </w:r>
      <w:r>
        <w:t>with</w:t>
      </w:r>
      <w:r w:rsidR="00E15E1B">
        <w:t xml:space="preserve"> </w:t>
      </w:r>
      <w:r>
        <w:t>key</w:t>
      </w:r>
      <w:r w:rsidR="00E15E1B">
        <w:t xml:space="preserve"> </w:t>
      </w:r>
      <w:r>
        <w:t>stakeholders</w:t>
      </w:r>
      <w:r w:rsidR="00E15E1B">
        <w:t xml:space="preserve"> </w:t>
      </w:r>
      <w:r>
        <w:t>and</w:t>
      </w:r>
      <w:r w:rsidR="00E15E1B">
        <w:t xml:space="preserve"> </w:t>
      </w:r>
      <w:r>
        <w:t>organisations</w:t>
      </w:r>
      <w:r w:rsidR="00E15E1B">
        <w:t xml:space="preserve"> </w:t>
      </w:r>
      <w:r>
        <w:t>through</w:t>
      </w:r>
      <w:r w:rsidR="00E15E1B">
        <w:t xml:space="preserve"> </w:t>
      </w:r>
      <w:r>
        <w:t>our</w:t>
      </w:r>
      <w:r w:rsidR="00E15E1B">
        <w:t xml:space="preserve"> </w:t>
      </w:r>
      <w:r>
        <w:t>Partnership</w:t>
      </w:r>
      <w:r w:rsidR="00E15E1B">
        <w:t xml:space="preserve"> </w:t>
      </w:r>
      <w:r>
        <w:t>Strategy.</w:t>
      </w:r>
      <w:r w:rsidR="00E15E1B">
        <w:t xml:space="preserve"> </w:t>
      </w:r>
      <w:r>
        <w:t>This</w:t>
      </w:r>
      <w:r w:rsidR="00E15E1B">
        <w:t xml:space="preserve"> </w:t>
      </w:r>
      <w:r>
        <w:t>included</w:t>
      </w:r>
      <w:r w:rsidR="00E15E1B">
        <w:t xml:space="preserve"> </w:t>
      </w:r>
      <w:r>
        <w:t>holding</w:t>
      </w:r>
      <w:r w:rsidR="00E15E1B">
        <w:t xml:space="preserve"> </w:t>
      </w:r>
      <w:r>
        <w:t>a</w:t>
      </w:r>
      <w:r w:rsidR="00E15E1B">
        <w:t xml:space="preserve"> </w:t>
      </w:r>
      <w:r>
        <w:t>second</w:t>
      </w:r>
      <w:r w:rsidR="00E15E1B">
        <w:t xml:space="preserve"> </w:t>
      </w:r>
      <w:r>
        <w:t>consumer</w:t>
      </w:r>
      <w:r w:rsidR="00E15E1B">
        <w:t xml:space="preserve"> </w:t>
      </w:r>
      <w:r>
        <w:t>forum</w:t>
      </w:r>
      <w:r w:rsidR="00E15E1B">
        <w:t xml:space="preserve"> </w:t>
      </w:r>
      <w:r>
        <w:t>in</w:t>
      </w:r>
      <w:r w:rsidR="00E15E1B">
        <w:t xml:space="preserve"> </w:t>
      </w:r>
      <w:r>
        <w:t>November</w:t>
      </w:r>
      <w:r w:rsidR="00E15E1B">
        <w:t xml:space="preserve"> </w:t>
      </w:r>
      <w:r>
        <w:t>2017,</w:t>
      </w:r>
      <w:r w:rsidR="00E15E1B">
        <w:t xml:space="preserve"> </w:t>
      </w:r>
      <w:r>
        <w:t>and</w:t>
      </w:r>
      <w:r w:rsidR="00E15E1B">
        <w:t xml:space="preserve"> </w:t>
      </w:r>
      <w:r>
        <w:t>convening</w:t>
      </w:r>
      <w:r w:rsidR="00E15E1B">
        <w:t xml:space="preserve"> </w:t>
      </w:r>
      <w:r>
        <w:t>meetings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reference</w:t>
      </w:r>
      <w:r w:rsidR="00E15E1B">
        <w:t xml:space="preserve"> </w:t>
      </w:r>
      <w:r>
        <w:t>panels</w:t>
      </w:r>
      <w:r w:rsidR="00E15E1B">
        <w:t xml:space="preserve"> </w:t>
      </w:r>
      <w:r>
        <w:t>for</w:t>
      </w:r>
      <w:r w:rsidR="00E15E1B">
        <w:t xml:space="preserve"> </w:t>
      </w:r>
      <w:r>
        <w:t>real</w:t>
      </w:r>
      <w:r w:rsidR="00E15E1B">
        <w:t xml:space="preserve"> </w:t>
      </w:r>
      <w:r>
        <w:t>estate</w:t>
      </w:r>
      <w:r w:rsidR="00E15E1B">
        <w:t xml:space="preserve"> </w:t>
      </w:r>
      <w:r>
        <w:t>and</w:t>
      </w:r>
      <w:r w:rsidR="00E15E1B">
        <w:t xml:space="preserve"> </w:t>
      </w:r>
      <w:r>
        <w:t>funded</w:t>
      </w:r>
      <w:r w:rsidR="00E15E1B">
        <w:t xml:space="preserve"> </w:t>
      </w:r>
      <w:r>
        <w:t>services.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developed</w:t>
      </w:r>
      <w:r w:rsidR="00E15E1B">
        <w:t xml:space="preserve"> </w:t>
      </w:r>
      <w:r w:rsidRPr="00E96742">
        <w:rPr>
          <w:rStyle w:val="Emphasis"/>
        </w:rPr>
        <w:t>Partnership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Protocols</w:t>
      </w:r>
      <w:r w:rsidR="00E15E1B">
        <w:t xml:space="preserve"> </w:t>
      </w:r>
      <w:r>
        <w:t>to</w:t>
      </w:r>
      <w:r w:rsidR="00E15E1B">
        <w:t xml:space="preserve"> </w:t>
      </w:r>
      <w:r>
        <w:t>provide</w:t>
      </w:r>
      <w:r w:rsidR="00E15E1B">
        <w:t xml:space="preserve"> </w:t>
      </w:r>
      <w:r>
        <w:t>clarity</w:t>
      </w:r>
      <w:r w:rsidR="00E15E1B">
        <w:t xml:space="preserve"> </w:t>
      </w:r>
      <w:r>
        <w:t>on</w:t>
      </w:r>
      <w:r w:rsidR="00E15E1B">
        <w:t xml:space="preserve"> </w:t>
      </w:r>
      <w:r>
        <w:t>the</w:t>
      </w:r>
      <w:r w:rsidR="00E15E1B">
        <w:t xml:space="preserve"> </w:t>
      </w:r>
      <w:r>
        <w:t>nature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support</w:t>
      </w:r>
      <w:r w:rsidR="00E15E1B">
        <w:t xml:space="preserve"> </w:t>
      </w:r>
      <w:r>
        <w:t>and</w:t>
      </w:r>
      <w:r w:rsidR="00E15E1B">
        <w:t xml:space="preserve"> </w:t>
      </w:r>
      <w:r>
        <w:t>engagement</w:t>
      </w:r>
      <w:r w:rsidR="00E15E1B">
        <w:t xml:space="preserve"> </w:t>
      </w:r>
      <w:r>
        <w:t>and</w:t>
      </w:r>
      <w:r w:rsidR="00E15E1B">
        <w:t xml:space="preserve"> </w:t>
      </w:r>
      <w:r>
        <w:t>information</w:t>
      </w:r>
      <w:r w:rsidR="00E15E1B">
        <w:t xml:space="preserve"> </w:t>
      </w:r>
      <w:r>
        <w:t>sharing</w:t>
      </w:r>
      <w:r w:rsidR="00E15E1B">
        <w:t xml:space="preserve"> </w:t>
      </w:r>
      <w:r>
        <w:t>with</w:t>
      </w:r>
      <w:r w:rsidR="00E15E1B">
        <w:t xml:space="preserve"> </w:t>
      </w:r>
      <w:r>
        <w:t>our</w:t>
      </w:r>
      <w:r w:rsidR="00E15E1B">
        <w:t xml:space="preserve"> </w:t>
      </w:r>
      <w:r>
        <w:t>partners,</w:t>
      </w:r>
      <w:r w:rsidR="00E15E1B">
        <w:t xml:space="preserve"> </w:t>
      </w:r>
      <w:r>
        <w:t>as</w:t>
      </w:r>
      <w:r w:rsidR="00E15E1B">
        <w:t xml:space="preserve"> </w:t>
      </w:r>
      <w:r>
        <w:t>well</w:t>
      </w:r>
      <w:r w:rsidR="00E15E1B">
        <w:t xml:space="preserve"> </w:t>
      </w:r>
      <w:r>
        <w:t>as</w:t>
      </w:r>
      <w:r w:rsidR="00E15E1B">
        <w:t xml:space="preserve"> </w:t>
      </w:r>
      <w:r>
        <w:t>individual</w:t>
      </w:r>
      <w:r w:rsidR="00E15E1B">
        <w:t xml:space="preserve"> </w:t>
      </w:r>
      <w:r>
        <w:t>partnership</w:t>
      </w:r>
      <w:r w:rsidR="00E15E1B">
        <w:t xml:space="preserve"> </w:t>
      </w:r>
      <w:r>
        <w:t>plans,</w:t>
      </w:r>
      <w:r w:rsidR="00E15E1B">
        <w:t xml:space="preserve"> </w:t>
      </w:r>
      <w:r>
        <w:t>tailored</w:t>
      </w:r>
      <w:r w:rsidR="00E15E1B">
        <w:t xml:space="preserve"> </w:t>
      </w:r>
      <w:r>
        <w:t>to</w:t>
      </w:r>
      <w:r w:rsidR="00E15E1B">
        <w:t xml:space="preserve"> </w:t>
      </w:r>
      <w:r>
        <w:t>specific</w:t>
      </w:r>
      <w:r w:rsidR="00E15E1B">
        <w:t xml:space="preserve"> </w:t>
      </w:r>
      <w:r>
        <w:t>partners.</w:t>
      </w:r>
    </w:p>
    <w:p w:rsidR="00156239" w:rsidRDefault="00156239" w:rsidP="00156239">
      <w:pPr>
        <w:pStyle w:val="BodyText"/>
      </w:pPr>
      <w:r>
        <w:t>Connecting</w:t>
      </w:r>
      <w:r w:rsidR="00E15E1B">
        <w:t xml:space="preserve"> </w:t>
      </w:r>
      <w:r>
        <w:t>with</w:t>
      </w:r>
      <w:r w:rsidR="00E15E1B">
        <w:t xml:space="preserve"> </w:t>
      </w:r>
      <w:r>
        <w:t>our</w:t>
      </w:r>
      <w:r w:rsidR="00E15E1B">
        <w:t xml:space="preserve"> </w:t>
      </w:r>
      <w:r>
        <w:t>partners</w:t>
      </w:r>
      <w:r w:rsidR="00E15E1B">
        <w:t xml:space="preserve"> </w:t>
      </w:r>
      <w:r>
        <w:t>and</w:t>
      </w:r>
      <w:r w:rsidR="00E15E1B">
        <w:t xml:space="preserve"> </w:t>
      </w:r>
      <w:r>
        <w:t>stakeholders</w:t>
      </w:r>
      <w:r w:rsidR="00E15E1B">
        <w:t xml:space="preserve"> </w:t>
      </w:r>
      <w:r>
        <w:t>enables</w:t>
      </w:r>
      <w:r w:rsidR="00E15E1B">
        <w:t xml:space="preserve"> </w:t>
      </w:r>
      <w:r>
        <w:t>us</w:t>
      </w:r>
      <w:r w:rsidR="00E15E1B">
        <w:t xml:space="preserve"> </w:t>
      </w:r>
      <w:r>
        <w:t>to</w:t>
      </w:r>
      <w:r w:rsidR="00E15E1B">
        <w:t xml:space="preserve"> </w:t>
      </w:r>
      <w:r>
        <w:t>better</w:t>
      </w:r>
      <w:r w:rsidR="00E15E1B">
        <w:t xml:space="preserve"> </w:t>
      </w:r>
      <w:r>
        <w:t>understand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consumer</w:t>
      </w:r>
      <w:r w:rsidR="00E15E1B">
        <w:t xml:space="preserve"> </w:t>
      </w:r>
      <w:r>
        <w:t>and</w:t>
      </w:r>
      <w:r w:rsidR="00E15E1B">
        <w:t xml:space="preserve"> </w:t>
      </w:r>
      <w:r>
        <w:t>residential</w:t>
      </w:r>
      <w:r w:rsidR="00E15E1B">
        <w:t xml:space="preserve"> </w:t>
      </w:r>
      <w:r>
        <w:t>tenancy</w:t>
      </w:r>
      <w:r w:rsidR="00E15E1B">
        <w:t xml:space="preserve"> </w:t>
      </w:r>
      <w:r>
        <w:t>marketplaces.</w:t>
      </w:r>
      <w:r w:rsidR="00E15E1B">
        <w:t xml:space="preserve"> </w:t>
      </w:r>
      <w:r>
        <w:t>We</w:t>
      </w:r>
      <w:r w:rsidR="00E15E1B">
        <w:t xml:space="preserve"> </w:t>
      </w:r>
      <w:r>
        <w:t>respect</w:t>
      </w:r>
      <w:r w:rsidR="00E15E1B">
        <w:t xml:space="preserve"> </w:t>
      </w:r>
      <w:r>
        <w:t>their</w:t>
      </w:r>
      <w:r w:rsidR="00E15E1B">
        <w:t xml:space="preserve"> </w:t>
      </w:r>
      <w:r>
        <w:t>knowledge</w:t>
      </w:r>
      <w:r w:rsidR="00E15E1B">
        <w:t xml:space="preserve"> </w:t>
      </w:r>
      <w:r>
        <w:t>and</w:t>
      </w:r>
      <w:r w:rsidR="00E15E1B">
        <w:t xml:space="preserve"> </w:t>
      </w:r>
      <w:r>
        <w:t>expertise,</w:t>
      </w:r>
      <w:r w:rsidR="00E15E1B">
        <w:t xml:space="preserve"> </w:t>
      </w:r>
      <w:r>
        <w:t>and</w:t>
      </w:r>
      <w:r w:rsidR="00E15E1B">
        <w:t xml:space="preserve"> </w:t>
      </w:r>
      <w:r>
        <w:t>value</w:t>
      </w:r>
      <w:r w:rsidR="00E15E1B">
        <w:t xml:space="preserve"> </w:t>
      </w:r>
      <w:r>
        <w:t>their</w:t>
      </w:r>
      <w:r w:rsidR="00E15E1B">
        <w:t xml:space="preserve"> </w:t>
      </w:r>
      <w:r>
        <w:t>input</w:t>
      </w:r>
      <w:r w:rsidR="00E15E1B">
        <w:t xml:space="preserve"> </w:t>
      </w:r>
      <w:r>
        <w:t>when</w:t>
      </w:r>
      <w:r w:rsidR="00E15E1B">
        <w:t xml:space="preserve"> </w:t>
      </w:r>
      <w:r>
        <w:t>establishing</w:t>
      </w:r>
      <w:r w:rsidR="00E15E1B">
        <w:t xml:space="preserve"> </w:t>
      </w:r>
      <w:r>
        <w:t>our</w:t>
      </w:r>
      <w:r w:rsidR="00E15E1B">
        <w:t xml:space="preserve"> </w:t>
      </w:r>
      <w:r>
        <w:t>priorities.</w:t>
      </w:r>
    </w:p>
    <w:p w:rsidR="00156239" w:rsidRDefault="00156239" w:rsidP="00156239">
      <w:pPr>
        <w:pStyle w:val="Heading4"/>
      </w:pPr>
      <w:r>
        <w:t>Ballarat</w:t>
      </w:r>
      <w:r w:rsidR="00E15E1B">
        <w:t xml:space="preserve"> </w:t>
      </w:r>
      <w:r>
        <w:t>GovHub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Government</w:t>
      </w:r>
      <w:r w:rsidR="00E15E1B">
        <w:t xml:space="preserve"> </w:t>
      </w:r>
      <w:r>
        <w:t>is</w:t>
      </w:r>
      <w:r w:rsidR="00E15E1B">
        <w:t xml:space="preserve"> </w:t>
      </w:r>
      <w:r>
        <w:t>investing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future</w:t>
      </w:r>
      <w:r w:rsidR="00E15E1B">
        <w:t xml:space="preserve"> </w:t>
      </w:r>
      <w:r>
        <w:t>of</w:t>
      </w:r>
      <w:r w:rsidR="00E15E1B">
        <w:t xml:space="preserve"> </w:t>
      </w:r>
      <w:r>
        <w:t>regional</w:t>
      </w:r>
      <w:r w:rsidR="00E15E1B">
        <w:t xml:space="preserve"> </w:t>
      </w:r>
      <w:r>
        <w:t>Victoria</w:t>
      </w:r>
      <w:r w:rsidR="00E15E1B">
        <w:t xml:space="preserve"> </w:t>
      </w:r>
      <w:r>
        <w:t>by</w:t>
      </w:r>
      <w:r w:rsidR="00E15E1B">
        <w:t xml:space="preserve"> </w:t>
      </w:r>
      <w:r>
        <w:t>creating</w:t>
      </w:r>
      <w:r w:rsidR="00E15E1B">
        <w:t xml:space="preserve"> </w:t>
      </w:r>
      <w:r>
        <w:t>hundreds</w:t>
      </w:r>
      <w:r w:rsidR="00E15E1B">
        <w:t xml:space="preserve"> </w:t>
      </w:r>
      <w:r>
        <w:t>of</w:t>
      </w:r>
      <w:r w:rsidR="00E15E1B">
        <w:t xml:space="preserve"> </w:t>
      </w:r>
      <w:r>
        <w:t>public</w:t>
      </w:r>
      <w:r w:rsidR="00E15E1B">
        <w:t xml:space="preserve"> </w:t>
      </w:r>
      <w:r>
        <w:t>sector</w:t>
      </w:r>
      <w:r w:rsidR="00E15E1B">
        <w:t xml:space="preserve"> </w:t>
      </w:r>
      <w:r>
        <w:t>jobs</w:t>
      </w:r>
      <w:r w:rsidR="00E15E1B">
        <w:t xml:space="preserve"> </w:t>
      </w:r>
      <w:r>
        <w:t>at</w:t>
      </w:r>
      <w:r w:rsidR="00E15E1B">
        <w:t xml:space="preserve"> </w:t>
      </w:r>
      <w:r>
        <w:t>a</w:t>
      </w:r>
      <w:r w:rsidR="00E15E1B">
        <w:t xml:space="preserve"> </w:t>
      </w:r>
      <w:r>
        <w:t>new</w:t>
      </w:r>
      <w:r w:rsidR="00E15E1B">
        <w:t xml:space="preserve"> </w:t>
      </w:r>
      <w:r>
        <w:t>GovHub</w:t>
      </w:r>
      <w:r w:rsidR="00E15E1B">
        <w:t xml:space="preserve"> </w:t>
      </w:r>
      <w:r>
        <w:t>office</w:t>
      </w:r>
      <w:r w:rsidR="00E15E1B">
        <w:t xml:space="preserve"> </w:t>
      </w:r>
      <w:r>
        <w:t>to</w:t>
      </w:r>
      <w:r w:rsidR="00E15E1B">
        <w:t xml:space="preserve"> </w:t>
      </w:r>
      <w:r>
        <w:t>be</w:t>
      </w:r>
      <w:r w:rsidR="00E15E1B">
        <w:t xml:space="preserve"> </w:t>
      </w:r>
      <w:r>
        <w:t>built</w:t>
      </w:r>
      <w:r w:rsidR="00E15E1B">
        <w:t xml:space="preserve"> </w:t>
      </w:r>
      <w:r>
        <w:t>in</w:t>
      </w:r>
      <w:r w:rsidR="00E15E1B">
        <w:t xml:space="preserve"> </w:t>
      </w:r>
      <w:r>
        <w:t>Ballarat.</w:t>
      </w:r>
      <w:r w:rsidR="00E15E1B">
        <w:t xml:space="preserve"> </w:t>
      </w:r>
      <w:r>
        <w:t>Our</w:t>
      </w:r>
      <w:r w:rsidR="00E15E1B">
        <w:t xml:space="preserve"> </w:t>
      </w:r>
      <w:r>
        <w:t>Information</w:t>
      </w:r>
      <w:r w:rsidR="00E15E1B">
        <w:t xml:space="preserve"> </w:t>
      </w:r>
      <w:r>
        <w:t>and</w:t>
      </w:r>
      <w:r w:rsidR="00E15E1B">
        <w:t xml:space="preserve"> </w:t>
      </w:r>
      <w:r>
        <w:t>Dispute</w:t>
      </w:r>
      <w:r w:rsidR="00E15E1B">
        <w:t xml:space="preserve"> </w:t>
      </w:r>
      <w:r>
        <w:t>Services</w:t>
      </w:r>
      <w:r w:rsidR="00E15E1B">
        <w:t xml:space="preserve"> </w:t>
      </w:r>
      <w:r>
        <w:t>Centre,</w:t>
      </w:r>
      <w:r w:rsidR="00E15E1B">
        <w:t xml:space="preserve"> </w:t>
      </w:r>
      <w:r>
        <w:t>which</w:t>
      </w:r>
      <w:r w:rsidR="00E15E1B">
        <w:t xml:space="preserve"> </w:t>
      </w:r>
      <w:r>
        <w:t>provides</w:t>
      </w:r>
      <w:r w:rsidR="00E15E1B">
        <w:t xml:space="preserve"> </w:t>
      </w:r>
      <w:r>
        <w:t>front-line</w:t>
      </w:r>
      <w:r w:rsidR="00E15E1B">
        <w:t xml:space="preserve"> </w:t>
      </w:r>
      <w:r>
        <w:t>service</w:t>
      </w:r>
      <w:r w:rsidR="00E15E1B">
        <w:t xml:space="preserve"> </w:t>
      </w:r>
      <w:r>
        <w:t>delivery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community,</w:t>
      </w:r>
      <w:r w:rsidR="00E15E1B">
        <w:t xml:space="preserve"> </w:t>
      </w:r>
      <w:r>
        <w:t>will</w:t>
      </w:r>
      <w:r w:rsidR="00E15E1B">
        <w:t xml:space="preserve"> </w:t>
      </w:r>
      <w:r>
        <w:t>move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Ballarat</w:t>
      </w:r>
      <w:r w:rsidR="00E15E1B">
        <w:t xml:space="preserve"> </w:t>
      </w:r>
      <w:r>
        <w:t>GovHub,</w:t>
      </w:r>
      <w:r w:rsidR="00E15E1B">
        <w:t xml:space="preserve"> </w:t>
      </w:r>
      <w:r>
        <w:t>with</w:t>
      </w:r>
      <w:r w:rsidR="00E15E1B">
        <w:t xml:space="preserve"> </w:t>
      </w:r>
      <w:r>
        <w:t>construction</w:t>
      </w:r>
      <w:r w:rsidR="00E15E1B">
        <w:t xml:space="preserve"> </w:t>
      </w:r>
      <w:r>
        <w:t>expected</w:t>
      </w:r>
      <w:r w:rsidR="00E15E1B">
        <w:t xml:space="preserve"> </w:t>
      </w:r>
      <w:r>
        <w:t>to</w:t>
      </w:r>
      <w:r w:rsidR="00E15E1B">
        <w:t xml:space="preserve"> </w:t>
      </w:r>
      <w:r>
        <w:t>be</w:t>
      </w:r>
      <w:r w:rsidR="00E15E1B">
        <w:t xml:space="preserve"> </w:t>
      </w:r>
      <w:r>
        <w:t>complete</w:t>
      </w:r>
      <w:r w:rsidR="00E15E1B">
        <w:t xml:space="preserve"> </w:t>
      </w:r>
      <w:r>
        <w:t>in</w:t>
      </w:r>
      <w:r w:rsidR="00E15E1B">
        <w:t xml:space="preserve"> </w:t>
      </w:r>
      <w:r>
        <w:t>late</w:t>
      </w:r>
      <w:r w:rsidR="00E15E1B">
        <w:t xml:space="preserve"> </w:t>
      </w:r>
      <w:r>
        <w:t>2020.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office</w:t>
      </w:r>
      <w:r w:rsidR="00E15E1B">
        <w:t xml:space="preserve"> </w:t>
      </w:r>
      <w:r>
        <w:t>will</w:t>
      </w:r>
      <w:r w:rsidR="00E15E1B">
        <w:t xml:space="preserve"> </w:t>
      </w:r>
      <w:r>
        <w:t>be</w:t>
      </w:r>
      <w:r w:rsidR="00E15E1B">
        <w:t xml:space="preserve"> </w:t>
      </w:r>
      <w:r>
        <w:t>located</w:t>
      </w:r>
      <w:r w:rsidR="00E15E1B">
        <w:t xml:space="preserve"> </w:t>
      </w:r>
      <w:r>
        <w:t>at</w:t>
      </w:r>
      <w:r w:rsidR="00E15E1B">
        <w:t xml:space="preserve"> </w:t>
      </w:r>
      <w:r>
        <w:t>the</w:t>
      </w:r>
      <w:r w:rsidR="00E15E1B">
        <w:t xml:space="preserve"> </w:t>
      </w:r>
      <w:r>
        <w:t>Civic</w:t>
      </w:r>
      <w:r w:rsidR="00E15E1B">
        <w:t xml:space="preserve"> </w:t>
      </w:r>
      <w:r>
        <w:t>Hall</w:t>
      </w:r>
      <w:r w:rsidR="00E15E1B">
        <w:t xml:space="preserve"> </w:t>
      </w:r>
      <w:r>
        <w:t>site</w:t>
      </w:r>
      <w:r w:rsidR="00E15E1B">
        <w:t xml:space="preserve"> </w:t>
      </w:r>
      <w:r>
        <w:t>in</w:t>
      </w:r>
      <w:r w:rsidR="00E15E1B">
        <w:t xml:space="preserve"> </w:t>
      </w:r>
      <w:r>
        <w:t>Ballarat’s</w:t>
      </w:r>
      <w:r w:rsidR="00E15E1B">
        <w:t xml:space="preserve"> </w:t>
      </w:r>
      <w:r>
        <w:t>central</w:t>
      </w:r>
      <w:r w:rsidR="00E15E1B">
        <w:t xml:space="preserve"> </w:t>
      </w:r>
      <w:r>
        <w:t>business</w:t>
      </w:r>
      <w:r w:rsidR="00E15E1B">
        <w:t xml:space="preserve"> </w:t>
      </w:r>
      <w:r>
        <w:t>district.</w:t>
      </w:r>
      <w:r w:rsidR="00E15E1B">
        <w:t xml:space="preserve"> </w:t>
      </w:r>
      <w:r>
        <w:t>The</w:t>
      </w:r>
      <w:r w:rsidR="00E15E1B">
        <w:t xml:space="preserve"> </w:t>
      </w:r>
      <w:r>
        <w:t>site</w:t>
      </w:r>
      <w:r w:rsidR="00E15E1B">
        <w:t xml:space="preserve"> </w:t>
      </w:r>
      <w:r>
        <w:t>is</w:t>
      </w:r>
      <w:r w:rsidR="00E15E1B">
        <w:t xml:space="preserve"> </w:t>
      </w:r>
      <w:r>
        <w:t>being</w:t>
      </w:r>
      <w:r w:rsidR="00E15E1B">
        <w:t xml:space="preserve"> </w:t>
      </w:r>
      <w:r>
        <w:t>redeveloped</w:t>
      </w:r>
      <w:r w:rsidR="00E15E1B">
        <w:t xml:space="preserve"> </w:t>
      </w:r>
      <w:r>
        <w:t>by</w:t>
      </w:r>
      <w:r w:rsidR="00E15E1B">
        <w:t xml:space="preserve"> </w:t>
      </w:r>
      <w:r>
        <w:t>Development</w:t>
      </w:r>
      <w:r w:rsidR="00E15E1B">
        <w:t xml:space="preserve"> </w:t>
      </w:r>
      <w:r>
        <w:t>Victoria</w:t>
      </w:r>
      <w:r w:rsidR="00E15E1B">
        <w:t xml:space="preserve"> </w:t>
      </w:r>
      <w:r>
        <w:t>in</w:t>
      </w:r>
      <w:r w:rsidR="00E15E1B">
        <w:t xml:space="preserve"> </w:t>
      </w:r>
      <w:r>
        <w:t>partnership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City</w:t>
      </w:r>
      <w:r w:rsidR="00E15E1B">
        <w:t xml:space="preserve"> </w:t>
      </w:r>
      <w:r>
        <w:t>of</w:t>
      </w:r>
      <w:r w:rsidR="00E15E1B">
        <w:t xml:space="preserve"> </w:t>
      </w:r>
      <w:r>
        <w:t>Ballarat</w:t>
      </w:r>
      <w:r w:rsidR="00E15E1B">
        <w:t xml:space="preserve"> </w:t>
      </w:r>
      <w:r>
        <w:t>Council</w:t>
      </w:r>
      <w:r w:rsidR="00E15E1B">
        <w:t xml:space="preserve"> </w:t>
      </w:r>
      <w:r>
        <w:t>and</w:t>
      </w:r>
      <w:r w:rsidR="00E15E1B">
        <w:t xml:space="preserve"> </w:t>
      </w:r>
      <w:r>
        <w:t>will</w:t>
      </w:r>
      <w:r w:rsidR="00E15E1B">
        <w:t xml:space="preserve"> </w:t>
      </w:r>
      <w:r>
        <w:t>combine</w:t>
      </w:r>
      <w:r w:rsidR="00E15E1B">
        <w:t xml:space="preserve"> </w:t>
      </w:r>
      <w:r>
        <w:t>government</w:t>
      </w:r>
      <w:r w:rsidR="00E15E1B">
        <w:t xml:space="preserve"> </w:t>
      </w:r>
      <w:r>
        <w:t>offices</w:t>
      </w:r>
      <w:r w:rsidR="00E15E1B">
        <w:t xml:space="preserve"> </w:t>
      </w:r>
      <w:r>
        <w:t>with</w:t>
      </w:r>
      <w:r w:rsidR="00E15E1B">
        <w:t xml:space="preserve"> </w:t>
      </w:r>
      <w:r>
        <w:t>community</w:t>
      </w:r>
      <w:r w:rsidR="00E15E1B">
        <w:t xml:space="preserve"> </w:t>
      </w:r>
      <w:r>
        <w:t>services</w:t>
      </w:r>
      <w:r w:rsidR="00E15E1B">
        <w:t xml:space="preserve"> </w:t>
      </w:r>
      <w:r>
        <w:t>and</w:t>
      </w:r>
      <w:r w:rsidR="00E15E1B">
        <w:t xml:space="preserve"> </w:t>
      </w:r>
      <w:r>
        <w:t>local</w:t>
      </w:r>
      <w:r w:rsidR="00E15E1B">
        <w:t xml:space="preserve"> </w:t>
      </w:r>
      <w:r>
        <w:t>businesses.</w:t>
      </w:r>
      <w:r w:rsidR="00E15E1B">
        <w:t xml:space="preserve"> </w:t>
      </w:r>
      <w:r>
        <w:t>The</w:t>
      </w:r>
      <w:r w:rsidR="00E15E1B">
        <w:t xml:space="preserve"> </w:t>
      </w:r>
      <w:r>
        <w:t>GovHub</w:t>
      </w:r>
      <w:r w:rsidR="00E15E1B">
        <w:t xml:space="preserve"> </w:t>
      </w:r>
      <w:r>
        <w:t>design</w:t>
      </w:r>
      <w:r w:rsidR="00E15E1B">
        <w:t xml:space="preserve"> </w:t>
      </w:r>
      <w:r>
        <w:t>followed</w:t>
      </w:r>
      <w:r w:rsidR="00E15E1B">
        <w:t xml:space="preserve"> </w:t>
      </w:r>
      <w:r>
        <w:t>consultation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local</w:t>
      </w:r>
      <w:r w:rsidR="00E15E1B">
        <w:t xml:space="preserve"> </w:t>
      </w:r>
      <w:r>
        <w:t>community</w:t>
      </w:r>
      <w:r w:rsidR="00E15E1B">
        <w:t xml:space="preserve"> </w:t>
      </w:r>
      <w:r>
        <w:t>and</w:t>
      </w:r>
      <w:r w:rsidR="00E15E1B">
        <w:t xml:space="preserve"> </w:t>
      </w:r>
      <w:r>
        <w:t>recognises</w:t>
      </w:r>
      <w:r w:rsidR="00E15E1B">
        <w:t xml:space="preserve"> </w:t>
      </w:r>
      <w:r>
        <w:t>the</w:t>
      </w:r>
      <w:r w:rsidR="00E15E1B">
        <w:t xml:space="preserve"> </w:t>
      </w:r>
      <w:r>
        <w:t>important</w:t>
      </w:r>
      <w:r w:rsidR="00E15E1B">
        <w:t xml:space="preserve"> </w:t>
      </w:r>
      <w:r>
        <w:t>cultural</w:t>
      </w:r>
      <w:r w:rsidR="00E15E1B">
        <w:t xml:space="preserve"> </w:t>
      </w:r>
      <w:r>
        <w:t>and</w:t>
      </w:r>
      <w:r w:rsidR="00E15E1B">
        <w:t xml:space="preserve"> </w:t>
      </w:r>
      <w:r>
        <w:t>community</w:t>
      </w:r>
      <w:r w:rsidR="00E15E1B">
        <w:t xml:space="preserve"> </w:t>
      </w:r>
      <w:r>
        <w:lastRenderedPageBreak/>
        <w:t>significance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existing</w:t>
      </w:r>
      <w:r w:rsidR="00E15E1B">
        <w:t xml:space="preserve"> </w:t>
      </w:r>
      <w:r>
        <w:t>Civic</w:t>
      </w:r>
      <w:r w:rsidR="00E15E1B">
        <w:t xml:space="preserve"> </w:t>
      </w:r>
      <w:r>
        <w:t>Hall</w:t>
      </w:r>
      <w:r w:rsidR="00E15E1B">
        <w:t xml:space="preserve"> </w:t>
      </w:r>
      <w:r>
        <w:t>and</w:t>
      </w:r>
      <w:r w:rsidR="00E15E1B">
        <w:t xml:space="preserve"> </w:t>
      </w:r>
      <w:r>
        <w:t>library</w:t>
      </w:r>
      <w:r w:rsidR="00E15E1B">
        <w:t xml:space="preserve"> </w:t>
      </w:r>
      <w:r>
        <w:t>within</w:t>
      </w:r>
      <w:r w:rsidR="00E15E1B">
        <w:t xml:space="preserve"> </w:t>
      </w:r>
      <w:r>
        <w:t>the</w:t>
      </w:r>
      <w:r w:rsidR="00E15E1B">
        <w:t xml:space="preserve"> </w:t>
      </w:r>
      <w:r>
        <w:t>City</w:t>
      </w:r>
      <w:r w:rsidR="00E15E1B">
        <w:t xml:space="preserve"> </w:t>
      </w:r>
      <w:r>
        <w:t>of</w:t>
      </w:r>
      <w:r w:rsidR="00E15E1B">
        <w:t xml:space="preserve"> </w:t>
      </w:r>
      <w:r>
        <w:t>Ballarat,</w:t>
      </w:r>
      <w:r w:rsidR="00E15E1B">
        <w:t xml:space="preserve"> </w:t>
      </w:r>
      <w:r>
        <w:t>while</w:t>
      </w:r>
      <w:r w:rsidR="00E15E1B">
        <w:t xml:space="preserve"> </w:t>
      </w:r>
      <w:r>
        <w:t>also</w:t>
      </w:r>
      <w:r w:rsidR="00E15E1B">
        <w:t xml:space="preserve"> </w:t>
      </w:r>
      <w:r>
        <w:t>creating</w:t>
      </w:r>
      <w:r w:rsidR="00E15E1B">
        <w:t xml:space="preserve"> </w:t>
      </w:r>
      <w:r>
        <w:t>a</w:t>
      </w:r>
      <w:r w:rsidR="00E15E1B">
        <w:t xml:space="preserve"> </w:t>
      </w:r>
      <w:r>
        <w:t>modern</w:t>
      </w:r>
      <w:r w:rsidR="00E15E1B">
        <w:t xml:space="preserve"> </w:t>
      </w:r>
      <w:r>
        <w:t>and</w:t>
      </w:r>
      <w:r w:rsidR="00E15E1B">
        <w:t xml:space="preserve"> </w:t>
      </w:r>
      <w:r>
        <w:t>accessible</w:t>
      </w:r>
      <w:r w:rsidR="00E15E1B">
        <w:t xml:space="preserve"> </w:t>
      </w:r>
      <w:r>
        <w:t>workplace.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are</w:t>
      </w:r>
      <w:r w:rsidR="00E15E1B">
        <w:t xml:space="preserve"> </w:t>
      </w:r>
      <w:r>
        <w:t>committed</w:t>
      </w:r>
      <w:r w:rsidR="00E15E1B">
        <w:t xml:space="preserve"> </w:t>
      </w:r>
      <w:r>
        <w:t>to</w:t>
      </w:r>
      <w:r w:rsidR="00E15E1B">
        <w:t xml:space="preserve"> </w:t>
      </w:r>
      <w:r>
        <w:t>ensuring</w:t>
      </w:r>
      <w:r w:rsidR="00E15E1B">
        <w:t xml:space="preserve"> </w:t>
      </w:r>
      <w:r>
        <w:t>no</w:t>
      </w:r>
      <w:r w:rsidR="00E15E1B">
        <w:t xml:space="preserve"> </w:t>
      </w:r>
      <w:r>
        <w:t>interruption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delivery</w:t>
      </w:r>
      <w:r w:rsidR="00E15E1B">
        <w:t xml:space="preserve"> </w:t>
      </w:r>
      <w:r>
        <w:t>of</w:t>
      </w:r>
      <w:r w:rsidR="00E15E1B">
        <w:t xml:space="preserve"> </w:t>
      </w:r>
      <w:r>
        <w:t>quality</w:t>
      </w:r>
      <w:r w:rsidR="00E15E1B">
        <w:t xml:space="preserve"> </w:t>
      </w:r>
      <w:r>
        <w:t>services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community</w:t>
      </w:r>
      <w:r w:rsidR="00E15E1B">
        <w:t xml:space="preserve"> </w:t>
      </w:r>
      <w:r>
        <w:t>during</w:t>
      </w:r>
      <w:r w:rsidR="00E15E1B">
        <w:t xml:space="preserve"> </w:t>
      </w:r>
      <w:r>
        <w:t>the</w:t>
      </w:r>
      <w:r w:rsidR="00E15E1B">
        <w:t xml:space="preserve"> </w:t>
      </w:r>
      <w:r>
        <w:t>transition</w:t>
      </w:r>
      <w:r w:rsidR="00E15E1B">
        <w:t xml:space="preserve"> </w:t>
      </w:r>
      <w:r>
        <w:t>to</w:t>
      </w:r>
      <w:r w:rsidR="00E15E1B">
        <w:t xml:space="preserve"> </w:t>
      </w:r>
      <w:r>
        <w:t>Ballarat</w:t>
      </w:r>
      <w:r w:rsidR="00E15E1B">
        <w:t xml:space="preserve"> </w:t>
      </w:r>
      <w:r>
        <w:t>GovHub</w:t>
      </w:r>
      <w:r w:rsidR="00E15E1B">
        <w:t xml:space="preserve"> </w:t>
      </w:r>
      <w:r>
        <w:t>and</w:t>
      </w:r>
      <w:r w:rsidR="00E15E1B">
        <w:t xml:space="preserve"> </w:t>
      </w:r>
      <w:r>
        <w:t>to</w:t>
      </w:r>
      <w:r w:rsidR="00E15E1B">
        <w:t xml:space="preserve"> </w:t>
      </w:r>
      <w:r>
        <w:t>supporting</w:t>
      </w:r>
      <w:r w:rsidR="00E15E1B">
        <w:t xml:space="preserve"> </w:t>
      </w:r>
      <w:r>
        <w:t>staff</w:t>
      </w:r>
      <w:r w:rsidR="00E15E1B">
        <w:t xml:space="preserve"> </w:t>
      </w:r>
      <w:r>
        <w:t>whose</w:t>
      </w:r>
      <w:r w:rsidR="00E15E1B">
        <w:t xml:space="preserve"> </w:t>
      </w:r>
      <w:r>
        <w:t>roles</w:t>
      </w:r>
      <w:r w:rsidR="00E15E1B">
        <w:t xml:space="preserve"> </w:t>
      </w:r>
      <w:r>
        <w:t>are</w:t>
      </w:r>
      <w:r w:rsidR="00E15E1B">
        <w:t xml:space="preserve"> </w:t>
      </w:r>
      <w:r>
        <w:t>affected</w:t>
      </w:r>
      <w:r w:rsidR="00E15E1B">
        <w:t xml:space="preserve"> </w:t>
      </w:r>
      <w:r>
        <w:t>by</w:t>
      </w:r>
      <w:r w:rsidR="00E15E1B">
        <w:t xml:space="preserve"> </w:t>
      </w:r>
      <w:r>
        <w:t>the</w:t>
      </w:r>
      <w:r w:rsidR="00E15E1B">
        <w:t xml:space="preserve"> </w:t>
      </w:r>
      <w:r>
        <w:t>move.</w:t>
      </w:r>
    </w:p>
    <w:p w:rsidR="00156239" w:rsidRDefault="00156239" w:rsidP="00156239">
      <w:pPr>
        <w:pStyle w:val="Heading4"/>
      </w:pPr>
      <w:r>
        <w:t>National</w:t>
      </w:r>
      <w:r w:rsidR="00E15E1B">
        <w:t xml:space="preserve"> </w:t>
      </w:r>
      <w:r>
        <w:t>award</w:t>
      </w:r>
      <w:r w:rsidR="00E15E1B">
        <w:t xml:space="preserve"> </w:t>
      </w:r>
      <w:r>
        <w:t>for</w:t>
      </w:r>
      <w:r w:rsidR="00E15E1B">
        <w:t xml:space="preserve"> </w:t>
      </w:r>
      <w:r>
        <w:t>regulatory</w:t>
      </w:r>
      <w:r w:rsidR="00E15E1B">
        <w:t xml:space="preserve"> </w:t>
      </w:r>
      <w:r>
        <w:t>intelligence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were</w:t>
      </w:r>
      <w:r w:rsidR="00E15E1B">
        <w:t xml:space="preserve"> </w:t>
      </w:r>
      <w:r>
        <w:t>awarded</w:t>
      </w:r>
      <w:r w:rsidR="00E15E1B">
        <w:t xml:space="preserve"> </w:t>
      </w:r>
      <w:r>
        <w:t>the</w:t>
      </w:r>
      <w:r w:rsidR="00E15E1B">
        <w:t xml:space="preserve"> </w:t>
      </w:r>
      <w:r>
        <w:t>2017</w:t>
      </w:r>
      <w:r w:rsidR="00E15E1B">
        <w:t xml:space="preserve"> </w:t>
      </w:r>
      <w:r>
        <w:t>Organisation</w:t>
      </w:r>
      <w:r w:rsidR="00E15E1B">
        <w:t xml:space="preserve"> </w:t>
      </w:r>
      <w:r>
        <w:t>Award</w:t>
      </w:r>
      <w:r w:rsidR="00E15E1B">
        <w:t xml:space="preserve"> </w:t>
      </w:r>
      <w:r>
        <w:t>by</w:t>
      </w:r>
      <w:r w:rsidR="00E15E1B">
        <w:t xml:space="preserve"> </w:t>
      </w:r>
      <w:r>
        <w:t>the</w:t>
      </w:r>
      <w:r w:rsidR="00E15E1B">
        <w:t xml:space="preserve"> </w:t>
      </w:r>
      <w:r>
        <w:t>Australian</w:t>
      </w:r>
      <w:r w:rsidR="00E15E1B">
        <w:t xml:space="preserve"> </w:t>
      </w:r>
      <w:r>
        <w:t>Institute</w:t>
      </w:r>
      <w:r w:rsidR="00E15E1B">
        <w:t xml:space="preserve"> </w:t>
      </w:r>
      <w:r>
        <w:t>of</w:t>
      </w:r>
      <w:r w:rsidR="00E15E1B">
        <w:t xml:space="preserve"> </w:t>
      </w:r>
      <w:r>
        <w:t>Professional</w:t>
      </w:r>
      <w:r w:rsidR="00E15E1B">
        <w:t xml:space="preserve"> </w:t>
      </w:r>
      <w:r>
        <w:t>Intelligence</w:t>
      </w:r>
      <w:r w:rsidR="00E15E1B">
        <w:t xml:space="preserve"> </w:t>
      </w:r>
      <w:r>
        <w:t>Officers</w:t>
      </w:r>
      <w:r w:rsidR="00E15E1B">
        <w:t xml:space="preserve"> </w:t>
      </w:r>
      <w:r>
        <w:t>(AIPIO)</w:t>
      </w:r>
      <w:r w:rsidR="00E15E1B">
        <w:t xml:space="preserve"> </w:t>
      </w:r>
      <w:r>
        <w:t>for</w:t>
      </w:r>
      <w:r w:rsidR="00E15E1B">
        <w:t xml:space="preserve"> </w:t>
      </w:r>
      <w:r>
        <w:t>our</w:t>
      </w:r>
      <w:r w:rsidR="00E15E1B">
        <w:t xml:space="preserve"> </w:t>
      </w:r>
      <w:r>
        <w:t>“distinguished</w:t>
      </w:r>
      <w:r w:rsidR="00E15E1B">
        <w:t xml:space="preserve"> </w:t>
      </w:r>
      <w:r>
        <w:t>innovative</w:t>
      </w:r>
      <w:r w:rsidR="00E15E1B">
        <w:t xml:space="preserve"> </w:t>
      </w:r>
      <w:r>
        <w:t>contribution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advancement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intelligence</w:t>
      </w:r>
      <w:r w:rsidR="00E15E1B">
        <w:t xml:space="preserve"> </w:t>
      </w:r>
      <w:r>
        <w:t>profession</w:t>
      </w:r>
      <w:r w:rsidR="00E15E1B">
        <w:t xml:space="preserve"> </w:t>
      </w:r>
      <w:r>
        <w:t>in</w:t>
      </w:r>
      <w:r w:rsidR="00E15E1B">
        <w:t xml:space="preserve"> </w:t>
      </w:r>
      <w:r>
        <w:t>Australia”.</w:t>
      </w:r>
      <w:r w:rsidR="00E15E1B">
        <w:t xml:space="preserve"> </w:t>
      </w:r>
      <w:r>
        <w:t>The</w:t>
      </w:r>
      <w:r w:rsidR="00E15E1B">
        <w:t xml:space="preserve"> </w:t>
      </w:r>
      <w:r>
        <w:t>award</w:t>
      </w:r>
      <w:r w:rsidR="00E15E1B">
        <w:t xml:space="preserve"> </w:t>
      </w:r>
      <w:r>
        <w:t>was</w:t>
      </w:r>
      <w:r w:rsidR="00E15E1B">
        <w:t xml:space="preserve"> </w:t>
      </w:r>
      <w:r>
        <w:t>presented</w:t>
      </w:r>
      <w:r w:rsidR="00E15E1B">
        <w:t xml:space="preserve"> </w:t>
      </w:r>
      <w:r>
        <w:t>on</w:t>
      </w:r>
      <w:r w:rsidR="00E15E1B">
        <w:t xml:space="preserve"> </w:t>
      </w:r>
      <w:r>
        <w:t>the</w:t>
      </w:r>
      <w:r w:rsidR="00E15E1B">
        <w:t xml:space="preserve"> </w:t>
      </w:r>
      <w:r>
        <w:t>opening</w:t>
      </w:r>
      <w:r w:rsidR="00E15E1B">
        <w:t xml:space="preserve"> </w:t>
      </w:r>
      <w:r>
        <w:t>night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AIPIO</w:t>
      </w:r>
      <w:r w:rsidR="00E15E1B">
        <w:t xml:space="preserve"> </w:t>
      </w:r>
      <w:r>
        <w:t>conference</w:t>
      </w:r>
      <w:r w:rsidR="00E15E1B">
        <w:t xml:space="preserve"> </w:t>
      </w:r>
      <w:r>
        <w:t>in</w:t>
      </w:r>
      <w:r w:rsidR="00E15E1B">
        <w:t xml:space="preserve"> </w:t>
      </w:r>
      <w:r>
        <w:t>Hobart</w:t>
      </w:r>
      <w:r w:rsidR="00E15E1B">
        <w:t xml:space="preserve"> </w:t>
      </w:r>
      <w:r>
        <w:t>by</w:t>
      </w:r>
      <w:r w:rsidR="00E15E1B">
        <w:t xml:space="preserve"> </w:t>
      </w:r>
      <w:r>
        <w:t>President</w:t>
      </w:r>
      <w:r w:rsidR="00E15E1B">
        <w:t xml:space="preserve"> </w:t>
      </w:r>
      <w:r>
        <w:t>Dr</w:t>
      </w:r>
      <w:r w:rsidR="00E15E1B">
        <w:t xml:space="preserve"> </w:t>
      </w:r>
      <w:r>
        <w:t>Philip</w:t>
      </w:r>
      <w:r w:rsidR="00E15E1B">
        <w:t xml:space="preserve"> </w:t>
      </w:r>
      <w:r>
        <w:t>Kowalick.</w:t>
      </w:r>
      <w:r w:rsidR="00E15E1B">
        <w:t xml:space="preserve"> </w:t>
      </w:r>
      <w:r>
        <w:t>The</w:t>
      </w:r>
      <w:r w:rsidR="00E15E1B">
        <w:t xml:space="preserve"> </w:t>
      </w:r>
      <w:r>
        <w:t>award</w:t>
      </w:r>
      <w:r w:rsidR="00E15E1B">
        <w:t xml:space="preserve"> </w:t>
      </w:r>
      <w:r>
        <w:t>recognised</w:t>
      </w:r>
      <w:r w:rsidR="00E15E1B">
        <w:t xml:space="preserve"> </w:t>
      </w:r>
      <w:r>
        <w:t>our</w:t>
      </w:r>
      <w:r w:rsidR="00E15E1B">
        <w:t xml:space="preserve"> </w:t>
      </w:r>
      <w:r>
        <w:t>work</w:t>
      </w:r>
      <w:r w:rsidR="00E15E1B">
        <w:t xml:space="preserve"> </w:t>
      </w:r>
      <w:r>
        <w:t>to</w:t>
      </w:r>
      <w:r w:rsidR="00E15E1B">
        <w:t xml:space="preserve"> </w:t>
      </w:r>
      <w:r>
        <w:t>enhance</w:t>
      </w:r>
      <w:r w:rsidR="00E15E1B">
        <w:t xml:space="preserve"> </w:t>
      </w:r>
      <w:r>
        <w:t>our</w:t>
      </w:r>
      <w:r w:rsidR="00E15E1B">
        <w:t xml:space="preserve"> </w:t>
      </w:r>
      <w:r>
        <w:t>intelligence</w:t>
      </w:r>
      <w:r w:rsidR="00E15E1B">
        <w:t xml:space="preserve"> </w:t>
      </w:r>
      <w:r>
        <w:t>capabilities</w:t>
      </w:r>
      <w:r w:rsidR="00E15E1B">
        <w:t xml:space="preserve"> </w:t>
      </w:r>
      <w:r>
        <w:t>and</w:t>
      </w:r>
      <w:r w:rsidR="00E15E1B">
        <w:t xml:space="preserve"> </w:t>
      </w:r>
      <w:r>
        <w:t>embed</w:t>
      </w:r>
      <w:r w:rsidR="00E15E1B">
        <w:t xml:space="preserve"> </w:t>
      </w:r>
      <w:r>
        <w:t>our</w:t>
      </w:r>
      <w:r w:rsidR="00E15E1B">
        <w:t xml:space="preserve"> </w:t>
      </w:r>
      <w:r>
        <w:t>regulatory</w:t>
      </w:r>
      <w:r w:rsidR="00E15E1B">
        <w:t xml:space="preserve"> </w:t>
      </w:r>
      <w:r>
        <w:t>approach</w:t>
      </w:r>
      <w:r w:rsidR="00E15E1B">
        <w:t xml:space="preserve"> </w:t>
      </w:r>
      <w:r>
        <w:t>as</w:t>
      </w:r>
      <w:r w:rsidR="00E15E1B">
        <w:t xml:space="preserve"> </w:t>
      </w:r>
      <w:r>
        <w:t>intelligence-led,</w:t>
      </w:r>
      <w:r w:rsidR="00E15E1B">
        <w:t xml:space="preserve"> </w:t>
      </w:r>
      <w:r>
        <w:t>risk-based</w:t>
      </w:r>
      <w:r w:rsidR="00E15E1B">
        <w:t xml:space="preserve"> </w:t>
      </w:r>
      <w:r>
        <w:t>and</w:t>
      </w:r>
      <w:r w:rsidR="00E15E1B">
        <w:t xml:space="preserve"> </w:t>
      </w:r>
      <w:r>
        <w:t>outcome-focused.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also</w:t>
      </w:r>
      <w:r w:rsidR="00E15E1B">
        <w:t xml:space="preserve"> </w:t>
      </w:r>
      <w:r>
        <w:t>shared</w:t>
      </w:r>
      <w:r w:rsidR="00E15E1B">
        <w:t xml:space="preserve"> </w:t>
      </w:r>
      <w:r>
        <w:t>our</w:t>
      </w:r>
      <w:r w:rsidR="00E15E1B">
        <w:t xml:space="preserve"> </w:t>
      </w:r>
      <w:r>
        <w:t>approach</w:t>
      </w:r>
      <w:r w:rsidR="00E15E1B">
        <w:t xml:space="preserve"> </w:t>
      </w:r>
      <w:r>
        <w:t>to</w:t>
      </w:r>
      <w:r w:rsidR="00E15E1B">
        <w:t xml:space="preserve"> </w:t>
      </w:r>
      <w:r>
        <w:t>capability</w:t>
      </w:r>
      <w:r w:rsidR="00E15E1B">
        <w:t xml:space="preserve"> </w:t>
      </w:r>
      <w:r>
        <w:t>development</w:t>
      </w:r>
      <w:r w:rsidR="00E15E1B">
        <w:t xml:space="preserve"> </w:t>
      </w:r>
      <w:r>
        <w:t>at</w:t>
      </w:r>
      <w:r w:rsidR="00E15E1B">
        <w:t xml:space="preserve"> </w:t>
      </w:r>
      <w:r>
        <w:t>the</w:t>
      </w:r>
      <w:r w:rsidR="00E15E1B">
        <w:t xml:space="preserve"> </w:t>
      </w:r>
      <w:r>
        <w:t>inaugural</w:t>
      </w:r>
      <w:r w:rsidR="00E15E1B">
        <w:t xml:space="preserve"> </w:t>
      </w:r>
      <w:r>
        <w:t>Regulatory</w:t>
      </w:r>
      <w:r w:rsidR="00E15E1B">
        <w:t xml:space="preserve"> </w:t>
      </w:r>
      <w:r>
        <w:t>Intelligence</w:t>
      </w:r>
      <w:r w:rsidR="00E15E1B">
        <w:t xml:space="preserve"> </w:t>
      </w:r>
      <w:r>
        <w:t>Conference,</w:t>
      </w:r>
      <w:r w:rsidR="00E15E1B">
        <w:t xml:space="preserve"> </w:t>
      </w:r>
      <w:r>
        <w:t>held</w:t>
      </w:r>
      <w:r w:rsidR="00E15E1B">
        <w:t xml:space="preserve"> </w:t>
      </w:r>
      <w:r>
        <w:t>in</w:t>
      </w:r>
      <w:r w:rsidR="00E15E1B">
        <w:t xml:space="preserve"> </w:t>
      </w:r>
      <w:r>
        <w:t>Sydney</w:t>
      </w:r>
      <w:r w:rsidR="00E15E1B">
        <w:t xml:space="preserve"> </w:t>
      </w:r>
      <w:r>
        <w:t>in</w:t>
      </w:r>
      <w:r w:rsidR="00E15E1B">
        <w:t xml:space="preserve"> </w:t>
      </w:r>
      <w:r>
        <w:t>September</w:t>
      </w:r>
      <w:r w:rsidR="00E15E1B">
        <w:t xml:space="preserve"> </w:t>
      </w:r>
      <w:r>
        <w:t>2017.</w:t>
      </w:r>
    </w:p>
    <w:p w:rsidR="00156239" w:rsidRDefault="00156239" w:rsidP="00156239">
      <w:pPr>
        <w:pStyle w:val="Heading4"/>
      </w:pPr>
      <w:r>
        <w:t>Reducing</w:t>
      </w:r>
      <w:r w:rsidR="00E15E1B">
        <w:t xml:space="preserve"> </w:t>
      </w:r>
      <w:r>
        <w:t>red</w:t>
      </w:r>
      <w:r w:rsidR="00E15E1B">
        <w:t xml:space="preserve"> </w:t>
      </w:r>
      <w:r>
        <w:t>tape</w:t>
      </w:r>
    </w:p>
    <w:p w:rsidR="00156239" w:rsidRDefault="00156239" w:rsidP="00156239">
      <w:pPr>
        <w:pStyle w:val="BodyText"/>
      </w:pPr>
      <w:r>
        <w:t>In</w:t>
      </w:r>
      <w:r w:rsidR="00E15E1B">
        <w:t xml:space="preserve"> </w:t>
      </w:r>
      <w:r>
        <w:t>June</w:t>
      </w:r>
      <w:r w:rsidR="00E15E1B">
        <w:t xml:space="preserve"> </w:t>
      </w:r>
      <w:r>
        <w:t>2017,</w:t>
      </w:r>
      <w:r w:rsidR="00E15E1B">
        <w:t xml:space="preserve"> </w:t>
      </w:r>
      <w:r>
        <w:t>the</w:t>
      </w:r>
      <w:r w:rsidR="00E15E1B">
        <w:t xml:space="preserve"> </w:t>
      </w:r>
      <w:r>
        <w:t>Minister</w:t>
      </w:r>
      <w:r w:rsidR="00E15E1B">
        <w:t xml:space="preserve"> </w:t>
      </w:r>
      <w:r>
        <w:t>for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issued</w:t>
      </w:r>
      <w:r w:rsidR="00E15E1B">
        <w:t xml:space="preserve"> </w:t>
      </w:r>
      <w:r>
        <w:t>a</w:t>
      </w:r>
      <w:r w:rsidR="00E15E1B">
        <w:t xml:space="preserve"> </w:t>
      </w:r>
      <w:r>
        <w:t>reducing</w:t>
      </w:r>
      <w:r w:rsidR="00E15E1B">
        <w:t xml:space="preserve"> </w:t>
      </w:r>
      <w:r>
        <w:t>red</w:t>
      </w:r>
      <w:r w:rsidR="00E15E1B">
        <w:t xml:space="preserve"> </w:t>
      </w:r>
      <w:r>
        <w:t>tape</w:t>
      </w:r>
      <w:r w:rsidR="00E15E1B">
        <w:t xml:space="preserve"> </w:t>
      </w:r>
      <w:r>
        <w:t>Statement</w:t>
      </w:r>
      <w:r w:rsidR="00E15E1B">
        <w:t xml:space="preserve"> </w:t>
      </w:r>
      <w:r>
        <w:t>of</w:t>
      </w:r>
      <w:r w:rsidR="00E15E1B">
        <w:t xml:space="preserve"> </w:t>
      </w:r>
      <w:r>
        <w:t>Expectations</w:t>
      </w:r>
      <w:r w:rsidR="00E15E1B">
        <w:t xml:space="preserve"> </w:t>
      </w:r>
      <w:r>
        <w:t>to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Victoria</w:t>
      </w:r>
      <w:r w:rsidR="00E15E1B">
        <w:t xml:space="preserve"> </w:t>
      </w:r>
      <w:r>
        <w:t>and</w:t>
      </w:r>
      <w:r w:rsidR="00E15E1B">
        <w:t xml:space="preserve"> </w:t>
      </w:r>
      <w:r>
        <w:t>the</w:t>
      </w:r>
      <w:r w:rsidR="00E15E1B">
        <w:t xml:space="preserve"> </w:t>
      </w:r>
      <w:r>
        <w:t>Business</w:t>
      </w:r>
      <w:r w:rsidR="00E15E1B">
        <w:t xml:space="preserve"> </w:t>
      </w:r>
      <w:r>
        <w:t>Licensing</w:t>
      </w:r>
      <w:r w:rsidR="00E15E1B">
        <w:t xml:space="preserve"> </w:t>
      </w:r>
      <w:r>
        <w:t>Authority</w:t>
      </w:r>
      <w:r w:rsidR="00E15E1B">
        <w:t xml:space="preserve"> </w:t>
      </w:r>
      <w:r>
        <w:t>for</w:t>
      </w:r>
      <w:r w:rsidR="00E15E1B">
        <w:t xml:space="preserve"> </w:t>
      </w:r>
      <w:r>
        <w:t>2017–19.</w:t>
      </w:r>
      <w:r w:rsidR="00E15E1B">
        <w:t xml:space="preserve"> </w:t>
      </w:r>
      <w:r>
        <w:t>This</w:t>
      </w:r>
      <w:r w:rsidR="00E15E1B">
        <w:t xml:space="preserve"> </w:t>
      </w:r>
      <w:r>
        <w:t>Statement</w:t>
      </w:r>
      <w:r w:rsidR="00E15E1B">
        <w:t xml:space="preserve"> </w:t>
      </w:r>
      <w:r>
        <w:t>sets</w:t>
      </w:r>
      <w:r w:rsidR="00E15E1B">
        <w:t xml:space="preserve"> </w:t>
      </w:r>
      <w:r>
        <w:t>out</w:t>
      </w:r>
      <w:r w:rsidR="00E15E1B">
        <w:t xml:space="preserve"> </w:t>
      </w:r>
      <w:r>
        <w:t>the</w:t>
      </w:r>
      <w:r w:rsidR="00E15E1B">
        <w:t xml:space="preserve"> </w:t>
      </w:r>
      <w:r>
        <w:t>Minister’s</w:t>
      </w:r>
      <w:r w:rsidR="00E15E1B">
        <w:t xml:space="preserve"> </w:t>
      </w:r>
      <w:r>
        <w:t>expectations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continued</w:t>
      </w:r>
      <w:r w:rsidR="00E15E1B">
        <w:t xml:space="preserve"> </w:t>
      </w:r>
      <w:r>
        <w:t>contribution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Government’s</w:t>
      </w:r>
      <w:r w:rsidR="00E15E1B">
        <w:t xml:space="preserve"> </w:t>
      </w:r>
      <w:r>
        <w:t>Regulation</w:t>
      </w:r>
      <w:r w:rsidR="00E15E1B">
        <w:t xml:space="preserve"> </w:t>
      </w:r>
      <w:r>
        <w:t>Reform</w:t>
      </w:r>
      <w:r w:rsidR="00E15E1B">
        <w:t xml:space="preserve"> </w:t>
      </w:r>
      <w:r>
        <w:t>Program</w:t>
      </w:r>
      <w:r w:rsidR="00E15E1B">
        <w:t xml:space="preserve"> </w:t>
      </w:r>
      <w:r>
        <w:t>to</w:t>
      </w:r>
      <w:r w:rsidR="00E15E1B">
        <w:t xml:space="preserve"> </w:t>
      </w:r>
      <w:r>
        <w:t>reduce</w:t>
      </w:r>
      <w:r w:rsidR="00E15E1B">
        <w:t xml:space="preserve"> </w:t>
      </w:r>
      <w:r>
        <w:t>red</w:t>
      </w:r>
      <w:r w:rsidR="00E15E1B">
        <w:t xml:space="preserve"> </w:t>
      </w:r>
      <w:r>
        <w:t>tape</w:t>
      </w:r>
      <w:r w:rsidR="00E15E1B">
        <w:t xml:space="preserve"> </w:t>
      </w:r>
      <w:r>
        <w:t>affecting</w:t>
      </w:r>
      <w:r w:rsidR="00E15E1B">
        <w:t xml:space="preserve"> </w:t>
      </w:r>
      <w:r>
        <w:t>businesses,</w:t>
      </w:r>
      <w:r w:rsidR="00E15E1B">
        <w:t xml:space="preserve"> </w:t>
      </w:r>
      <w:r>
        <w:t>not-for-profit</w:t>
      </w:r>
      <w:r w:rsidR="00E15E1B">
        <w:t xml:space="preserve"> </w:t>
      </w:r>
      <w:r>
        <w:t>organisations,</w:t>
      </w:r>
      <w:r w:rsidR="00E15E1B">
        <w:t xml:space="preserve"> </w:t>
      </w:r>
      <w:r>
        <w:t>government</w:t>
      </w:r>
      <w:r w:rsidR="00E15E1B">
        <w:t xml:space="preserve"> </w:t>
      </w:r>
      <w:r>
        <w:t>service</w:t>
      </w:r>
      <w:r w:rsidR="00E15E1B">
        <w:t xml:space="preserve"> </w:t>
      </w:r>
      <w:r>
        <w:t>providers</w:t>
      </w:r>
      <w:r w:rsidR="00E15E1B">
        <w:t xml:space="preserve"> </w:t>
      </w:r>
      <w:r>
        <w:t>and</w:t>
      </w:r>
      <w:r w:rsidR="00E15E1B">
        <w:t xml:space="preserve"> </w:t>
      </w:r>
      <w:r>
        <w:t>households</w:t>
      </w:r>
      <w:r w:rsidR="00E15E1B">
        <w:t xml:space="preserve"> </w:t>
      </w:r>
      <w:r>
        <w:t>by</w:t>
      </w:r>
      <w:r w:rsidR="00E15E1B">
        <w:t xml:space="preserve"> </w:t>
      </w:r>
      <w:r>
        <w:t>promoting</w:t>
      </w:r>
      <w:r w:rsidR="00E15E1B">
        <w:t xml:space="preserve"> </w:t>
      </w:r>
      <w:r>
        <w:t>greater</w:t>
      </w:r>
      <w:r w:rsidR="00E15E1B">
        <w:t xml:space="preserve"> </w:t>
      </w:r>
      <w:r>
        <w:t>efficiency</w:t>
      </w:r>
      <w:r w:rsidR="00E15E1B">
        <w:t xml:space="preserve"> </w:t>
      </w:r>
      <w:r>
        <w:t>and</w:t>
      </w:r>
      <w:r w:rsidR="00E15E1B">
        <w:t xml:space="preserve"> </w:t>
      </w:r>
      <w:r>
        <w:t>effectiveness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administration</w:t>
      </w:r>
      <w:r w:rsidR="00E15E1B">
        <w:t xml:space="preserve"> </w:t>
      </w:r>
      <w:r>
        <w:t>and</w:t>
      </w:r>
      <w:r w:rsidR="00E15E1B">
        <w:t xml:space="preserve"> </w:t>
      </w:r>
      <w:r>
        <w:t>enforcement</w:t>
      </w:r>
      <w:r w:rsidR="00E15E1B">
        <w:t xml:space="preserve"> </w:t>
      </w:r>
      <w:r>
        <w:t>of</w:t>
      </w:r>
      <w:r w:rsidR="00E15E1B">
        <w:t xml:space="preserve"> </w:t>
      </w:r>
      <w:r>
        <w:t>regulation.</w:t>
      </w:r>
      <w:r w:rsidR="00E15E1B">
        <w:t xml:space="preserve"> </w:t>
      </w:r>
      <w:r>
        <w:t>It</w:t>
      </w:r>
      <w:r w:rsidR="00E15E1B">
        <w:t xml:space="preserve"> </w:t>
      </w:r>
      <w:r>
        <w:t>also</w:t>
      </w:r>
      <w:r w:rsidR="00E15E1B">
        <w:t xml:space="preserve"> </w:t>
      </w:r>
      <w:r>
        <w:t>outlines</w:t>
      </w:r>
      <w:r w:rsidR="00E15E1B">
        <w:t xml:space="preserve"> </w:t>
      </w:r>
      <w:r>
        <w:t>the</w:t>
      </w:r>
      <w:r w:rsidR="00E15E1B">
        <w:t xml:space="preserve"> </w:t>
      </w:r>
      <w:r>
        <w:t>Minister’s</w:t>
      </w:r>
      <w:r w:rsidR="00E15E1B">
        <w:t xml:space="preserve"> </w:t>
      </w:r>
      <w:r>
        <w:t>expectations</w:t>
      </w:r>
      <w:r w:rsidR="00E15E1B">
        <w:t xml:space="preserve"> </w:t>
      </w:r>
      <w:r>
        <w:t>for</w:t>
      </w:r>
      <w:r w:rsidR="00E15E1B">
        <w:t xml:space="preserve"> </w:t>
      </w:r>
      <w:r>
        <w:t>broader</w:t>
      </w:r>
      <w:r w:rsidR="00E15E1B">
        <w:t xml:space="preserve"> </w:t>
      </w:r>
      <w:r>
        <w:t>improvements</w:t>
      </w:r>
      <w:r w:rsidR="00E15E1B">
        <w:t xml:space="preserve"> </w:t>
      </w:r>
      <w:r>
        <w:t>to</w:t>
      </w:r>
      <w:r w:rsidR="00E15E1B">
        <w:t xml:space="preserve"> </w:t>
      </w:r>
      <w:r>
        <w:t>our</w:t>
      </w:r>
      <w:r w:rsidR="00E15E1B">
        <w:t xml:space="preserve"> </w:t>
      </w:r>
      <w:r>
        <w:t>performance.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statement</w:t>
      </w:r>
      <w:r w:rsidR="00E15E1B">
        <w:t xml:space="preserve"> </w:t>
      </w:r>
      <w:r>
        <w:t>encouraged</w:t>
      </w:r>
      <w:r w:rsidR="00E15E1B">
        <w:t xml:space="preserve"> </w:t>
      </w:r>
      <w:r>
        <w:t>us</w:t>
      </w:r>
      <w:r w:rsidR="00E15E1B">
        <w:t xml:space="preserve"> </w:t>
      </w:r>
      <w:r>
        <w:t>to</w:t>
      </w:r>
      <w:r w:rsidR="00E15E1B">
        <w:t xml:space="preserve"> </w:t>
      </w:r>
      <w:r>
        <w:t>continue</w:t>
      </w:r>
      <w:r w:rsidR="00E15E1B">
        <w:t xml:space="preserve"> </w:t>
      </w:r>
      <w:r>
        <w:t>with</w:t>
      </w:r>
      <w:r w:rsidR="00E15E1B">
        <w:t xml:space="preserve"> </w:t>
      </w:r>
      <w:r>
        <w:t>our</w:t>
      </w:r>
      <w:r w:rsidR="00E15E1B">
        <w:t xml:space="preserve"> </w:t>
      </w:r>
      <w:r>
        <w:t>risk-based</w:t>
      </w:r>
      <w:r w:rsidR="00E15E1B">
        <w:t xml:space="preserve"> </w:t>
      </w:r>
      <w:r>
        <w:t>approach</w:t>
      </w:r>
      <w:r w:rsidR="00E15E1B">
        <w:t xml:space="preserve"> </w:t>
      </w:r>
      <w:r>
        <w:t>to</w:t>
      </w:r>
      <w:r w:rsidR="00E15E1B">
        <w:t xml:space="preserve"> </w:t>
      </w:r>
      <w:r>
        <w:t>regulation</w:t>
      </w:r>
      <w:r w:rsidR="00E15E1B">
        <w:t xml:space="preserve"> </w:t>
      </w:r>
      <w:r>
        <w:t>and</w:t>
      </w:r>
      <w:r w:rsidR="00E15E1B">
        <w:t xml:space="preserve"> </w:t>
      </w:r>
      <w:r>
        <w:t>to</w:t>
      </w:r>
      <w:r w:rsidR="00E15E1B">
        <w:t xml:space="preserve"> </w:t>
      </w:r>
      <w:r>
        <w:t>identify</w:t>
      </w:r>
      <w:r w:rsidR="00E15E1B">
        <w:t xml:space="preserve"> </w:t>
      </w:r>
      <w:r>
        <w:t>key</w:t>
      </w:r>
      <w:r w:rsidR="00E15E1B">
        <w:t xml:space="preserve"> </w:t>
      </w:r>
      <w:r>
        <w:t>areas</w:t>
      </w:r>
      <w:r w:rsidR="00E15E1B">
        <w:t xml:space="preserve"> </w:t>
      </w:r>
      <w:r>
        <w:t>of</w:t>
      </w:r>
      <w:r w:rsidR="00E15E1B">
        <w:t xml:space="preserve"> </w:t>
      </w:r>
      <w:r>
        <w:t>governance</w:t>
      </w:r>
      <w:r w:rsidR="00E15E1B">
        <w:t xml:space="preserve"> </w:t>
      </w:r>
      <w:r>
        <w:t>and</w:t>
      </w:r>
      <w:r w:rsidR="00E15E1B">
        <w:t xml:space="preserve"> </w:t>
      </w:r>
      <w:r>
        <w:t>operational</w:t>
      </w:r>
      <w:r w:rsidR="00E15E1B">
        <w:t xml:space="preserve"> </w:t>
      </w:r>
      <w:r>
        <w:t>performance</w:t>
      </w:r>
      <w:r w:rsidR="00E15E1B">
        <w:t xml:space="preserve"> </w:t>
      </w:r>
      <w:r>
        <w:t>where</w:t>
      </w:r>
      <w:r w:rsidR="00E15E1B">
        <w:t xml:space="preserve"> </w:t>
      </w:r>
      <w:r>
        <w:t>there</w:t>
      </w:r>
      <w:r w:rsidR="00E15E1B">
        <w:t xml:space="preserve"> </w:t>
      </w:r>
      <w:r>
        <w:t>are</w:t>
      </w:r>
      <w:r w:rsidR="00E15E1B">
        <w:t xml:space="preserve"> </w:t>
      </w:r>
      <w:r>
        <w:t>opportunities</w:t>
      </w:r>
      <w:r w:rsidR="00E15E1B">
        <w:t xml:space="preserve"> </w:t>
      </w:r>
      <w:r>
        <w:t>to</w:t>
      </w:r>
      <w:r w:rsidR="00E15E1B">
        <w:t xml:space="preserve"> </w:t>
      </w:r>
      <w:r>
        <w:t>make</w:t>
      </w:r>
      <w:r w:rsidR="00E15E1B">
        <w:t xml:space="preserve"> </w:t>
      </w:r>
      <w:r>
        <w:t>improvements</w:t>
      </w:r>
      <w:r w:rsidR="00E15E1B">
        <w:t xml:space="preserve"> </w:t>
      </w:r>
      <w:r>
        <w:t>that</w:t>
      </w:r>
      <w:r w:rsidR="00E15E1B">
        <w:t xml:space="preserve"> </w:t>
      </w:r>
      <w:r>
        <w:t>reduce</w:t>
      </w:r>
      <w:r w:rsidR="00E15E1B">
        <w:t xml:space="preserve"> </w:t>
      </w:r>
      <w:r>
        <w:t>the</w:t>
      </w:r>
      <w:r w:rsidR="00E15E1B">
        <w:t xml:space="preserve"> </w:t>
      </w:r>
      <w:r>
        <w:t>cost</w:t>
      </w:r>
      <w:r w:rsidR="00E15E1B">
        <w:t xml:space="preserve"> </w:t>
      </w:r>
      <w:r>
        <w:t>of</w:t>
      </w:r>
      <w:r w:rsidR="00E15E1B">
        <w:t xml:space="preserve"> </w:t>
      </w:r>
      <w:r>
        <w:t>regulation</w:t>
      </w:r>
      <w:r w:rsidR="00E15E1B">
        <w:t xml:space="preserve"> </w:t>
      </w:r>
      <w:r>
        <w:t>for</w:t>
      </w:r>
      <w:r w:rsidR="00E15E1B">
        <w:t xml:space="preserve"> </w:t>
      </w:r>
      <w:r>
        <w:t>business,</w:t>
      </w:r>
      <w:r w:rsidR="00E15E1B">
        <w:t xml:space="preserve"> </w:t>
      </w:r>
      <w:r>
        <w:t>not-for-profit</w:t>
      </w:r>
      <w:r w:rsidR="00E15E1B">
        <w:t xml:space="preserve"> </w:t>
      </w:r>
      <w:r>
        <w:t>organisations,</w:t>
      </w:r>
      <w:r w:rsidR="00E15E1B">
        <w:t xml:space="preserve"> </w:t>
      </w:r>
      <w:r>
        <w:t>government</w:t>
      </w:r>
      <w:r w:rsidR="00E15E1B">
        <w:t xml:space="preserve"> </w:t>
      </w:r>
      <w:r>
        <w:t>service</w:t>
      </w:r>
      <w:r w:rsidR="00E15E1B">
        <w:t xml:space="preserve"> </w:t>
      </w:r>
      <w:r>
        <w:t>providers</w:t>
      </w:r>
      <w:r w:rsidR="00E15E1B">
        <w:t xml:space="preserve"> </w:t>
      </w:r>
      <w:r>
        <w:t>and</w:t>
      </w:r>
      <w:r w:rsidR="00E15E1B">
        <w:t xml:space="preserve"> </w:t>
      </w:r>
      <w:r>
        <w:t>households.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projects</w:t>
      </w:r>
      <w:r w:rsidR="00E15E1B">
        <w:t xml:space="preserve"> </w:t>
      </w:r>
      <w:r>
        <w:t>identified</w:t>
      </w:r>
      <w:r w:rsidR="00E15E1B">
        <w:t xml:space="preserve"> </w:t>
      </w:r>
      <w:r>
        <w:t>as</w:t>
      </w:r>
      <w:r w:rsidR="00E15E1B">
        <w:t xml:space="preserve"> </w:t>
      </w:r>
      <w:r>
        <w:t>part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statement</w:t>
      </w:r>
      <w:r w:rsidR="00E15E1B">
        <w:t xml:space="preserve"> </w:t>
      </w:r>
      <w:r>
        <w:t>fall</w:t>
      </w:r>
      <w:r w:rsidR="00E15E1B">
        <w:t xml:space="preserve"> </w:t>
      </w:r>
      <w:r>
        <w:t>under</w:t>
      </w:r>
      <w:r w:rsidR="00E15E1B">
        <w:t xml:space="preserve"> </w:t>
      </w:r>
      <w:r>
        <w:t>three</w:t>
      </w:r>
      <w:r w:rsidR="00E15E1B">
        <w:t xml:space="preserve"> </w:t>
      </w:r>
      <w:r>
        <w:t>broad</w:t>
      </w:r>
      <w:r w:rsidR="00E15E1B">
        <w:t xml:space="preserve"> </w:t>
      </w:r>
      <w:r>
        <w:t>objectives.</w:t>
      </w:r>
    </w:p>
    <w:p w:rsidR="00156239" w:rsidRDefault="00156239" w:rsidP="00156239">
      <w:pPr>
        <w:pStyle w:val="Heading5"/>
      </w:pPr>
      <w:r>
        <w:t>Improved</w:t>
      </w:r>
      <w:r w:rsidR="00E15E1B">
        <w:t xml:space="preserve"> </w:t>
      </w:r>
      <w:r>
        <w:t>timeliness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made</w:t>
      </w:r>
      <w:r w:rsidR="00E15E1B">
        <w:t xml:space="preserve"> </w:t>
      </w:r>
      <w:r>
        <w:t>it</w:t>
      </w:r>
      <w:r w:rsidR="00E15E1B">
        <w:t xml:space="preserve"> </w:t>
      </w:r>
      <w:r>
        <w:t>easier</w:t>
      </w:r>
      <w:r w:rsidR="00E15E1B">
        <w:t xml:space="preserve"> </w:t>
      </w:r>
      <w:r>
        <w:t>for</w:t>
      </w:r>
      <w:r w:rsidR="00E15E1B">
        <w:t xml:space="preserve"> </w:t>
      </w:r>
      <w:r>
        <w:t>licensees</w:t>
      </w:r>
      <w:r w:rsidR="00E15E1B">
        <w:t xml:space="preserve"> </w:t>
      </w:r>
      <w:r>
        <w:t>and</w:t>
      </w:r>
      <w:r w:rsidR="00E15E1B">
        <w:t xml:space="preserve"> </w:t>
      </w:r>
      <w:r>
        <w:t>registrants</w:t>
      </w:r>
      <w:r w:rsidR="00E15E1B">
        <w:t xml:space="preserve"> </w:t>
      </w:r>
      <w:r>
        <w:t>to</w:t>
      </w:r>
      <w:r w:rsidR="00E15E1B">
        <w:t xml:space="preserve"> </w:t>
      </w:r>
      <w:r>
        <w:t>submit</w:t>
      </w:r>
      <w:r w:rsidR="00E15E1B">
        <w:t xml:space="preserve"> </w:t>
      </w:r>
      <w:r>
        <w:t>required</w:t>
      </w:r>
      <w:r w:rsidR="00E15E1B">
        <w:t xml:space="preserve"> </w:t>
      </w:r>
      <w:r>
        <w:t>data</w:t>
      </w:r>
      <w:r w:rsidR="00E15E1B">
        <w:t xml:space="preserve"> </w:t>
      </w:r>
      <w:r>
        <w:t>online,</w:t>
      </w:r>
      <w:r w:rsidR="00E15E1B">
        <w:t xml:space="preserve"> </w:t>
      </w:r>
      <w:r>
        <w:t>check</w:t>
      </w:r>
      <w:r w:rsidR="00E15E1B">
        <w:t xml:space="preserve"> </w:t>
      </w:r>
      <w:r>
        <w:t>their</w:t>
      </w:r>
      <w:r w:rsidR="00E15E1B">
        <w:t xml:space="preserve"> </w:t>
      </w:r>
      <w:r>
        <w:t>application</w:t>
      </w:r>
      <w:r w:rsidR="00E15E1B">
        <w:t xml:space="preserve"> </w:t>
      </w:r>
      <w:r>
        <w:t>status</w:t>
      </w:r>
      <w:r w:rsidR="00E15E1B">
        <w:t xml:space="preserve"> </w:t>
      </w:r>
      <w:r>
        <w:t>and</w:t>
      </w:r>
      <w:r w:rsidR="00E15E1B">
        <w:t xml:space="preserve"> </w:t>
      </w:r>
      <w:r>
        <w:t>remain</w:t>
      </w:r>
      <w:r w:rsidR="00E15E1B">
        <w:t xml:space="preserve"> </w:t>
      </w:r>
      <w:r>
        <w:t>compliant</w:t>
      </w:r>
      <w:r w:rsidR="00E15E1B">
        <w:t xml:space="preserve"> </w:t>
      </w:r>
      <w:r>
        <w:t>with</w:t>
      </w:r>
      <w:r w:rsidR="00E15E1B">
        <w:t xml:space="preserve"> </w:t>
      </w:r>
      <w:r>
        <w:t>their</w:t>
      </w:r>
      <w:r w:rsidR="00E15E1B">
        <w:t xml:space="preserve"> </w:t>
      </w:r>
      <w:r>
        <w:t>obligations</w:t>
      </w:r>
      <w:r w:rsidR="00E15E1B">
        <w:t xml:space="preserve"> </w:t>
      </w:r>
      <w:r>
        <w:t>through</w:t>
      </w:r>
      <w:r w:rsidR="00E15E1B">
        <w:t xml:space="preserve"> </w:t>
      </w:r>
      <w:r>
        <w:t>the</w:t>
      </w:r>
      <w:r w:rsidR="00E15E1B">
        <w:t xml:space="preserve"> </w:t>
      </w:r>
      <w:r>
        <w:t>expansion</w:t>
      </w:r>
      <w:r w:rsidR="00E15E1B">
        <w:t xml:space="preserve"> </w:t>
      </w:r>
      <w:r>
        <w:t>of</w:t>
      </w:r>
      <w:r w:rsidR="00E15E1B">
        <w:t xml:space="preserve"> </w:t>
      </w:r>
      <w:r>
        <w:t>myCAV</w:t>
      </w:r>
      <w:r w:rsidR="00E15E1B">
        <w:t xml:space="preserve"> </w:t>
      </w:r>
      <w:r>
        <w:t>for</w:t>
      </w:r>
      <w:r w:rsidR="00E15E1B">
        <w:t xml:space="preserve"> </w:t>
      </w:r>
      <w:r>
        <w:t>licensing</w:t>
      </w:r>
      <w:r w:rsidR="00E15E1B">
        <w:t xml:space="preserve"> </w:t>
      </w:r>
      <w:r>
        <w:t>and</w:t>
      </w:r>
      <w:r w:rsidR="00E15E1B">
        <w:t xml:space="preserve"> </w:t>
      </w:r>
      <w:r>
        <w:t>registration</w:t>
      </w:r>
      <w:r w:rsidR="00E15E1B">
        <w:t xml:space="preserve"> </w:t>
      </w:r>
      <w:r>
        <w:t>transactions.</w:t>
      </w:r>
      <w:r w:rsidR="00E15E1B">
        <w:t xml:space="preserve"> </w:t>
      </w:r>
      <w:r>
        <w:t>For</w:t>
      </w:r>
      <w:r w:rsidR="00E15E1B">
        <w:t xml:space="preserve"> </w:t>
      </w:r>
      <w:r>
        <w:t>more</w:t>
      </w:r>
      <w:r w:rsidR="00E15E1B">
        <w:t xml:space="preserve"> </w:t>
      </w:r>
      <w:r>
        <w:t>information,</w:t>
      </w:r>
      <w:r w:rsidR="00E15E1B">
        <w:t xml:space="preserve"> </w:t>
      </w:r>
      <w:r>
        <w:t>see</w:t>
      </w:r>
      <w:r w:rsidR="00E15E1B">
        <w:t xml:space="preserve"> </w:t>
      </w:r>
      <w:r>
        <w:t>page</w:t>
      </w:r>
      <w:r w:rsidR="00E15E1B">
        <w:t xml:space="preserve"> </w:t>
      </w:r>
      <w:r>
        <w:t>10.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identified</w:t>
      </w:r>
      <w:r w:rsidR="00E15E1B">
        <w:t xml:space="preserve"> </w:t>
      </w:r>
      <w:r>
        <w:t>opportunities</w:t>
      </w:r>
      <w:r w:rsidR="00E15E1B">
        <w:t xml:space="preserve"> </w:t>
      </w:r>
      <w:r>
        <w:t>to</w:t>
      </w:r>
      <w:r w:rsidR="00E15E1B">
        <w:t xml:space="preserve"> </w:t>
      </w:r>
      <w:r>
        <w:t>reduce</w:t>
      </w:r>
      <w:r w:rsidR="00E15E1B">
        <w:t xml:space="preserve"> </w:t>
      </w:r>
      <w:r>
        <w:t>the</w:t>
      </w:r>
      <w:r w:rsidR="00E15E1B">
        <w:t xml:space="preserve"> </w:t>
      </w:r>
      <w:r>
        <w:t>regulatory</w:t>
      </w:r>
      <w:r w:rsidR="00E15E1B">
        <w:t xml:space="preserve"> </w:t>
      </w:r>
      <w:r>
        <w:t>burden</w:t>
      </w:r>
      <w:r w:rsidR="00E15E1B">
        <w:t xml:space="preserve"> </w:t>
      </w:r>
      <w:r>
        <w:t>and</w:t>
      </w:r>
      <w:r w:rsidR="00E15E1B">
        <w:t xml:space="preserve"> </w:t>
      </w:r>
      <w:r>
        <w:t>reporting</w:t>
      </w:r>
      <w:r w:rsidR="00E15E1B">
        <w:t xml:space="preserve"> </w:t>
      </w:r>
      <w:r>
        <w:t>obligations</w:t>
      </w:r>
      <w:r w:rsidR="00E15E1B">
        <w:t xml:space="preserve"> </w:t>
      </w:r>
      <w:r>
        <w:t>of</w:t>
      </w:r>
      <w:r w:rsidR="00E15E1B">
        <w:t xml:space="preserve"> </w:t>
      </w:r>
      <w:r>
        <w:t>incorporated</w:t>
      </w:r>
      <w:r w:rsidR="00E15E1B">
        <w:t xml:space="preserve"> </w:t>
      </w:r>
      <w:r>
        <w:t>associations</w:t>
      </w:r>
      <w:r w:rsidR="00E15E1B">
        <w:t xml:space="preserve"> </w:t>
      </w:r>
      <w:r>
        <w:t>and</w:t>
      </w:r>
      <w:r w:rsidR="00E15E1B">
        <w:t xml:space="preserve"> </w:t>
      </w:r>
      <w:r>
        <w:t>fundraisers</w:t>
      </w:r>
      <w:r w:rsidR="00E15E1B">
        <w:t xml:space="preserve"> </w:t>
      </w:r>
      <w:r>
        <w:t>registered</w:t>
      </w:r>
      <w:r w:rsidR="00E15E1B">
        <w:t xml:space="preserve"> </w:t>
      </w:r>
      <w:r>
        <w:t>as</w:t>
      </w:r>
      <w:r w:rsidR="00E15E1B">
        <w:t xml:space="preserve"> </w:t>
      </w:r>
      <w:r>
        <w:t>charities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Australian</w:t>
      </w:r>
      <w:r w:rsidR="00E15E1B">
        <w:t xml:space="preserve"> </w:t>
      </w:r>
      <w:r>
        <w:t>Charities</w:t>
      </w:r>
      <w:r w:rsidR="00E15E1B">
        <w:t xml:space="preserve"> </w:t>
      </w:r>
      <w:r>
        <w:t>and</w:t>
      </w:r>
      <w:r w:rsidR="00E15E1B">
        <w:t xml:space="preserve"> </w:t>
      </w:r>
      <w:r>
        <w:t>Not-for-profits</w:t>
      </w:r>
      <w:r w:rsidR="00E15E1B">
        <w:t xml:space="preserve"> </w:t>
      </w:r>
      <w:r>
        <w:t>Commission</w:t>
      </w:r>
      <w:r w:rsidR="00E15E1B">
        <w:t xml:space="preserve"> </w:t>
      </w:r>
      <w:r>
        <w:t>and</w:t>
      </w:r>
      <w:r w:rsidR="00E15E1B">
        <w:t xml:space="preserve"> </w:t>
      </w:r>
      <w:r>
        <w:t>implement</w:t>
      </w:r>
      <w:r w:rsidR="00E15E1B">
        <w:t xml:space="preserve"> </w:t>
      </w:r>
      <w:r>
        <w:t>actions</w:t>
      </w:r>
      <w:r w:rsidR="00E15E1B">
        <w:t xml:space="preserve"> </w:t>
      </w:r>
      <w:r>
        <w:t>to</w:t>
      </w:r>
      <w:r w:rsidR="00E15E1B">
        <w:t xml:space="preserve"> </w:t>
      </w:r>
      <w:r>
        <w:t>reduce</w:t>
      </w:r>
      <w:r w:rsidR="00E15E1B">
        <w:t xml:space="preserve"> </w:t>
      </w:r>
      <w:r>
        <w:t>red</w:t>
      </w:r>
      <w:r w:rsidR="00E15E1B">
        <w:t xml:space="preserve"> </w:t>
      </w:r>
      <w:r>
        <w:t>tape.</w:t>
      </w:r>
      <w:r w:rsidR="00E15E1B">
        <w:t xml:space="preserve"> </w:t>
      </w:r>
      <w:r>
        <w:t>For</w:t>
      </w:r>
      <w:r w:rsidR="00E15E1B">
        <w:t xml:space="preserve"> </w:t>
      </w:r>
      <w:r>
        <w:t>more</w:t>
      </w:r>
      <w:r w:rsidR="00E15E1B">
        <w:t xml:space="preserve"> </w:t>
      </w:r>
      <w:r>
        <w:t>information,</w:t>
      </w:r>
      <w:r w:rsidR="00E15E1B">
        <w:t xml:space="preserve"> </w:t>
      </w:r>
      <w:r>
        <w:t>see</w:t>
      </w:r>
      <w:r w:rsidR="00E15E1B">
        <w:t xml:space="preserve"> </w:t>
      </w:r>
      <w:r>
        <w:t>page</w:t>
      </w:r>
      <w:r w:rsidR="00E15E1B">
        <w:t xml:space="preserve"> </w:t>
      </w:r>
      <w:r>
        <w:t>10.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expanded</w:t>
      </w:r>
      <w:r w:rsidR="00E15E1B">
        <w:t xml:space="preserve"> </w:t>
      </w:r>
      <w:r>
        <w:t>the</w:t>
      </w:r>
      <w:r w:rsidR="00E15E1B">
        <w:t xml:space="preserve"> </w:t>
      </w:r>
      <w:r>
        <w:t>use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Residential</w:t>
      </w:r>
      <w:r w:rsidR="00E15E1B">
        <w:t xml:space="preserve"> </w:t>
      </w:r>
      <w:r>
        <w:t>Tenancies</w:t>
      </w:r>
      <w:r w:rsidR="00E15E1B">
        <w:t xml:space="preserve"> </w:t>
      </w:r>
      <w:r>
        <w:t>Bond</w:t>
      </w:r>
      <w:r w:rsidR="00E15E1B">
        <w:t xml:space="preserve"> </w:t>
      </w:r>
      <w:r>
        <w:t>Authority’s</w:t>
      </w:r>
      <w:r w:rsidR="00E15E1B">
        <w:t xml:space="preserve"> </w:t>
      </w:r>
      <w:r>
        <w:t>(RTBA)</w:t>
      </w:r>
      <w:r w:rsidR="00E15E1B">
        <w:t xml:space="preserve"> </w:t>
      </w:r>
      <w:r>
        <w:t>electronic</w:t>
      </w:r>
      <w:r w:rsidR="00E15E1B">
        <w:t xml:space="preserve"> </w:t>
      </w:r>
      <w:r>
        <w:t>transactions</w:t>
      </w:r>
      <w:r w:rsidR="00E15E1B">
        <w:t xml:space="preserve"> </w:t>
      </w:r>
      <w:r>
        <w:t>by</w:t>
      </w:r>
      <w:r w:rsidR="00E15E1B">
        <w:t xml:space="preserve"> </w:t>
      </w:r>
      <w:r>
        <w:t>property</w:t>
      </w:r>
      <w:r w:rsidR="00E15E1B">
        <w:t xml:space="preserve"> </w:t>
      </w:r>
      <w:r>
        <w:t>managers</w:t>
      </w:r>
      <w:r w:rsidR="00E15E1B">
        <w:t xml:space="preserve"> </w:t>
      </w:r>
      <w:r>
        <w:t>(both</w:t>
      </w:r>
      <w:r w:rsidR="00E15E1B">
        <w:t xml:space="preserve"> </w:t>
      </w:r>
      <w:r>
        <w:t>licensed</w:t>
      </w:r>
      <w:r w:rsidR="00E15E1B">
        <w:t xml:space="preserve"> </w:t>
      </w:r>
      <w:r>
        <w:t>estate</w:t>
      </w:r>
      <w:r w:rsidR="00E15E1B">
        <w:t xml:space="preserve"> </w:t>
      </w:r>
      <w:r>
        <w:t>agents</w:t>
      </w:r>
      <w:r w:rsidR="00E15E1B">
        <w:t xml:space="preserve"> </w:t>
      </w:r>
      <w:r>
        <w:t>and</w:t>
      </w:r>
      <w:r w:rsidR="00E15E1B">
        <w:t xml:space="preserve"> </w:t>
      </w:r>
      <w:r>
        <w:t>private</w:t>
      </w:r>
      <w:r w:rsidR="00E15E1B">
        <w:t xml:space="preserve"> </w:t>
      </w:r>
      <w:r>
        <w:t>landlords),</w:t>
      </w:r>
      <w:r w:rsidR="00E15E1B">
        <w:t xml:space="preserve"> </w:t>
      </w:r>
      <w:r>
        <w:t>to</w:t>
      </w:r>
      <w:r w:rsidR="00E15E1B">
        <w:t xml:space="preserve"> </w:t>
      </w:r>
      <w:r>
        <w:t>make</w:t>
      </w:r>
      <w:r w:rsidR="00E15E1B">
        <w:t xml:space="preserve"> </w:t>
      </w:r>
      <w:r>
        <w:t>it</w:t>
      </w:r>
      <w:r w:rsidR="00E15E1B">
        <w:t xml:space="preserve"> </w:t>
      </w:r>
      <w:r>
        <w:t>easier</w:t>
      </w:r>
      <w:r w:rsidR="00E15E1B">
        <w:t xml:space="preserve"> </w:t>
      </w:r>
      <w:r>
        <w:t>to</w:t>
      </w:r>
      <w:r w:rsidR="00E15E1B">
        <w:t xml:space="preserve"> </w:t>
      </w:r>
      <w:r>
        <w:t>submit</w:t>
      </w:r>
      <w:r w:rsidR="00E15E1B">
        <w:t xml:space="preserve"> </w:t>
      </w:r>
      <w:r>
        <w:t>forms.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online</w:t>
      </w:r>
      <w:r w:rsidR="00E15E1B">
        <w:t xml:space="preserve"> </w:t>
      </w:r>
      <w:r>
        <w:t>service</w:t>
      </w:r>
      <w:r w:rsidR="00E15E1B">
        <w:t xml:space="preserve"> </w:t>
      </w:r>
      <w:r>
        <w:t>replaces</w:t>
      </w:r>
      <w:r w:rsidR="00E15E1B">
        <w:t xml:space="preserve"> </w:t>
      </w:r>
      <w:r>
        <w:t>five</w:t>
      </w:r>
      <w:r w:rsidR="00E15E1B">
        <w:t xml:space="preserve"> </w:t>
      </w:r>
      <w:r>
        <w:t>paper-based</w:t>
      </w:r>
      <w:r w:rsidR="00E15E1B">
        <w:t xml:space="preserve"> </w:t>
      </w:r>
      <w:r>
        <w:t>processes,</w:t>
      </w:r>
      <w:r w:rsidR="00E15E1B">
        <w:t xml:space="preserve"> </w:t>
      </w:r>
      <w:r>
        <w:t>and</w:t>
      </w:r>
      <w:r w:rsidR="00E15E1B">
        <w:t xml:space="preserve"> </w:t>
      </w:r>
      <w:r>
        <w:t>has</w:t>
      </w:r>
      <w:r w:rsidR="00E15E1B">
        <w:t xml:space="preserve"> </w:t>
      </w:r>
      <w:r>
        <w:t>been</w:t>
      </w:r>
      <w:r w:rsidR="00E15E1B">
        <w:t xml:space="preserve"> </w:t>
      </w:r>
      <w:r>
        <w:t>provided</w:t>
      </w:r>
      <w:r w:rsidR="00E15E1B">
        <w:t xml:space="preserve"> </w:t>
      </w:r>
      <w:r>
        <w:t>free</w:t>
      </w:r>
      <w:r w:rsidR="00E15E1B">
        <w:t xml:space="preserve"> </w:t>
      </w:r>
      <w:r>
        <w:t>of</w:t>
      </w:r>
      <w:r w:rsidR="00E15E1B">
        <w:t xml:space="preserve"> </w:t>
      </w:r>
      <w:r>
        <w:t>cost.</w:t>
      </w:r>
      <w:r w:rsidR="00E15E1B">
        <w:t xml:space="preserve"> </w:t>
      </w:r>
      <w:r>
        <w:t>Managers</w:t>
      </w:r>
      <w:r w:rsidR="00E15E1B">
        <w:t xml:space="preserve"> </w:t>
      </w:r>
      <w:r>
        <w:t>of</w:t>
      </w:r>
      <w:r w:rsidR="00E15E1B">
        <w:t xml:space="preserve"> </w:t>
      </w:r>
      <w:r>
        <w:t>rented</w:t>
      </w:r>
      <w:r w:rsidR="00E15E1B">
        <w:t xml:space="preserve"> </w:t>
      </w:r>
      <w:r>
        <w:t>properties</w:t>
      </w:r>
      <w:r w:rsidR="00E15E1B">
        <w:t xml:space="preserve"> </w:t>
      </w:r>
      <w:r>
        <w:t>are</w:t>
      </w:r>
      <w:r w:rsidR="00E15E1B">
        <w:t xml:space="preserve"> </w:t>
      </w:r>
      <w:r>
        <w:t>now</w:t>
      </w:r>
      <w:r w:rsidR="00E15E1B">
        <w:t xml:space="preserve"> </w:t>
      </w:r>
      <w:r>
        <w:t>able</w:t>
      </w:r>
      <w:r w:rsidR="00E15E1B">
        <w:t xml:space="preserve"> </w:t>
      </w:r>
      <w:r>
        <w:t>to</w:t>
      </w:r>
      <w:r w:rsidR="00E15E1B">
        <w:t xml:space="preserve"> </w:t>
      </w:r>
      <w:r>
        <w:t>register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RTBA</w:t>
      </w:r>
      <w:r w:rsidR="00E15E1B">
        <w:t xml:space="preserve"> </w:t>
      </w:r>
      <w:r>
        <w:t>and</w:t>
      </w:r>
      <w:r w:rsidR="00E15E1B">
        <w:t xml:space="preserve"> </w:t>
      </w:r>
      <w:r>
        <w:t>have</w:t>
      </w:r>
      <w:r w:rsidR="00E15E1B">
        <w:t xml:space="preserve"> </w:t>
      </w:r>
      <w:r>
        <w:t>a</w:t>
      </w:r>
      <w:r w:rsidR="00E15E1B">
        <w:t xml:space="preserve"> </w:t>
      </w:r>
      <w:r>
        <w:t>seamless</w:t>
      </w:r>
      <w:r w:rsidR="00E15E1B">
        <w:t xml:space="preserve"> </w:t>
      </w:r>
      <w:r>
        <w:t>experience,</w:t>
      </w:r>
      <w:r w:rsidR="00E15E1B">
        <w:t xml:space="preserve"> </w:t>
      </w:r>
      <w:r>
        <w:t>including</w:t>
      </w:r>
      <w:r w:rsidR="00E15E1B">
        <w:t xml:space="preserve"> </w:t>
      </w:r>
      <w:r>
        <w:t>electronic</w:t>
      </w:r>
      <w:r w:rsidR="00E15E1B">
        <w:t xml:space="preserve"> </w:t>
      </w:r>
      <w:r>
        <w:t>transactions.</w:t>
      </w:r>
    </w:p>
    <w:p w:rsidR="00156239" w:rsidRDefault="00156239" w:rsidP="00156239">
      <w:pPr>
        <w:pStyle w:val="Heading5"/>
      </w:pPr>
      <w:r>
        <w:lastRenderedPageBreak/>
        <w:t>Risk-based</w:t>
      </w:r>
      <w:r w:rsidR="00E15E1B">
        <w:t xml:space="preserve"> </w:t>
      </w:r>
      <w:r>
        <w:t>strategies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established</w:t>
      </w:r>
      <w:r w:rsidR="00E15E1B">
        <w:t xml:space="preserve"> </w:t>
      </w:r>
      <w:r>
        <w:t>a</w:t>
      </w:r>
      <w:r w:rsidR="00E15E1B">
        <w:t xml:space="preserve"> </w:t>
      </w:r>
      <w:r>
        <w:t>compliance</w:t>
      </w:r>
      <w:r w:rsidR="00E15E1B">
        <w:t xml:space="preserve"> </w:t>
      </w:r>
      <w:r>
        <w:t>operating</w:t>
      </w:r>
      <w:r w:rsidR="00E15E1B">
        <w:t xml:space="preserve"> </w:t>
      </w:r>
      <w:r>
        <w:t>model</w:t>
      </w:r>
      <w:r w:rsidR="00E15E1B">
        <w:t xml:space="preserve"> </w:t>
      </w:r>
      <w:r>
        <w:t>to</w:t>
      </w:r>
      <w:r w:rsidR="00E15E1B">
        <w:t xml:space="preserve"> </w:t>
      </w:r>
      <w:r>
        <w:t>ensure</w:t>
      </w:r>
      <w:r w:rsidR="00E15E1B">
        <w:t xml:space="preserve"> </w:t>
      </w:r>
      <w:r>
        <w:t>that</w:t>
      </w:r>
      <w:r w:rsidR="00E15E1B">
        <w:t xml:space="preserve"> </w:t>
      </w:r>
      <w:r>
        <w:t>risk</w:t>
      </w:r>
      <w:r w:rsidR="00E15E1B">
        <w:t xml:space="preserve"> </w:t>
      </w:r>
      <w:r>
        <w:t>is</w:t>
      </w:r>
      <w:r w:rsidR="00E15E1B">
        <w:t xml:space="preserve"> </w:t>
      </w:r>
      <w:r>
        <w:t>at</w:t>
      </w:r>
      <w:r w:rsidR="00E15E1B">
        <w:t xml:space="preserve"> </w:t>
      </w:r>
      <w:r>
        <w:t>the</w:t>
      </w:r>
      <w:r w:rsidR="00E15E1B">
        <w:t xml:space="preserve"> </w:t>
      </w:r>
      <w:r>
        <w:t>centre</w:t>
      </w:r>
      <w:r w:rsidR="00E15E1B">
        <w:t xml:space="preserve"> </w:t>
      </w:r>
      <w:r>
        <w:t>of</w:t>
      </w:r>
      <w:r w:rsidR="00E15E1B">
        <w:t xml:space="preserve"> </w:t>
      </w:r>
      <w:r>
        <w:t>compliance</w:t>
      </w:r>
      <w:r w:rsidR="00E15E1B">
        <w:t xml:space="preserve"> </w:t>
      </w:r>
      <w:r>
        <w:t>decision</w:t>
      </w:r>
      <w:r w:rsidR="00E15E1B">
        <w:t xml:space="preserve"> </w:t>
      </w:r>
      <w:r>
        <w:t>making.</w:t>
      </w:r>
      <w:r w:rsidR="00E15E1B">
        <w:t xml:space="preserve"> </w:t>
      </w:r>
      <w:r>
        <w:t>This</w:t>
      </w:r>
      <w:r w:rsidR="00E15E1B">
        <w:t xml:space="preserve"> </w:t>
      </w:r>
      <w:r>
        <w:t>involved</w:t>
      </w:r>
      <w:r w:rsidR="00E15E1B">
        <w:t xml:space="preserve"> </w:t>
      </w:r>
      <w:r>
        <w:t>strengthening</w:t>
      </w:r>
      <w:r w:rsidR="00E15E1B">
        <w:t xml:space="preserve"> </w:t>
      </w:r>
      <w:r>
        <w:t>the</w:t>
      </w:r>
      <w:r w:rsidR="00E15E1B">
        <w:t xml:space="preserve"> </w:t>
      </w:r>
      <w:r>
        <w:t>risk</w:t>
      </w:r>
      <w:r w:rsidR="00E15E1B">
        <w:t xml:space="preserve"> </w:t>
      </w:r>
      <w:r>
        <w:t>assessment</w:t>
      </w:r>
      <w:r w:rsidR="00E15E1B">
        <w:t xml:space="preserve"> </w:t>
      </w:r>
      <w:r>
        <w:t>process</w:t>
      </w:r>
      <w:r w:rsidR="00E15E1B">
        <w:t xml:space="preserve"> </w:t>
      </w:r>
      <w:r>
        <w:t>and</w:t>
      </w:r>
      <w:r w:rsidR="00E15E1B">
        <w:t xml:space="preserve"> </w:t>
      </w:r>
      <w:r>
        <w:t>enhancing</w:t>
      </w:r>
      <w:r w:rsidR="00E15E1B">
        <w:t xml:space="preserve"> </w:t>
      </w:r>
      <w:r>
        <w:t>compliance</w:t>
      </w:r>
      <w:r w:rsidR="00E15E1B">
        <w:t xml:space="preserve"> </w:t>
      </w:r>
      <w:r>
        <w:t>intelligence</w:t>
      </w:r>
      <w:r w:rsidR="00E15E1B">
        <w:t xml:space="preserve"> </w:t>
      </w:r>
      <w:r>
        <w:t>to</w:t>
      </w:r>
      <w:r w:rsidR="00E15E1B">
        <w:t xml:space="preserve"> </w:t>
      </w:r>
      <w:r>
        <w:t>inform</w:t>
      </w:r>
      <w:r w:rsidR="00E15E1B">
        <w:t xml:space="preserve"> </w:t>
      </w:r>
      <w:r>
        <w:t>inspection</w:t>
      </w:r>
      <w:r w:rsidR="00E15E1B">
        <w:t xml:space="preserve"> </w:t>
      </w:r>
      <w:r>
        <w:t>targeting.</w:t>
      </w:r>
    </w:p>
    <w:p w:rsidR="00156239" w:rsidRDefault="00156239" w:rsidP="00156239">
      <w:pPr>
        <w:pStyle w:val="BodyText"/>
      </w:pPr>
      <w:r>
        <w:t>Our</w:t>
      </w:r>
      <w:r w:rsidR="00E15E1B">
        <w:t xml:space="preserve"> </w:t>
      </w:r>
      <w:r>
        <w:t>regulatory</w:t>
      </w:r>
      <w:r w:rsidR="00E15E1B">
        <w:t xml:space="preserve"> </w:t>
      </w:r>
      <w:r>
        <w:t>approach</w:t>
      </w:r>
      <w:r w:rsidR="00E15E1B">
        <w:t xml:space="preserve"> </w:t>
      </w:r>
      <w:r>
        <w:t>enables</w:t>
      </w:r>
      <w:r w:rsidR="00E15E1B">
        <w:t xml:space="preserve"> </w:t>
      </w:r>
      <w:r>
        <w:t>us</w:t>
      </w:r>
      <w:r w:rsidR="00E15E1B">
        <w:t xml:space="preserve"> </w:t>
      </w:r>
      <w:r>
        <w:t>to</w:t>
      </w:r>
      <w:r w:rsidR="00E15E1B">
        <w:t xml:space="preserve"> </w:t>
      </w:r>
      <w:r>
        <w:t>target</w:t>
      </w:r>
      <w:r w:rsidR="00E15E1B">
        <w:t xml:space="preserve"> </w:t>
      </w:r>
      <w:r>
        <w:t>the</w:t>
      </w:r>
      <w:r w:rsidR="00E15E1B">
        <w:t xml:space="preserve"> </w:t>
      </w:r>
      <w:r>
        <w:t>conduct</w:t>
      </w:r>
      <w:r w:rsidR="00E15E1B">
        <w:t xml:space="preserve"> </w:t>
      </w:r>
      <w:r>
        <w:t>which</w:t>
      </w:r>
      <w:r w:rsidR="00E15E1B">
        <w:t xml:space="preserve"> </w:t>
      </w:r>
      <w:r>
        <w:t>poses</w:t>
      </w:r>
      <w:r w:rsidR="00E15E1B">
        <w:t xml:space="preserve"> </w:t>
      </w:r>
      <w:r>
        <w:t>the</w:t>
      </w:r>
      <w:r w:rsidR="00E15E1B">
        <w:t xml:space="preserve"> </w:t>
      </w:r>
      <w:r>
        <w:t>highest</w:t>
      </w:r>
      <w:r w:rsidR="00E15E1B">
        <w:t xml:space="preserve"> </w:t>
      </w:r>
      <w:r>
        <w:t>risk,</w:t>
      </w:r>
      <w:r w:rsidR="00E15E1B">
        <w:t xml:space="preserve"> </w:t>
      </w:r>
      <w:r>
        <w:t>making</w:t>
      </w:r>
      <w:r w:rsidR="00E15E1B">
        <w:t xml:space="preserve"> </w:t>
      </w:r>
      <w:r>
        <w:t>the</w:t>
      </w:r>
      <w:r w:rsidR="00E15E1B">
        <w:t xml:space="preserve"> </w:t>
      </w:r>
      <w:r>
        <w:t>best</w:t>
      </w:r>
      <w:r w:rsidR="00E15E1B">
        <w:t xml:space="preserve"> </w:t>
      </w:r>
      <w:r>
        <w:t>use</w:t>
      </w:r>
      <w:r w:rsidR="00E15E1B">
        <w:t xml:space="preserve"> </w:t>
      </w:r>
      <w:r>
        <w:t>of</w:t>
      </w:r>
      <w:r w:rsidR="00E15E1B">
        <w:t xml:space="preserve"> </w:t>
      </w:r>
      <w:r>
        <w:t>our</w:t>
      </w:r>
      <w:r w:rsidR="00E15E1B">
        <w:t xml:space="preserve"> </w:t>
      </w:r>
      <w:r>
        <w:t>resources.</w:t>
      </w:r>
      <w:r w:rsidR="00E15E1B">
        <w:t xml:space="preserve"> </w:t>
      </w:r>
      <w:r>
        <w:t>Our</w:t>
      </w:r>
      <w:r w:rsidR="00E15E1B">
        <w:t xml:space="preserve"> </w:t>
      </w:r>
      <w:r>
        <w:t>compliance</w:t>
      </w:r>
      <w:r w:rsidR="00E15E1B">
        <w:t xml:space="preserve"> </w:t>
      </w:r>
      <w:r>
        <w:t>operating</w:t>
      </w:r>
      <w:r w:rsidR="00E15E1B">
        <w:t xml:space="preserve"> </w:t>
      </w:r>
      <w:r>
        <w:t>model</w:t>
      </w:r>
      <w:r w:rsidR="00E15E1B">
        <w:t xml:space="preserve"> </w:t>
      </w:r>
      <w:r>
        <w:t>ensures</w:t>
      </w:r>
      <w:r w:rsidR="00E15E1B">
        <w:t xml:space="preserve"> </w:t>
      </w:r>
      <w:r>
        <w:t>that</w:t>
      </w:r>
      <w:r w:rsidR="00E15E1B">
        <w:t xml:space="preserve"> </w:t>
      </w:r>
      <w:r>
        <w:t>the</w:t>
      </w:r>
      <w:r w:rsidR="00E15E1B">
        <w:t xml:space="preserve"> </w:t>
      </w:r>
      <w:r>
        <w:t>approach</w:t>
      </w:r>
      <w:r w:rsidR="00E15E1B">
        <w:t xml:space="preserve"> </w:t>
      </w:r>
      <w:r>
        <w:t>is</w:t>
      </w:r>
      <w:r w:rsidR="00E15E1B">
        <w:t xml:space="preserve"> </w:t>
      </w:r>
      <w:r>
        <w:t>embedded</w:t>
      </w:r>
      <w:r w:rsidR="00E15E1B">
        <w:t xml:space="preserve"> </w:t>
      </w:r>
      <w:r>
        <w:t>in</w:t>
      </w:r>
      <w:r w:rsidR="00E15E1B">
        <w:t xml:space="preserve"> </w:t>
      </w:r>
      <w:r>
        <w:t>our</w:t>
      </w:r>
      <w:r w:rsidR="00E15E1B">
        <w:t xml:space="preserve"> </w:t>
      </w:r>
      <w:r>
        <w:t>day</w:t>
      </w:r>
      <w:r>
        <w:rPr>
          <w:rFonts w:ascii="MS Mincho" w:eastAsia="MS Mincho" w:hAnsi="MS Mincho" w:cs="MS Mincho" w:hint="eastAsia"/>
        </w:rPr>
        <w:t>‑</w:t>
      </w:r>
      <w:r>
        <w:t>to-day</w:t>
      </w:r>
      <w:r w:rsidR="00E15E1B">
        <w:t xml:space="preserve"> </w:t>
      </w:r>
      <w:r>
        <w:t>work.</w:t>
      </w:r>
      <w:r w:rsidR="00E15E1B">
        <w:t xml:space="preserve"> </w:t>
      </w:r>
      <w:r>
        <w:t>For</w:t>
      </w:r>
      <w:r w:rsidR="00E15E1B">
        <w:t xml:space="preserve"> </w:t>
      </w:r>
      <w:r>
        <w:t>more</w:t>
      </w:r>
      <w:r w:rsidR="00E15E1B">
        <w:t xml:space="preserve"> </w:t>
      </w:r>
      <w:r>
        <w:t>information,</w:t>
      </w:r>
      <w:r w:rsidR="00E15E1B">
        <w:t xml:space="preserve"> </w:t>
      </w:r>
      <w:r>
        <w:t>see</w:t>
      </w:r>
      <w:r w:rsidR="00E15E1B">
        <w:t xml:space="preserve"> </w:t>
      </w:r>
      <w:r>
        <w:t>page</w:t>
      </w:r>
      <w:r w:rsidR="00E15E1B">
        <w:t xml:space="preserve"> </w:t>
      </w:r>
      <w:r>
        <w:t>6.</w:t>
      </w:r>
    </w:p>
    <w:p w:rsidR="00156239" w:rsidRDefault="00156239" w:rsidP="00156239">
      <w:pPr>
        <w:pStyle w:val="Heading5"/>
      </w:pPr>
      <w:r>
        <w:t>Compliance</w:t>
      </w:r>
      <w:r w:rsidR="00E15E1B">
        <w:t xml:space="preserve"> </w:t>
      </w:r>
      <w:r>
        <w:t>information</w:t>
      </w:r>
      <w:r w:rsidR="00E15E1B">
        <w:t xml:space="preserve"> </w:t>
      </w:r>
      <w:r>
        <w:t>and</w:t>
      </w:r>
      <w:r w:rsidR="00E15E1B">
        <w:t xml:space="preserve"> </w:t>
      </w:r>
      <w:r>
        <w:t>advice</w:t>
      </w:r>
    </w:p>
    <w:p w:rsidR="00156239" w:rsidRDefault="00156239" w:rsidP="00156239">
      <w:pPr>
        <w:pStyle w:val="BodyText"/>
      </w:pPr>
      <w:r>
        <w:t>Changes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 w:rsidRPr="00E96742">
        <w:rPr>
          <w:rStyle w:val="Emphasis"/>
        </w:rPr>
        <w:t>Estate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Agents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1980</w:t>
      </w:r>
      <w:r w:rsidR="00E15E1B">
        <w:t xml:space="preserve"> </w:t>
      </w:r>
      <w:r>
        <w:t>came</w:t>
      </w:r>
      <w:r w:rsidR="00E15E1B">
        <w:t xml:space="preserve"> </w:t>
      </w:r>
      <w:r>
        <w:t>into</w:t>
      </w:r>
      <w:r w:rsidR="00E15E1B">
        <w:t xml:space="preserve"> </w:t>
      </w:r>
      <w:r>
        <w:t>effect</w:t>
      </w:r>
      <w:r w:rsidR="00E15E1B">
        <w:t xml:space="preserve"> </w:t>
      </w:r>
      <w:r>
        <w:t>on</w:t>
      </w:r>
      <w:r w:rsidR="00E15E1B">
        <w:t xml:space="preserve"> </w:t>
      </w:r>
      <w:r>
        <w:t>1</w:t>
      </w:r>
      <w:r w:rsidR="00E15E1B">
        <w:t xml:space="preserve"> </w:t>
      </w:r>
      <w:r>
        <w:t>May</w:t>
      </w:r>
      <w:r w:rsidR="00E15E1B">
        <w:t xml:space="preserve"> </w:t>
      </w:r>
      <w:r>
        <w:t>2017,</w:t>
      </w:r>
      <w:r w:rsidR="00E15E1B">
        <w:t xml:space="preserve"> </w:t>
      </w:r>
      <w:r>
        <w:t>strengthening</w:t>
      </w:r>
      <w:r w:rsidR="00E15E1B">
        <w:t xml:space="preserve"> </w:t>
      </w:r>
      <w:r>
        <w:t>laws</w:t>
      </w:r>
      <w:r w:rsidR="00E15E1B">
        <w:t xml:space="preserve"> </w:t>
      </w:r>
      <w:r>
        <w:t>against</w:t>
      </w:r>
      <w:r w:rsidR="00E15E1B">
        <w:t xml:space="preserve"> </w:t>
      </w:r>
      <w:r>
        <w:t>underquoting</w:t>
      </w:r>
      <w:r w:rsidR="00E15E1B">
        <w:t xml:space="preserve"> </w:t>
      </w:r>
      <w:r>
        <w:t>in</w:t>
      </w:r>
      <w:r w:rsidR="00E15E1B">
        <w:t xml:space="preserve"> </w:t>
      </w:r>
      <w:r>
        <w:t>Victoria.</w:t>
      </w:r>
      <w:r w:rsidR="00E15E1B">
        <w:t xml:space="preserve"> </w:t>
      </w:r>
      <w:r>
        <w:t>We</w:t>
      </w:r>
      <w:r w:rsidR="00E15E1B">
        <w:t xml:space="preserve"> </w:t>
      </w:r>
      <w:r>
        <w:t>increased</w:t>
      </w:r>
      <w:r w:rsidR="00E15E1B">
        <w:t xml:space="preserve"> </w:t>
      </w:r>
      <w:r>
        <w:t>awareness</w:t>
      </w:r>
      <w:r w:rsidR="00E15E1B">
        <w:t xml:space="preserve"> </w:t>
      </w:r>
      <w:r>
        <w:t>and</w:t>
      </w:r>
      <w:r w:rsidR="00E15E1B">
        <w:t xml:space="preserve"> </w:t>
      </w:r>
      <w:r>
        <w:t>understanding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laws</w:t>
      </w:r>
      <w:r w:rsidR="00E15E1B">
        <w:t xml:space="preserve"> </w:t>
      </w:r>
      <w:r>
        <w:t>through</w:t>
      </w:r>
      <w:r w:rsidR="00E15E1B">
        <w:t xml:space="preserve"> </w:t>
      </w:r>
      <w:r>
        <w:t>a</w:t>
      </w:r>
      <w:r w:rsidR="00E15E1B">
        <w:t xml:space="preserve"> </w:t>
      </w:r>
      <w:r>
        <w:t>campaign</w:t>
      </w:r>
      <w:r w:rsidR="00E15E1B">
        <w:t xml:space="preserve"> </w:t>
      </w:r>
      <w:r>
        <w:t>to</w:t>
      </w:r>
      <w:r w:rsidR="00E15E1B">
        <w:t xml:space="preserve"> </w:t>
      </w:r>
      <w:r>
        <w:t>inform</w:t>
      </w:r>
      <w:r w:rsidR="00E15E1B">
        <w:t xml:space="preserve"> </w:t>
      </w:r>
      <w:r>
        <w:t>the</w:t>
      </w:r>
      <w:r w:rsidR="00E15E1B">
        <w:t xml:space="preserve"> </w:t>
      </w:r>
      <w:r>
        <w:t>real</w:t>
      </w:r>
      <w:r w:rsidR="00E15E1B">
        <w:t xml:space="preserve"> </w:t>
      </w:r>
      <w:r>
        <w:t>estate</w:t>
      </w:r>
      <w:r w:rsidR="00E15E1B">
        <w:t xml:space="preserve"> </w:t>
      </w:r>
      <w:r>
        <w:t>industry</w:t>
      </w:r>
      <w:r w:rsidR="00E15E1B">
        <w:t xml:space="preserve"> </w:t>
      </w:r>
      <w:r>
        <w:t>about</w:t>
      </w:r>
      <w:r w:rsidR="00E15E1B">
        <w:t xml:space="preserve"> </w:t>
      </w:r>
      <w:r>
        <w:t>the</w:t>
      </w:r>
      <w:r w:rsidR="00E15E1B">
        <w:t xml:space="preserve"> </w:t>
      </w:r>
      <w:r>
        <w:t>legislative</w:t>
      </w:r>
      <w:r w:rsidR="00E15E1B">
        <w:t xml:space="preserve"> </w:t>
      </w:r>
      <w:r>
        <w:t>changes,</w:t>
      </w:r>
      <w:r w:rsidR="00E15E1B">
        <w:t xml:space="preserve"> </w:t>
      </w:r>
      <w:r>
        <w:t>including</w:t>
      </w:r>
      <w:r w:rsidR="00E15E1B">
        <w:t xml:space="preserve"> </w:t>
      </w:r>
      <w:r>
        <w:t>educating</w:t>
      </w:r>
      <w:r w:rsidR="00E15E1B">
        <w:t xml:space="preserve"> </w:t>
      </w:r>
      <w:r>
        <w:t>agents</w:t>
      </w:r>
      <w:r w:rsidR="00E15E1B">
        <w:t xml:space="preserve"> </w:t>
      </w:r>
      <w:r>
        <w:t>about</w:t>
      </w:r>
      <w:r w:rsidR="00E15E1B">
        <w:t xml:space="preserve"> </w:t>
      </w:r>
      <w:r>
        <w:t>their</w:t>
      </w:r>
      <w:r w:rsidR="00E15E1B">
        <w:t xml:space="preserve"> </w:t>
      </w:r>
      <w:r>
        <w:t>obligations,</w:t>
      </w:r>
      <w:r w:rsidR="00E15E1B">
        <w:t xml:space="preserve"> </w:t>
      </w:r>
      <w:r>
        <w:t>with</w:t>
      </w:r>
      <w:r w:rsidR="00E15E1B">
        <w:t xml:space="preserve"> </w:t>
      </w:r>
      <w:r>
        <w:t>the</w:t>
      </w:r>
      <w:r w:rsidR="00E15E1B">
        <w:t xml:space="preserve"> </w:t>
      </w:r>
      <w:r>
        <w:t>aim</w:t>
      </w:r>
      <w:r w:rsidR="00E15E1B">
        <w:t xml:space="preserve"> </w:t>
      </w:r>
      <w:r>
        <w:t>of</w:t>
      </w:r>
      <w:r w:rsidR="00E15E1B">
        <w:t xml:space="preserve"> </w:t>
      </w:r>
      <w:r>
        <w:t>reducing</w:t>
      </w:r>
      <w:r w:rsidR="00E15E1B">
        <w:t xml:space="preserve"> </w:t>
      </w:r>
      <w:r>
        <w:t>industry</w:t>
      </w:r>
      <w:r w:rsidR="00E15E1B">
        <w:t xml:space="preserve"> </w:t>
      </w:r>
      <w:r>
        <w:t>non-compliance.</w:t>
      </w:r>
      <w:r w:rsidR="00E15E1B">
        <w:t xml:space="preserve"> </w:t>
      </w:r>
      <w:r>
        <w:t>We</w:t>
      </w:r>
      <w:r w:rsidR="00E15E1B">
        <w:t xml:space="preserve"> </w:t>
      </w:r>
      <w:r>
        <w:t>produced</w:t>
      </w:r>
      <w:r w:rsidR="00E15E1B">
        <w:t xml:space="preserve"> </w:t>
      </w:r>
      <w:r>
        <w:t>an</w:t>
      </w:r>
      <w:r w:rsidR="00E15E1B">
        <w:t xml:space="preserve"> </w:t>
      </w:r>
      <w:r>
        <w:t>underquoting</w:t>
      </w:r>
      <w:r w:rsidR="00E15E1B">
        <w:t xml:space="preserve"> </w:t>
      </w:r>
      <w:r>
        <w:t>communications</w:t>
      </w:r>
      <w:r w:rsidR="00E15E1B">
        <w:t xml:space="preserve"> </w:t>
      </w:r>
      <w:r>
        <w:t>campaign,</w:t>
      </w:r>
      <w:r w:rsidR="00E15E1B">
        <w:t xml:space="preserve"> </w:t>
      </w:r>
      <w:r>
        <w:t>targeting</w:t>
      </w:r>
      <w:r w:rsidR="00E15E1B">
        <w:t xml:space="preserve"> </w:t>
      </w:r>
      <w:r>
        <w:t>potential</w:t>
      </w:r>
      <w:r w:rsidR="00E15E1B">
        <w:t xml:space="preserve"> </w:t>
      </w:r>
      <w:r>
        <w:t>buyers,</w:t>
      </w:r>
      <w:r w:rsidR="00E15E1B">
        <w:t xml:space="preserve"> </w:t>
      </w:r>
      <w:r>
        <w:t>to</w:t>
      </w:r>
      <w:r w:rsidR="00E15E1B">
        <w:t xml:space="preserve"> </w:t>
      </w:r>
      <w:r>
        <w:t>increase</w:t>
      </w:r>
      <w:r w:rsidR="00E15E1B">
        <w:t xml:space="preserve"> </w:t>
      </w:r>
      <w:r>
        <w:t>their</w:t>
      </w:r>
      <w:r w:rsidR="00E15E1B">
        <w:t xml:space="preserve"> </w:t>
      </w:r>
      <w:r>
        <w:t>awareness</w:t>
      </w:r>
      <w:r w:rsidR="00E15E1B">
        <w:t xml:space="preserve"> </w:t>
      </w:r>
      <w:r>
        <w:t>of</w:t>
      </w:r>
      <w:r w:rsidR="00E15E1B">
        <w:t xml:space="preserve"> </w:t>
      </w:r>
      <w:r>
        <w:t>estate</w:t>
      </w:r>
      <w:r w:rsidR="00E15E1B">
        <w:t xml:space="preserve"> </w:t>
      </w:r>
      <w:r>
        <w:t>agent</w:t>
      </w:r>
      <w:r w:rsidR="00E15E1B">
        <w:t xml:space="preserve"> </w:t>
      </w:r>
      <w:r>
        <w:t>obligations</w:t>
      </w:r>
      <w:r w:rsidR="00E15E1B">
        <w:t xml:space="preserve"> </w:t>
      </w:r>
      <w:r>
        <w:t>and</w:t>
      </w:r>
      <w:r w:rsidR="00E15E1B">
        <w:t xml:space="preserve"> </w:t>
      </w:r>
      <w:r>
        <w:t>their</w:t>
      </w:r>
      <w:r w:rsidR="00E15E1B">
        <w:t xml:space="preserve"> </w:t>
      </w:r>
      <w:r>
        <w:t>rights</w:t>
      </w:r>
      <w:r w:rsidR="00E15E1B">
        <w:t xml:space="preserve"> </w:t>
      </w:r>
      <w:r>
        <w:t>under</w:t>
      </w:r>
      <w:r w:rsidR="00E15E1B">
        <w:t xml:space="preserve"> </w:t>
      </w:r>
      <w:r>
        <w:t>the</w:t>
      </w:r>
      <w:r w:rsidR="00E15E1B">
        <w:t xml:space="preserve"> </w:t>
      </w:r>
      <w:r>
        <w:t>new</w:t>
      </w:r>
      <w:r w:rsidR="00E15E1B">
        <w:t xml:space="preserve"> </w:t>
      </w:r>
      <w:r>
        <w:t>legislation.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continued</w:t>
      </w:r>
      <w:r w:rsidR="00E15E1B">
        <w:t xml:space="preserve"> </w:t>
      </w:r>
      <w:r>
        <w:t>our</w:t>
      </w:r>
      <w:r w:rsidR="00E15E1B">
        <w:t xml:space="preserve"> </w:t>
      </w:r>
      <w:r>
        <w:t>work</w:t>
      </w:r>
      <w:r w:rsidR="00E15E1B">
        <w:t xml:space="preserve"> </w:t>
      </w:r>
      <w:r>
        <w:t>on</w:t>
      </w:r>
      <w:r w:rsidR="00E15E1B">
        <w:t xml:space="preserve"> </w:t>
      </w:r>
      <w:r>
        <w:t>our</w:t>
      </w:r>
      <w:r w:rsidR="00E15E1B">
        <w:t xml:space="preserve"> </w:t>
      </w:r>
      <w:r>
        <w:t>digital-first</w:t>
      </w:r>
      <w:r w:rsidR="00E15E1B">
        <w:t xml:space="preserve"> </w:t>
      </w:r>
      <w:r>
        <w:t>approach,</w:t>
      </w:r>
      <w:r w:rsidR="00E15E1B">
        <w:t xml:space="preserve"> </w:t>
      </w:r>
      <w:r>
        <w:t>designing</w:t>
      </w:r>
      <w:r w:rsidR="00E15E1B">
        <w:t xml:space="preserve"> </w:t>
      </w:r>
      <w:r>
        <w:t>and</w:t>
      </w:r>
      <w:r w:rsidR="00E15E1B">
        <w:t xml:space="preserve"> </w:t>
      </w:r>
      <w:r>
        <w:t>implementing</w:t>
      </w:r>
      <w:r w:rsidR="00E15E1B">
        <w:t xml:space="preserve"> </w:t>
      </w:r>
      <w:r>
        <w:t>a</w:t>
      </w:r>
      <w:r w:rsidR="00E15E1B">
        <w:t xml:space="preserve"> </w:t>
      </w:r>
      <w:r>
        <w:t>responsive</w:t>
      </w:r>
      <w:r w:rsidR="00E15E1B">
        <w:t xml:space="preserve"> </w:t>
      </w:r>
      <w:r>
        <w:t>website</w:t>
      </w:r>
      <w:r w:rsidR="00E15E1B">
        <w:t xml:space="preserve"> </w:t>
      </w:r>
      <w:r>
        <w:t>to</w:t>
      </w:r>
      <w:r w:rsidR="00E15E1B">
        <w:t xml:space="preserve"> </w:t>
      </w:r>
      <w:r>
        <w:t>engage</w:t>
      </w:r>
      <w:r w:rsidR="00E15E1B">
        <w:t xml:space="preserve"> </w:t>
      </w:r>
      <w:r>
        <w:t>and</w:t>
      </w:r>
      <w:r w:rsidR="00E15E1B">
        <w:t xml:space="preserve"> </w:t>
      </w:r>
      <w:r>
        <w:t>enable</w:t>
      </w:r>
      <w:r w:rsidR="00E15E1B">
        <w:t xml:space="preserve"> </w:t>
      </w:r>
      <w:r>
        <w:t>Victorian</w:t>
      </w:r>
      <w:r w:rsidR="00E15E1B">
        <w:t xml:space="preserve"> </w:t>
      </w:r>
      <w:r>
        <w:t>businesses</w:t>
      </w:r>
      <w:r w:rsidR="00E15E1B">
        <w:t xml:space="preserve"> </w:t>
      </w:r>
      <w:r>
        <w:t>and</w:t>
      </w:r>
      <w:r w:rsidR="00E15E1B">
        <w:t xml:space="preserve"> </w:t>
      </w:r>
      <w:r>
        <w:t>consumers</w:t>
      </w:r>
      <w:r w:rsidR="00E15E1B">
        <w:t xml:space="preserve"> </w:t>
      </w:r>
      <w:r>
        <w:t>to</w:t>
      </w:r>
      <w:r w:rsidR="00E15E1B">
        <w:t xml:space="preserve"> </w:t>
      </w:r>
      <w:r>
        <w:t>access</w:t>
      </w:r>
      <w:r w:rsidR="00E15E1B">
        <w:t xml:space="preserve"> </w:t>
      </w:r>
      <w:r>
        <w:t>easy-to-understand</w:t>
      </w:r>
      <w:r w:rsidR="00E15E1B">
        <w:t xml:space="preserve"> </w:t>
      </w:r>
      <w:r>
        <w:t>information</w:t>
      </w:r>
      <w:r w:rsidR="00E15E1B">
        <w:t xml:space="preserve"> </w:t>
      </w:r>
      <w:r>
        <w:t>on</w:t>
      </w:r>
      <w:r w:rsidR="00E15E1B">
        <w:t xml:space="preserve"> </w:t>
      </w:r>
      <w:r>
        <w:t>a</w:t>
      </w:r>
      <w:r w:rsidR="00E15E1B">
        <w:t xml:space="preserve"> </w:t>
      </w:r>
      <w:r>
        <w:t>range</w:t>
      </w:r>
      <w:r w:rsidR="00E15E1B">
        <w:t xml:space="preserve"> </w:t>
      </w:r>
      <w:r>
        <w:t>of</w:t>
      </w:r>
      <w:r w:rsidR="00E15E1B">
        <w:t xml:space="preserve"> </w:t>
      </w:r>
      <w:r>
        <w:t>devices</w:t>
      </w:r>
      <w:r w:rsidR="00E15E1B">
        <w:t xml:space="preserve"> </w:t>
      </w:r>
      <w:r>
        <w:t>and</w:t>
      </w:r>
      <w:r w:rsidR="00E15E1B">
        <w:t xml:space="preserve"> </w:t>
      </w:r>
      <w:r>
        <w:t>platforms.</w:t>
      </w:r>
      <w:r w:rsidR="00E15E1B">
        <w:t xml:space="preserve"> </w:t>
      </w:r>
      <w:r>
        <w:t>For</w:t>
      </w:r>
      <w:r w:rsidR="00E15E1B">
        <w:t xml:space="preserve"> </w:t>
      </w:r>
      <w:r>
        <w:t>more</w:t>
      </w:r>
      <w:r w:rsidR="00E15E1B">
        <w:t xml:space="preserve"> </w:t>
      </w:r>
      <w:r>
        <w:t>information,</w:t>
      </w:r>
      <w:r w:rsidR="00E15E1B">
        <w:t xml:space="preserve"> </w:t>
      </w:r>
      <w:r>
        <w:t>see</w:t>
      </w:r>
      <w:r w:rsidR="00E15E1B">
        <w:t xml:space="preserve"> </w:t>
      </w:r>
      <w:r>
        <w:t>page</w:t>
      </w:r>
      <w:r w:rsidR="00E15E1B">
        <w:t xml:space="preserve"> </w:t>
      </w:r>
      <w:r>
        <w:t>11.</w:t>
      </w:r>
    </w:p>
    <w:p w:rsidR="00156239" w:rsidRDefault="00156239" w:rsidP="00156239">
      <w:pPr>
        <w:pStyle w:val="Heading4"/>
      </w:pPr>
      <w:r>
        <w:t>Trust</w:t>
      </w:r>
      <w:r w:rsidR="00E15E1B">
        <w:t xml:space="preserve"> </w:t>
      </w:r>
      <w:r>
        <w:t>funds</w:t>
      </w:r>
      <w:r w:rsidR="00E15E1B">
        <w:t xml:space="preserve"> </w:t>
      </w:r>
      <w:r>
        <w:t>managed</w:t>
      </w:r>
      <w:r w:rsidR="00E15E1B">
        <w:t xml:space="preserve"> </w:t>
      </w:r>
      <w:r>
        <w:t>by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Victoria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manage</w:t>
      </w:r>
      <w:r w:rsidR="00E15E1B">
        <w:t xml:space="preserve"> </w:t>
      </w:r>
      <w:r>
        <w:t>eight</w:t>
      </w:r>
      <w:r w:rsidR="00E15E1B">
        <w:t xml:space="preserve"> </w:t>
      </w:r>
      <w:r>
        <w:t>funds</w:t>
      </w:r>
      <w:r w:rsidR="00E15E1B">
        <w:t xml:space="preserve"> </w:t>
      </w:r>
      <w:r>
        <w:t>established</w:t>
      </w:r>
      <w:r w:rsidR="00E15E1B">
        <w:t xml:space="preserve"> </w:t>
      </w:r>
      <w:r>
        <w:t>by</w:t>
      </w:r>
      <w:r w:rsidR="00E15E1B">
        <w:t xml:space="preserve"> </w:t>
      </w:r>
      <w:r>
        <w:t>Acts</w:t>
      </w:r>
      <w:r w:rsidR="00E15E1B">
        <w:t xml:space="preserve"> </w:t>
      </w:r>
      <w:r>
        <w:t>of</w:t>
      </w:r>
      <w:r w:rsidR="00E15E1B">
        <w:t xml:space="preserve"> </w:t>
      </w:r>
      <w:r>
        <w:t>Parliament.</w:t>
      </w:r>
      <w:r w:rsidR="00E15E1B">
        <w:t xml:space="preserve"> </w:t>
      </w:r>
      <w:r>
        <w:t>The</w:t>
      </w:r>
      <w:r w:rsidR="00E15E1B">
        <w:t xml:space="preserve"> </w:t>
      </w:r>
      <w:r>
        <w:t>funds,</w:t>
      </w:r>
      <w:r w:rsidR="00E15E1B">
        <w:t xml:space="preserve"> </w:t>
      </w:r>
      <w:r>
        <w:t>and</w:t>
      </w:r>
      <w:r w:rsidR="00E15E1B">
        <w:t xml:space="preserve"> </w:t>
      </w:r>
      <w:r>
        <w:t>their</w:t>
      </w:r>
      <w:r w:rsidR="00E15E1B">
        <w:t xml:space="preserve"> </w:t>
      </w:r>
      <w:r>
        <w:t>expenditure</w:t>
      </w:r>
      <w:r w:rsidR="00E15E1B">
        <w:t xml:space="preserve"> </w:t>
      </w:r>
      <w:r>
        <w:t>purpose,</w:t>
      </w:r>
      <w:r w:rsidR="00E15E1B">
        <w:t xml:space="preserve"> </w:t>
      </w:r>
      <w:r>
        <w:t>are</w:t>
      </w:r>
      <w:r w:rsidR="00E15E1B">
        <w:t xml:space="preserve"> </w:t>
      </w:r>
      <w:r>
        <w:t>reflected</w:t>
      </w:r>
      <w:r w:rsidR="00E15E1B">
        <w:t xml:space="preserve"> </w:t>
      </w:r>
      <w:r>
        <w:t>in</w:t>
      </w:r>
      <w:r w:rsidR="00E15E1B">
        <w:t xml:space="preserve"> </w:t>
      </w:r>
      <w:r>
        <w:t>Table</w:t>
      </w:r>
      <w:r w:rsidR="00E15E1B">
        <w:t xml:space="preserve"> </w:t>
      </w:r>
      <w:r>
        <w:t>8.</w:t>
      </w:r>
    </w:p>
    <w:p w:rsidR="00156239" w:rsidRDefault="00156239" w:rsidP="00156239">
      <w:pPr>
        <w:pStyle w:val="Caption"/>
      </w:pPr>
      <w:r>
        <w:t>Table</w:t>
      </w:r>
      <w:r w:rsidR="00E15E1B">
        <w:t xml:space="preserve"> </w:t>
      </w:r>
      <w:r>
        <w:t>8:</w:t>
      </w:r>
      <w:r w:rsidR="00E15E1B">
        <w:t xml:space="preserve"> </w:t>
      </w:r>
      <w:r>
        <w:t>Trust</w:t>
      </w:r>
      <w:r w:rsidR="00E15E1B">
        <w:t xml:space="preserve"> </w:t>
      </w:r>
      <w:r>
        <w:t>funds</w:t>
      </w:r>
      <w:r w:rsidR="00E15E1B">
        <w:t xml:space="preserve"> </w:t>
      </w:r>
      <w:r>
        <w:t>administered</w:t>
      </w:r>
      <w:r w:rsidR="00E15E1B">
        <w:t xml:space="preserve"> </w:t>
      </w:r>
      <w:r>
        <w:t>by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Victoria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2675"/>
        <w:gridCol w:w="6397"/>
      </w:tblGrid>
      <w:tr w:rsidR="00156239" w:rsidRPr="00F41A61" w:rsidTr="00104254">
        <w:trPr>
          <w:trHeight w:val="60"/>
          <w:tblHeader/>
        </w:trPr>
        <w:tc>
          <w:tcPr>
            <w:tcW w:w="2835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Trust</w:t>
            </w:r>
            <w:r w:rsidR="00E15E1B">
              <w:t xml:space="preserve"> </w:t>
            </w:r>
            <w:r>
              <w:t>fund</w:t>
            </w:r>
          </w:p>
        </w:tc>
        <w:tc>
          <w:tcPr>
            <w:tcW w:w="6803" w:type="dxa"/>
            <w:tcBorders>
              <w:lef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Expenditure</w:t>
            </w:r>
            <w:r w:rsidR="00E15E1B">
              <w:t xml:space="preserve"> </w:t>
            </w:r>
            <w:r>
              <w:t>includes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Domestic</w:t>
            </w:r>
            <w:r w:rsidR="00E15E1B">
              <w:t xml:space="preserve"> </w:t>
            </w:r>
            <w:r>
              <w:t>Builders</w:t>
            </w:r>
            <w:r w:rsidR="00E15E1B">
              <w:t xml:space="preserve"> </w:t>
            </w:r>
            <w:r>
              <w:t>Fund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Administration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 w:rsidRPr="00E96742">
              <w:rPr>
                <w:rStyle w:val="Emphasis"/>
              </w:rPr>
              <w:t>Domestic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Building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Contracts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1995</w:t>
            </w:r>
            <w:r>
              <w:t>,</w:t>
            </w:r>
            <w:r w:rsidR="00E15E1B">
              <w:t xml:space="preserve"> </w:t>
            </w:r>
            <w:r>
              <w:t>costs</w:t>
            </w:r>
            <w:r w:rsidR="00E15E1B">
              <w:t xml:space="preserve"> </w:t>
            </w:r>
            <w:r>
              <w:t>relating</w:t>
            </w:r>
            <w:r w:rsidR="00E15E1B">
              <w:t xml:space="preserve"> </w:t>
            </w:r>
            <w:r>
              <w:t>to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>
              <w:t>VCAT</w:t>
            </w:r>
            <w:r w:rsidR="00E15E1B">
              <w:t xml:space="preserve"> </w:t>
            </w:r>
            <w:r>
              <w:t>Domestic</w:t>
            </w:r>
            <w:r w:rsidR="00E15E1B">
              <w:t xml:space="preserve"> </w:t>
            </w:r>
            <w:r>
              <w:t>Building</w:t>
            </w:r>
            <w:r w:rsidR="00E15E1B">
              <w:t xml:space="preserve"> </w:t>
            </w:r>
            <w:r>
              <w:t>List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Domestic</w:t>
            </w:r>
            <w:r w:rsidR="00E15E1B">
              <w:t xml:space="preserve"> </w:t>
            </w:r>
            <w:r>
              <w:t>Building</w:t>
            </w:r>
            <w:r w:rsidR="00E15E1B">
              <w:t xml:space="preserve"> </w:t>
            </w:r>
            <w:r>
              <w:t>Dispute</w:t>
            </w:r>
            <w:r w:rsidR="00E15E1B">
              <w:t xml:space="preserve"> </w:t>
            </w:r>
            <w:r>
              <w:t>Resolution</w:t>
            </w:r>
            <w:r w:rsidR="00E15E1B">
              <w:t xml:space="preserve"> </w:t>
            </w:r>
            <w:r>
              <w:t>Victoria.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Motor</w:t>
            </w:r>
            <w:r w:rsidR="00E15E1B">
              <w:t xml:space="preserve"> </w:t>
            </w:r>
            <w:r>
              <w:t>Car</w:t>
            </w:r>
            <w:r w:rsidR="00E15E1B">
              <w:t xml:space="preserve"> </w:t>
            </w:r>
            <w:r>
              <w:t>Traders</w:t>
            </w:r>
            <w:r w:rsidR="00E15E1B">
              <w:t xml:space="preserve"> </w:t>
            </w:r>
            <w:r>
              <w:t>Guarantee</w:t>
            </w:r>
            <w:r w:rsidR="00E15E1B">
              <w:t xml:space="preserve"> </w:t>
            </w:r>
            <w:r>
              <w:t>Fund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Administration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 w:rsidRPr="00E96742">
              <w:rPr>
                <w:rStyle w:val="Emphasis"/>
              </w:rPr>
              <w:t>Motor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Car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Traders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1986</w:t>
            </w:r>
            <w:r>
              <w:t>,</w:t>
            </w:r>
            <w:r w:rsidR="00E15E1B">
              <w:t xml:space="preserve"> </w:t>
            </w:r>
            <w:r>
              <w:t>guarantee</w:t>
            </w:r>
            <w:r w:rsidR="00E15E1B">
              <w:t xml:space="preserve"> </w:t>
            </w:r>
            <w:r>
              <w:t>fund</w:t>
            </w:r>
            <w:r w:rsidR="00E15E1B">
              <w:t xml:space="preserve"> </w:t>
            </w:r>
            <w:r>
              <w:t>claims.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Residential</w:t>
            </w:r>
            <w:r w:rsidR="00E15E1B">
              <w:t xml:space="preserve"> </w:t>
            </w:r>
            <w:r>
              <w:t>Bonds</w:t>
            </w:r>
            <w:r w:rsidR="00E15E1B">
              <w:t xml:space="preserve"> </w:t>
            </w:r>
            <w:r>
              <w:t>Investment</w:t>
            </w:r>
            <w:r w:rsidR="00E15E1B">
              <w:t xml:space="preserve"> </w:t>
            </w:r>
            <w:r>
              <w:t>Income</w:t>
            </w:r>
            <w:r w:rsidR="00E15E1B">
              <w:t xml:space="preserve"> </w:t>
            </w:r>
            <w:r>
              <w:t>Account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Administration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>
              <w:t>Residential</w:t>
            </w:r>
            <w:r w:rsidR="00E15E1B">
              <w:t xml:space="preserve"> </w:t>
            </w:r>
            <w:r>
              <w:t>Tenancies</w:t>
            </w:r>
            <w:r w:rsidR="00E15E1B">
              <w:t xml:space="preserve"> </w:t>
            </w:r>
            <w:r>
              <w:t>Bond</w:t>
            </w:r>
            <w:r w:rsidR="00E15E1B">
              <w:t xml:space="preserve"> </w:t>
            </w:r>
            <w:r>
              <w:t>Authority.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Residential</w:t>
            </w:r>
            <w:r w:rsidR="00E15E1B">
              <w:t xml:space="preserve"> </w:t>
            </w:r>
            <w:r>
              <w:t>Bonds</w:t>
            </w:r>
            <w:r w:rsidR="00E15E1B">
              <w:t xml:space="preserve"> </w:t>
            </w:r>
            <w:r>
              <w:t>Account</w:t>
            </w:r>
            <w:r w:rsidR="00E15E1B">
              <w:t xml:space="preserve"> 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Bonds</w:t>
            </w:r>
            <w:r w:rsidR="00E15E1B">
              <w:t xml:space="preserve"> </w:t>
            </w:r>
            <w:r>
              <w:t>held</w:t>
            </w:r>
            <w:r w:rsidR="00E15E1B">
              <w:t xml:space="preserve"> </w:t>
            </w:r>
            <w:r>
              <w:t>on</w:t>
            </w:r>
            <w:r w:rsidR="00E15E1B">
              <w:t xml:space="preserve"> </w:t>
            </w:r>
            <w:r>
              <w:t>trust,</w:t>
            </w:r>
            <w:r w:rsidR="00E15E1B">
              <w:t xml:space="preserve"> </w:t>
            </w:r>
            <w:r>
              <w:t>repayment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bonds.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Residential</w:t>
            </w:r>
            <w:r w:rsidR="00E15E1B">
              <w:t xml:space="preserve"> </w:t>
            </w:r>
            <w:r>
              <w:t>Tenancies</w:t>
            </w:r>
            <w:r w:rsidR="00E15E1B">
              <w:t xml:space="preserve"> </w:t>
            </w:r>
            <w:r>
              <w:t>Fund</w:t>
            </w:r>
            <w:r w:rsidR="00E15E1B">
              <w:t xml:space="preserve"> 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Administration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 w:rsidRPr="00E96742">
              <w:rPr>
                <w:rStyle w:val="Emphasis"/>
              </w:rPr>
              <w:t>Residential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Tenancies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1997</w:t>
            </w:r>
            <w:r>
              <w:t>,</w:t>
            </w:r>
            <w:r w:rsidR="00E15E1B">
              <w:t xml:space="preserve"> </w:t>
            </w:r>
            <w:r>
              <w:t>costs</w:t>
            </w:r>
            <w:r w:rsidR="00E15E1B">
              <w:t xml:space="preserve"> </w:t>
            </w:r>
            <w:r>
              <w:t>relating</w:t>
            </w:r>
            <w:r w:rsidR="00E15E1B">
              <w:t xml:space="preserve"> </w:t>
            </w:r>
            <w:r>
              <w:t>to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>
              <w:t>VCAT</w:t>
            </w:r>
            <w:r w:rsidR="00E15E1B">
              <w:t xml:space="preserve"> </w:t>
            </w:r>
            <w:r>
              <w:t>Residential</w:t>
            </w:r>
            <w:r w:rsidR="00E15E1B">
              <w:t xml:space="preserve"> </w:t>
            </w:r>
            <w:r>
              <w:t>Tenancies</w:t>
            </w:r>
            <w:r w:rsidR="00E15E1B">
              <w:t xml:space="preserve"> </w:t>
            </w:r>
            <w:r>
              <w:t>List.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Sex</w:t>
            </w:r>
            <w:r w:rsidR="00E15E1B">
              <w:t xml:space="preserve"> </w:t>
            </w:r>
            <w:r>
              <w:t>Work</w:t>
            </w:r>
            <w:r w:rsidR="00E15E1B">
              <w:t xml:space="preserve"> </w:t>
            </w:r>
            <w:r>
              <w:t>Regulation</w:t>
            </w:r>
            <w:r w:rsidR="00E15E1B">
              <w:t xml:space="preserve"> </w:t>
            </w:r>
            <w:r>
              <w:t>Fund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Administration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 w:rsidRPr="00E96742">
              <w:rPr>
                <w:rStyle w:val="Emphasis"/>
              </w:rPr>
              <w:t>Sex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Work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1994</w:t>
            </w:r>
            <w:r>
              <w:t>.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Victorian</w:t>
            </w:r>
            <w:r w:rsidR="00E15E1B">
              <w:t xml:space="preserve"> </w:t>
            </w:r>
            <w:r>
              <w:t>Consumer</w:t>
            </w:r>
            <w:r w:rsidR="00E15E1B">
              <w:t xml:space="preserve"> </w:t>
            </w:r>
            <w:r>
              <w:t>Law</w:t>
            </w:r>
            <w:r w:rsidR="00E15E1B">
              <w:t xml:space="preserve"> </w:t>
            </w:r>
            <w:r>
              <w:t>Fund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Administration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 w:rsidRPr="00E96742">
              <w:rPr>
                <w:rStyle w:val="Emphasis"/>
              </w:rPr>
              <w:t>Australian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Consumer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Law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and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Fair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Trading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2012</w:t>
            </w:r>
            <w:r w:rsidR="00E15E1B">
              <w:t xml:space="preserve"> </w:t>
            </w:r>
            <w:r>
              <w:t>Part</w:t>
            </w:r>
            <w:r w:rsidR="00E15E1B">
              <w:t xml:space="preserve"> </w:t>
            </w:r>
            <w:r>
              <w:t>7,</w:t>
            </w:r>
            <w:r w:rsidR="00E15E1B">
              <w:t xml:space="preserve"> </w:t>
            </w:r>
            <w:r>
              <w:t>Division</w:t>
            </w:r>
            <w:r w:rsidR="00E15E1B">
              <w:t xml:space="preserve"> </w:t>
            </w:r>
            <w:r>
              <w:t>2,</w:t>
            </w:r>
            <w:r w:rsidR="00E15E1B">
              <w:t xml:space="preserve"> </w:t>
            </w:r>
            <w:r>
              <w:t>s.102A</w:t>
            </w:r>
            <w:r w:rsidR="00E15E1B">
              <w:t xml:space="preserve"> </w:t>
            </w:r>
            <w:r>
              <w:t>to</w:t>
            </w:r>
            <w:r w:rsidR="00E15E1B">
              <w:t xml:space="preserve"> </w:t>
            </w:r>
            <w:r>
              <w:t>E,</w:t>
            </w:r>
            <w:r w:rsidR="00E15E1B">
              <w:t xml:space="preserve"> </w:t>
            </w:r>
            <w:r>
              <w:t>orders</w:t>
            </w:r>
            <w:r w:rsidR="00E15E1B">
              <w:t xml:space="preserve"> </w:t>
            </w:r>
            <w:r>
              <w:t>for</w:t>
            </w:r>
            <w:r w:rsidR="00E15E1B">
              <w:t xml:space="preserve"> </w:t>
            </w:r>
            <w:r>
              <w:t>payment</w:t>
            </w:r>
            <w:r w:rsidR="00E15E1B">
              <w:t xml:space="preserve"> </w:t>
            </w:r>
            <w:r>
              <w:t>to</w:t>
            </w:r>
            <w:r w:rsidR="00E15E1B">
              <w:t xml:space="preserve"> </w:t>
            </w:r>
            <w:r>
              <w:t>non-party</w:t>
            </w:r>
            <w:r w:rsidR="00E15E1B">
              <w:t xml:space="preserve"> </w:t>
            </w:r>
            <w:r>
              <w:t>consumers,</w:t>
            </w:r>
            <w:r w:rsidR="00E15E1B">
              <w:t xml:space="preserve"> </w:t>
            </w:r>
            <w:r>
              <w:t>special</w:t>
            </w:r>
            <w:r w:rsidR="00E15E1B">
              <w:t xml:space="preserve"> </w:t>
            </w:r>
            <w:r>
              <w:t>purpose</w:t>
            </w:r>
            <w:r w:rsidR="00E15E1B">
              <w:t xml:space="preserve"> </w:t>
            </w:r>
            <w:r>
              <w:t>grants.</w:t>
            </w:r>
          </w:p>
        </w:tc>
      </w:tr>
      <w:tr w:rsidR="00156239" w:rsidRPr="00F41A61" w:rsidTr="00104254">
        <w:trPr>
          <w:trHeight w:val="60"/>
        </w:trPr>
        <w:tc>
          <w:tcPr>
            <w:tcW w:w="2835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Victorian</w:t>
            </w:r>
            <w:r w:rsidR="00E15E1B">
              <w:t xml:space="preserve"> </w:t>
            </w:r>
            <w:r>
              <w:t>Property</w:t>
            </w:r>
            <w:r w:rsidR="00E15E1B">
              <w:t xml:space="preserve"> </w:t>
            </w:r>
            <w:r>
              <w:t>Fund</w:t>
            </w:r>
          </w:p>
        </w:tc>
        <w:tc>
          <w:tcPr>
            <w:tcW w:w="6803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Administration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 w:rsidRPr="00E96742">
              <w:rPr>
                <w:rStyle w:val="Emphasis"/>
              </w:rPr>
              <w:t>Estate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Agents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Act</w:t>
            </w:r>
            <w:r w:rsidR="00E15E1B">
              <w:rPr>
                <w:rStyle w:val="Emphasis"/>
              </w:rPr>
              <w:t xml:space="preserve"> </w:t>
            </w:r>
            <w:r w:rsidRPr="00E96742">
              <w:rPr>
                <w:rStyle w:val="Emphasis"/>
              </w:rPr>
              <w:t>1980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other</w:t>
            </w:r>
            <w:r w:rsidR="00E15E1B">
              <w:t xml:space="preserve"> </w:t>
            </w:r>
            <w:r>
              <w:t>real</w:t>
            </w:r>
            <w:r w:rsidR="00E15E1B">
              <w:t xml:space="preserve"> </w:t>
            </w:r>
            <w:r>
              <w:t>estate</w:t>
            </w:r>
            <w:r w:rsidR="00E15E1B">
              <w:t xml:space="preserve"> </w:t>
            </w:r>
            <w:r>
              <w:t>related</w:t>
            </w:r>
            <w:r w:rsidR="00E15E1B">
              <w:t xml:space="preserve"> </w:t>
            </w:r>
            <w:r>
              <w:t>legislation</w:t>
            </w:r>
            <w:r w:rsidR="00E15E1B">
              <w:t xml:space="preserve"> </w:t>
            </w:r>
            <w:r>
              <w:t>as</w:t>
            </w:r>
            <w:r w:rsidR="00E15E1B">
              <w:t xml:space="preserve"> </w:t>
            </w:r>
            <w:r>
              <w:t>permitted</w:t>
            </w:r>
            <w:r w:rsidR="00E15E1B">
              <w:t xml:space="preserve"> </w:t>
            </w:r>
            <w:r>
              <w:t>by</w:t>
            </w:r>
            <w:r w:rsidR="00E15E1B">
              <w:t xml:space="preserve"> </w:t>
            </w:r>
            <w:r>
              <w:t>s.75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>
              <w:t>Act,</w:t>
            </w:r>
            <w:r w:rsidR="00E15E1B">
              <w:t xml:space="preserve"> </w:t>
            </w:r>
            <w:r>
              <w:t>grants</w:t>
            </w:r>
            <w:r w:rsidR="00E15E1B">
              <w:t xml:space="preserve"> </w:t>
            </w:r>
            <w:r>
              <w:t>relating</w:t>
            </w:r>
            <w:r w:rsidR="00E15E1B">
              <w:t xml:space="preserve"> </w:t>
            </w:r>
            <w:r>
              <w:t>to</w:t>
            </w:r>
            <w:r w:rsidR="00E15E1B">
              <w:t xml:space="preserve"> </w:t>
            </w:r>
            <w:r>
              <w:t>property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as</w:t>
            </w:r>
            <w:r w:rsidR="00E15E1B">
              <w:t xml:space="preserve"> </w:t>
            </w:r>
            <w:r>
              <w:t>permitted</w:t>
            </w:r>
            <w:r w:rsidR="00E15E1B">
              <w:t xml:space="preserve"> </w:t>
            </w:r>
            <w:r>
              <w:t>by</w:t>
            </w:r>
            <w:r w:rsidR="00E15E1B">
              <w:t xml:space="preserve"> </w:t>
            </w:r>
            <w:r>
              <w:t>s.76(3)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>
              <w:t>Act,</w:t>
            </w:r>
            <w:r w:rsidR="00E15E1B">
              <w:t xml:space="preserve"> </w:t>
            </w:r>
            <w:r>
              <w:t>operation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>
              <w:t>Estate</w:t>
            </w:r>
            <w:r w:rsidR="00E15E1B">
              <w:t xml:space="preserve"> </w:t>
            </w:r>
            <w:r>
              <w:t>Agents</w:t>
            </w:r>
            <w:r w:rsidR="00E15E1B">
              <w:t xml:space="preserve"> </w:t>
            </w:r>
            <w:r>
              <w:t>Council,</w:t>
            </w:r>
            <w:r w:rsidR="00E15E1B">
              <w:t xml:space="preserve"> </w:t>
            </w:r>
            <w:r>
              <w:t>trust</w:t>
            </w:r>
            <w:r w:rsidR="00E15E1B">
              <w:t xml:space="preserve"> </w:t>
            </w:r>
            <w:r>
              <w:t>fund</w:t>
            </w:r>
            <w:r w:rsidR="00E15E1B">
              <w:t xml:space="preserve"> </w:t>
            </w:r>
            <w:r>
              <w:t>claims,</w:t>
            </w:r>
            <w:r w:rsidR="00E15E1B">
              <w:t xml:space="preserve"> </w:t>
            </w:r>
            <w:r>
              <w:t>costs</w:t>
            </w:r>
            <w:r w:rsidR="00E15E1B">
              <w:t xml:space="preserve"> </w:t>
            </w:r>
            <w:r>
              <w:t>relating</w:t>
            </w:r>
            <w:r w:rsidR="00E15E1B">
              <w:t xml:space="preserve"> </w:t>
            </w:r>
            <w:r>
              <w:t>to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>
              <w:t>VCAT</w:t>
            </w:r>
            <w:r w:rsidR="00E15E1B">
              <w:t xml:space="preserve"> </w:t>
            </w:r>
            <w:r>
              <w:t>Owners</w:t>
            </w:r>
            <w:r w:rsidR="00E15E1B">
              <w:t xml:space="preserve"> </w:t>
            </w:r>
            <w:r>
              <w:t>Corporation</w:t>
            </w:r>
            <w:r w:rsidR="00E15E1B">
              <w:t xml:space="preserve"> </w:t>
            </w:r>
            <w:r>
              <w:t>List.</w:t>
            </w:r>
          </w:p>
        </w:tc>
      </w:tr>
    </w:tbl>
    <w:p w:rsidR="00156239" w:rsidRDefault="00156239" w:rsidP="00156239">
      <w:pPr>
        <w:pStyle w:val="Heading4"/>
      </w:pPr>
      <w:r>
        <w:lastRenderedPageBreak/>
        <w:t>Grants</w:t>
      </w:r>
      <w:r w:rsidR="00E15E1B">
        <w:t xml:space="preserve"> </w:t>
      </w:r>
      <w:r>
        <w:t>from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Property</w:t>
      </w:r>
      <w:r w:rsidR="00E15E1B">
        <w:t xml:space="preserve"> </w:t>
      </w:r>
      <w:r>
        <w:t>Fund</w:t>
      </w:r>
      <w:r w:rsidR="00E15E1B">
        <w:t xml:space="preserve"> </w:t>
      </w:r>
      <w:r>
        <w:t>in</w:t>
      </w:r>
      <w:r w:rsidR="00E15E1B">
        <w:t xml:space="preserve"> </w:t>
      </w:r>
      <w:r>
        <w:t>2017–18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 w:rsidRPr="00E96742">
        <w:rPr>
          <w:rStyle w:val="Emphasis"/>
        </w:rPr>
        <w:t>Estate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Agents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1980</w:t>
      </w:r>
      <w:r w:rsidR="00E15E1B">
        <w:t xml:space="preserve"> </w:t>
      </w:r>
      <w:r>
        <w:t>allows</w:t>
      </w:r>
      <w:r w:rsidR="00E15E1B">
        <w:t xml:space="preserve"> </w:t>
      </w:r>
      <w:r>
        <w:t>the</w:t>
      </w:r>
      <w:r w:rsidR="00E15E1B">
        <w:t xml:space="preserve"> </w:t>
      </w:r>
      <w:r>
        <w:t>Minister</w:t>
      </w:r>
      <w:r w:rsidR="00E15E1B">
        <w:t xml:space="preserve"> </w:t>
      </w:r>
      <w:r>
        <w:t>for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to</w:t>
      </w:r>
      <w:r w:rsidR="00E15E1B">
        <w:t xml:space="preserve"> </w:t>
      </w:r>
      <w:r>
        <w:t>make</w:t>
      </w:r>
      <w:r w:rsidR="00E15E1B">
        <w:t xml:space="preserve"> </w:t>
      </w:r>
      <w:r>
        <w:t>grants</w:t>
      </w:r>
      <w:r w:rsidR="00E15E1B">
        <w:t xml:space="preserve"> </w:t>
      </w:r>
      <w:r>
        <w:t>from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Property</w:t>
      </w:r>
      <w:r w:rsidR="00E15E1B">
        <w:t xml:space="preserve"> </w:t>
      </w:r>
      <w:r>
        <w:t>Fund</w:t>
      </w:r>
      <w:r w:rsidR="00E15E1B">
        <w:t xml:space="preserve"> </w:t>
      </w:r>
      <w:r>
        <w:t>(VPF)</w:t>
      </w:r>
      <w:r w:rsidR="00E15E1B">
        <w:t xml:space="preserve"> </w:t>
      </w:r>
      <w:r>
        <w:t>for</w:t>
      </w:r>
      <w:r w:rsidR="00E15E1B">
        <w:t xml:space="preserve"> </w:t>
      </w:r>
      <w:r>
        <w:t>the</w:t>
      </w:r>
      <w:r w:rsidR="00E15E1B">
        <w:t xml:space="preserve"> </w:t>
      </w:r>
      <w:r>
        <w:t>purposes</w:t>
      </w:r>
      <w:r w:rsidR="00E15E1B">
        <w:t xml:space="preserve"> </w:t>
      </w:r>
      <w:r>
        <w:t>specified</w:t>
      </w:r>
      <w:r w:rsidR="00E15E1B">
        <w:t xml:space="preserve"> </w:t>
      </w:r>
      <w:r>
        <w:t>in</w:t>
      </w:r>
      <w:r w:rsidR="00E15E1B">
        <w:t xml:space="preserve"> </w:t>
      </w:r>
      <w:r>
        <w:t>section</w:t>
      </w:r>
      <w:r w:rsidR="00E15E1B">
        <w:t xml:space="preserve"> </w:t>
      </w:r>
      <w:r>
        <w:t>76(3)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Act.</w:t>
      </w:r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Minister</w:t>
      </w:r>
      <w:r w:rsidR="00E15E1B">
        <w:t xml:space="preserve"> </w:t>
      </w:r>
      <w:r>
        <w:t>makes</w:t>
      </w:r>
      <w:r w:rsidR="00E15E1B">
        <w:t xml:space="preserve"> </w:t>
      </w:r>
      <w:r>
        <w:t>her</w:t>
      </w:r>
      <w:r w:rsidR="00E15E1B">
        <w:t xml:space="preserve"> </w:t>
      </w:r>
      <w:r>
        <w:t>decision</w:t>
      </w:r>
      <w:r w:rsidR="00E15E1B">
        <w:t xml:space="preserve"> </w:t>
      </w:r>
      <w:r>
        <w:t>on</w:t>
      </w:r>
      <w:r w:rsidR="00E15E1B">
        <w:t xml:space="preserve"> </w:t>
      </w:r>
      <w:r>
        <w:t>grants</w:t>
      </w:r>
      <w:r w:rsidR="00E15E1B">
        <w:t xml:space="preserve"> </w:t>
      </w:r>
      <w:r>
        <w:t>after</w:t>
      </w:r>
      <w:r w:rsidR="00E15E1B">
        <w:t xml:space="preserve"> </w:t>
      </w:r>
      <w:r>
        <w:t>consultation</w:t>
      </w:r>
      <w:r w:rsidR="00E15E1B">
        <w:t xml:space="preserve"> </w:t>
      </w:r>
      <w:r>
        <w:t>with</w:t>
      </w:r>
      <w:r w:rsidR="00E15E1B">
        <w:t xml:space="preserve"> </w:t>
      </w:r>
      <w:r>
        <w:t>CAV,</w:t>
      </w:r>
      <w:r w:rsidR="00E15E1B">
        <w:t xml:space="preserve"> </w:t>
      </w:r>
      <w:r>
        <w:t>the</w:t>
      </w:r>
      <w:r w:rsidR="00E15E1B">
        <w:t xml:space="preserve"> </w:t>
      </w:r>
      <w:r>
        <w:t>Estate</w:t>
      </w:r>
      <w:r w:rsidR="00E15E1B">
        <w:t xml:space="preserve"> </w:t>
      </w:r>
      <w:r>
        <w:t>Agents</w:t>
      </w:r>
      <w:r w:rsidR="00E15E1B">
        <w:t xml:space="preserve"> </w:t>
      </w:r>
      <w:r>
        <w:t>Council</w:t>
      </w:r>
      <w:r w:rsidR="00E15E1B">
        <w:t xml:space="preserve"> </w:t>
      </w:r>
      <w:r>
        <w:t>and</w:t>
      </w:r>
      <w:r w:rsidR="00E15E1B">
        <w:t xml:space="preserve"> </w:t>
      </w:r>
      <w:r>
        <w:t>any</w:t>
      </w:r>
      <w:r w:rsidR="00E15E1B">
        <w:t xml:space="preserve"> </w:t>
      </w:r>
      <w:r>
        <w:t>industry</w:t>
      </w:r>
      <w:r w:rsidR="00E15E1B">
        <w:t xml:space="preserve"> </w:t>
      </w:r>
      <w:r>
        <w:t>associations,</w:t>
      </w:r>
      <w:r w:rsidR="00E15E1B">
        <w:t xml:space="preserve"> </w:t>
      </w:r>
      <w:r>
        <w:t>government</w:t>
      </w:r>
      <w:r w:rsidR="00E15E1B">
        <w:t xml:space="preserve"> </w:t>
      </w:r>
      <w:r>
        <w:t>departments</w:t>
      </w:r>
      <w:r w:rsidR="00E15E1B">
        <w:t xml:space="preserve"> </w:t>
      </w:r>
      <w:r>
        <w:t>and</w:t>
      </w:r>
      <w:r w:rsidR="00E15E1B">
        <w:t xml:space="preserve"> </w:t>
      </w:r>
      <w:r>
        <w:t>other</w:t>
      </w:r>
      <w:r w:rsidR="00E15E1B">
        <w:t xml:space="preserve"> </w:t>
      </w:r>
      <w:r>
        <w:t>organisations,</w:t>
      </w:r>
      <w:r w:rsidR="00E15E1B">
        <w:t xml:space="preserve"> </w:t>
      </w:r>
      <w:r>
        <w:t>as</w:t>
      </w:r>
      <w:r w:rsidR="00E15E1B">
        <w:t xml:space="preserve"> </w:t>
      </w:r>
      <w:r>
        <w:t>appropriate.</w:t>
      </w:r>
    </w:p>
    <w:p w:rsidR="00156239" w:rsidRDefault="00156239" w:rsidP="00156239">
      <w:pPr>
        <w:pStyle w:val="BodyText"/>
      </w:pPr>
      <w:r>
        <w:t>We</w:t>
      </w:r>
      <w:r w:rsidR="00E15E1B">
        <w:t xml:space="preserve"> </w:t>
      </w:r>
      <w:r>
        <w:t>are</w:t>
      </w:r>
      <w:r w:rsidR="00E15E1B">
        <w:t xml:space="preserve"> </w:t>
      </w:r>
      <w:r>
        <w:t>responsible</w:t>
      </w:r>
      <w:r w:rsidR="00E15E1B">
        <w:t xml:space="preserve"> </w:t>
      </w:r>
      <w:r>
        <w:t>for</w:t>
      </w:r>
      <w:r w:rsidR="00E15E1B">
        <w:t xml:space="preserve"> </w:t>
      </w:r>
      <w:r>
        <w:t>administering</w:t>
      </w:r>
      <w:r w:rsidR="00E15E1B">
        <w:t xml:space="preserve"> </w:t>
      </w:r>
      <w:r>
        <w:t>the</w:t>
      </w:r>
      <w:r w:rsidR="00E15E1B">
        <w:t xml:space="preserve"> </w:t>
      </w:r>
      <w:r>
        <w:t>VPF</w:t>
      </w:r>
      <w:r w:rsidR="00E15E1B">
        <w:t xml:space="preserve"> </w:t>
      </w:r>
      <w:r>
        <w:t>grants</w:t>
      </w:r>
      <w:r w:rsidR="00E15E1B">
        <w:t xml:space="preserve"> </w:t>
      </w:r>
      <w:r>
        <w:t>program,</w:t>
      </w:r>
      <w:r w:rsidR="00E15E1B">
        <w:t xml:space="preserve"> </w:t>
      </w:r>
      <w:r>
        <w:t>which</w:t>
      </w:r>
      <w:r w:rsidR="00E15E1B">
        <w:t xml:space="preserve"> </w:t>
      </w:r>
      <w:r>
        <w:t>includes</w:t>
      </w:r>
      <w:r w:rsidR="00E15E1B">
        <w:t xml:space="preserve"> </w:t>
      </w:r>
      <w:r>
        <w:t>evaluating</w:t>
      </w:r>
      <w:r w:rsidR="00E15E1B">
        <w:t xml:space="preserve"> </w:t>
      </w:r>
      <w:r>
        <w:t>applications,</w:t>
      </w:r>
      <w:r w:rsidR="00E15E1B">
        <w:t xml:space="preserve"> </w:t>
      </w:r>
      <w:r>
        <w:t>making</w:t>
      </w:r>
      <w:r w:rsidR="00E15E1B">
        <w:t xml:space="preserve"> </w:t>
      </w:r>
      <w:r>
        <w:t>recommendations</w:t>
      </w:r>
      <w:r w:rsidR="00E15E1B">
        <w:t xml:space="preserve"> </w:t>
      </w:r>
      <w:r>
        <w:t>regarding</w:t>
      </w:r>
      <w:r w:rsidR="00E15E1B">
        <w:t xml:space="preserve"> </w:t>
      </w:r>
      <w:r>
        <w:t>proposals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Minister,</w:t>
      </w:r>
      <w:r w:rsidR="00E15E1B">
        <w:t xml:space="preserve"> </w:t>
      </w:r>
      <w:r>
        <w:t>and</w:t>
      </w:r>
      <w:r w:rsidR="00E15E1B">
        <w:t xml:space="preserve"> </w:t>
      </w:r>
      <w:r>
        <w:t>administering</w:t>
      </w:r>
      <w:r w:rsidR="00E15E1B">
        <w:t xml:space="preserve"> </w:t>
      </w:r>
      <w:r>
        <w:t>the</w:t>
      </w:r>
      <w:r w:rsidR="00E15E1B">
        <w:t xml:space="preserve"> </w:t>
      </w:r>
      <w:r>
        <w:t>grants</w:t>
      </w:r>
      <w:r w:rsidR="00E15E1B">
        <w:t xml:space="preserve"> </w:t>
      </w:r>
      <w:r>
        <w:t>awarded.</w:t>
      </w:r>
    </w:p>
    <w:p w:rsidR="00156239" w:rsidRDefault="00156239" w:rsidP="00156239">
      <w:pPr>
        <w:pStyle w:val="BodyText"/>
      </w:pPr>
      <w:r>
        <w:t>A</w:t>
      </w:r>
      <w:r w:rsidR="00E15E1B">
        <w:t xml:space="preserve"> </w:t>
      </w:r>
      <w:r>
        <w:t>key</w:t>
      </w:r>
      <w:r w:rsidR="00E15E1B">
        <w:t xml:space="preserve"> </w:t>
      </w:r>
      <w:r>
        <w:t>priority</w:t>
      </w:r>
      <w:r w:rsidR="00E15E1B">
        <w:t xml:space="preserve"> </w:t>
      </w:r>
      <w:r>
        <w:t>for</w:t>
      </w:r>
      <w:r w:rsidR="00E15E1B">
        <w:t xml:space="preserve"> </w:t>
      </w:r>
      <w:r>
        <w:t>the</w:t>
      </w:r>
      <w:r w:rsidR="00E15E1B">
        <w:t xml:space="preserve"> </w:t>
      </w:r>
      <w:r>
        <w:t>VPF</w:t>
      </w:r>
      <w:r w:rsidR="00E15E1B">
        <w:t xml:space="preserve"> </w:t>
      </w:r>
      <w:r>
        <w:t>grants</w:t>
      </w:r>
      <w:r w:rsidR="00E15E1B">
        <w:t xml:space="preserve"> </w:t>
      </w:r>
      <w:r>
        <w:t>program</w:t>
      </w:r>
      <w:r w:rsidR="00E15E1B">
        <w:t xml:space="preserve"> </w:t>
      </w:r>
      <w:r>
        <w:t>is</w:t>
      </w:r>
      <w:r w:rsidR="00E15E1B">
        <w:t xml:space="preserve"> </w:t>
      </w:r>
      <w:r>
        <w:t>to</w:t>
      </w:r>
      <w:r w:rsidR="00E15E1B">
        <w:t xml:space="preserve"> </w:t>
      </w:r>
      <w:r>
        <w:t>assist</w:t>
      </w:r>
      <w:r w:rsidR="00E15E1B">
        <w:t xml:space="preserve"> </w:t>
      </w:r>
      <w:r>
        <w:t>community</w:t>
      </w:r>
      <w:r w:rsidR="00E15E1B">
        <w:t xml:space="preserve"> </w:t>
      </w:r>
      <w:r>
        <w:t>housing</w:t>
      </w:r>
      <w:r w:rsidR="00E15E1B">
        <w:t xml:space="preserve"> </w:t>
      </w:r>
      <w:r>
        <w:t>organisations</w:t>
      </w:r>
      <w:r w:rsidR="00E15E1B">
        <w:t xml:space="preserve"> </w:t>
      </w:r>
      <w:r>
        <w:t>and</w:t>
      </w:r>
      <w:r w:rsidR="00E15E1B">
        <w:t xml:space="preserve"> </w:t>
      </w:r>
      <w:r>
        <w:t>develop</w:t>
      </w:r>
      <w:r w:rsidR="00E15E1B">
        <w:t xml:space="preserve"> </w:t>
      </w:r>
      <w:r>
        <w:t>new</w:t>
      </w:r>
      <w:r w:rsidR="00E15E1B">
        <w:t xml:space="preserve"> </w:t>
      </w:r>
      <w:r>
        <w:t>social</w:t>
      </w:r>
      <w:r w:rsidR="00E15E1B">
        <w:t xml:space="preserve"> </w:t>
      </w:r>
      <w:r>
        <w:t>housing</w:t>
      </w:r>
      <w:r w:rsidR="00E15E1B">
        <w:t xml:space="preserve"> </w:t>
      </w:r>
      <w:r>
        <w:t>for</w:t>
      </w:r>
      <w:r w:rsidR="00E15E1B">
        <w:t xml:space="preserve"> </w:t>
      </w:r>
      <w:r>
        <w:t>low</w:t>
      </w:r>
      <w:r w:rsidR="00E15E1B">
        <w:t xml:space="preserve"> </w:t>
      </w:r>
      <w:r>
        <w:t>income</w:t>
      </w:r>
      <w:r w:rsidR="00E15E1B">
        <w:t xml:space="preserve"> </w:t>
      </w:r>
      <w:r>
        <w:t>and</w:t>
      </w:r>
      <w:r w:rsidR="00E15E1B">
        <w:t xml:space="preserve"> </w:t>
      </w:r>
      <w:r>
        <w:t>disadvantaged</w:t>
      </w:r>
      <w:r w:rsidR="00E15E1B">
        <w:t xml:space="preserve"> </w:t>
      </w:r>
      <w:r>
        <w:t>Victorians.</w:t>
      </w:r>
    </w:p>
    <w:p w:rsidR="00156239" w:rsidRDefault="00156239" w:rsidP="00156239">
      <w:pPr>
        <w:pStyle w:val="BodyText"/>
      </w:pPr>
      <w:r>
        <w:t>Under</w:t>
      </w:r>
      <w:r w:rsidR="00E15E1B">
        <w:t xml:space="preserve"> </w:t>
      </w:r>
      <w:r>
        <w:t>the</w:t>
      </w:r>
      <w:r w:rsidR="00E15E1B">
        <w:t xml:space="preserve"> </w:t>
      </w:r>
      <w:r>
        <w:t>2017–18</w:t>
      </w:r>
      <w:r w:rsidR="00E15E1B">
        <w:t xml:space="preserve"> </w:t>
      </w:r>
      <w:r>
        <w:t>VPF</w:t>
      </w:r>
      <w:r w:rsidR="00E15E1B">
        <w:t xml:space="preserve"> </w:t>
      </w:r>
      <w:r>
        <w:t>Housing</w:t>
      </w:r>
      <w:r w:rsidR="00E15E1B">
        <w:t xml:space="preserve"> </w:t>
      </w:r>
      <w:r>
        <w:t>Funding</w:t>
      </w:r>
      <w:r w:rsidR="00E15E1B">
        <w:t xml:space="preserve"> </w:t>
      </w:r>
      <w:r>
        <w:t>Round,</w:t>
      </w:r>
      <w:r w:rsidR="00E15E1B">
        <w:t xml:space="preserve"> </w:t>
      </w:r>
      <w:r>
        <w:t>Minister</w:t>
      </w:r>
      <w:r w:rsidR="00E15E1B">
        <w:t xml:space="preserve"> </w:t>
      </w:r>
      <w:r>
        <w:t>for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Marlene</w:t>
      </w:r>
      <w:r w:rsidR="00E15E1B">
        <w:t xml:space="preserve"> </w:t>
      </w:r>
      <w:r>
        <w:t>Kairouz</w:t>
      </w:r>
      <w:r w:rsidR="00E15E1B">
        <w:t xml:space="preserve"> </w:t>
      </w:r>
      <w:r>
        <w:t>awarded</w:t>
      </w:r>
      <w:r w:rsidR="00E15E1B">
        <w:t xml:space="preserve"> </w:t>
      </w:r>
      <w:r>
        <w:t>nine</w:t>
      </w:r>
      <w:r w:rsidR="00E15E1B">
        <w:t xml:space="preserve"> </w:t>
      </w:r>
      <w:r>
        <w:t>new</w:t>
      </w:r>
      <w:r w:rsidR="00E15E1B">
        <w:t xml:space="preserve"> </w:t>
      </w:r>
      <w:r>
        <w:t>grants</w:t>
      </w:r>
      <w:r w:rsidR="00E15E1B">
        <w:t xml:space="preserve"> </w:t>
      </w:r>
      <w:r>
        <w:t>for</w:t>
      </w:r>
      <w:r w:rsidR="00E15E1B">
        <w:t xml:space="preserve"> </w:t>
      </w:r>
      <w:r>
        <w:t>community</w:t>
      </w:r>
      <w:r w:rsidR="00E15E1B">
        <w:t xml:space="preserve"> </w:t>
      </w:r>
      <w:r>
        <w:t>housing</w:t>
      </w:r>
      <w:r w:rsidR="00E15E1B">
        <w:t xml:space="preserve"> </w:t>
      </w:r>
      <w:r>
        <w:t>development</w:t>
      </w:r>
      <w:r w:rsidR="00E15E1B">
        <w:t xml:space="preserve"> </w:t>
      </w:r>
      <w:r>
        <w:t>projects</w:t>
      </w:r>
      <w:r w:rsidR="00E15E1B">
        <w:t xml:space="preserve"> </w:t>
      </w:r>
      <w:r>
        <w:t>to</w:t>
      </w:r>
      <w:r w:rsidR="00E15E1B">
        <w:t xml:space="preserve"> </w:t>
      </w:r>
      <w:r>
        <w:t>help</w:t>
      </w:r>
      <w:r w:rsidR="00E15E1B">
        <w:t xml:space="preserve"> </w:t>
      </w:r>
      <w:r>
        <w:t>accommodate</w:t>
      </w:r>
      <w:r w:rsidR="00E15E1B">
        <w:t xml:space="preserve"> </w:t>
      </w:r>
      <w:r>
        <w:t>Victorians</w:t>
      </w:r>
      <w:r w:rsidR="00E15E1B">
        <w:t xml:space="preserve"> </w:t>
      </w:r>
      <w:r>
        <w:t>in</w:t>
      </w:r>
      <w:r w:rsidR="00E15E1B">
        <w:t xml:space="preserve"> </w:t>
      </w:r>
      <w:r>
        <w:t>need.</w:t>
      </w:r>
      <w:r w:rsidR="00E15E1B">
        <w:t xml:space="preserve"> </w:t>
      </w:r>
      <w:r>
        <w:t>These</w:t>
      </w:r>
      <w:r w:rsidR="00E15E1B">
        <w:t xml:space="preserve"> </w:t>
      </w:r>
      <w:r>
        <w:t>projects,</w:t>
      </w:r>
      <w:r w:rsidR="00E15E1B">
        <w:t xml:space="preserve"> </w:t>
      </w:r>
      <w:r>
        <w:t>across</w:t>
      </w:r>
      <w:r w:rsidR="00E15E1B">
        <w:t xml:space="preserve"> </w:t>
      </w:r>
      <w:r>
        <w:t>metropolitan</w:t>
      </w:r>
      <w:r w:rsidR="00E15E1B">
        <w:t xml:space="preserve"> </w:t>
      </w:r>
      <w:r>
        <w:t>and</w:t>
      </w:r>
      <w:r w:rsidR="00E15E1B">
        <w:t xml:space="preserve"> </w:t>
      </w:r>
      <w:r>
        <w:t>regional</w:t>
      </w:r>
      <w:r w:rsidR="00E15E1B">
        <w:t xml:space="preserve"> </w:t>
      </w:r>
      <w:r>
        <w:t>locations,</w:t>
      </w:r>
      <w:r w:rsidR="00E15E1B">
        <w:t xml:space="preserve"> </w:t>
      </w:r>
      <w:r>
        <w:t>will</w:t>
      </w:r>
      <w:r w:rsidR="00E15E1B">
        <w:t xml:space="preserve"> </w:t>
      </w:r>
      <w:r>
        <w:t>provide</w:t>
      </w:r>
      <w:r w:rsidR="00E15E1B">
        <w:t xml:space="preserve"> </w:t>
      </w:r>
      <w:r>
        <w:t>housing</w:t>
      </w:r>
      <w:r w:rsidR="00E15E1B">
        <w:t xml:space="preserve"> </w:t>
      </w:r>
      <w:r>
        <w:t>for</w:t>
      </w:r>
      <w:r w:rsidR="00E15E1B">
        <w:t xml:space="preserve"> </w:t>
      </w:r>
      <w:r>
        <w:t>a</w:t>
      </w:r>
      <w:r w:rsidR="00E15E1B">
        <w:t xml:space="preserve"> </w:t>
      </w:r>
      <w:r>
        <w:t>range</w:t>
      </w:r>
      <w:r w:rsidR="00E15E1B">
        <w:t xml:space="preserve"> </w:t>
      </w:r>
      <w:r>
        <w:t>of</w:t>
      </w:r>
      <w:r w:rsidR="00E15E1B">
        <w:t xml:space="preserve"> </w:t>
      </w:r>
      <w:r>
        <w:t>low-income</w:t>
      </w:r>
      <w:r w:rsidR="00E15E1B">
        <w:t xml:space="preserve"> </w:t>
      </w:r>
      <w:r>
        <w:t>or</w:t>
      </w:r>
      <w:r w:rsidR="00E15E1B">
        <w:t xml:space="preserve"> </w:t>
      </w:r>
      <w:r>
        <w:t>disadvantaged</w:t>
      </w:r>
      <w:r w:rsidR="00E15E1B">
        <w:t xml:space="preserve"> </w:t>
      </w:r>
      <w:r>
        <w:t>groups,</w:t>
      </w:r>
      <w:r w:rsidR="00E15E1B">
        <w:t xml:space="preserve"> </w:t>
      </w:r>
      <w:r>
        <w:t>including</w:t>
      </w:r>
      <w:r w:rsidR="00E15E1B">
        <w:t xml:space="preserve"> </w:t>
      </w:r>
      <w:r>
        <w:t>victims</w:t>
      </w:r>
      <w:r w:rsidR="00E15E1B">
        <w:t xml:space="preserve"> </w:t>
      </w:r>
      <w:r>
        <w:t>of</w:t>
      </w:r>
      <w:r w:rsidR="00E15E1B">
        <w:t xml:space="preserve"> </w:t>
      </w:r>
      <w:r>
        <w:t>family</w:t>
      </w:r>
      <w:r w:rsidR="00E15E1B">
        <w:t xml:space="preserve"> </w:t>
      </w:r>
      <w:r>
        <w:t>violence,</w:t>
      </w:r>
      <w:r w:rsidR="00E15E1B">
        <w:t xml:space="preserve"> </w:t>
      </w:r>
      <w:r>
        <w:t>older</w:t>
      </w:r>
      <w:r w:rsidR="00E15E1B">
        <w:t xml:space="preserve"> </w:t>
      </w:r>
      <w:r>
        <w:t>women,</w:t>
      </w:r>
      <w:r w:rsidR="00E15E1B">
        <w:t xml:space="preserve"> </w:t>
      </w:r>
      <w:r>
        <w:t>singles</w:t>
      </w:r>
      <w:r w:rsidR="00E15E1B">
        <w:t xml:space="preserve"> </w:t>
      </w:r>
      <w:r>
        <w:t>at</w:t>
      </w:r>
      <w:r w:rsidR="00E15E1B">
        <w:t xml:space="preserve"> </w:t>
      </w:r>
      <w:r>
        <w:t>risk</w:t>
      </w:r>
      <w:r w:rsidR="00E15E1B">
        <w:t xml:space="preserve"> </w:t>
      </w:r>
      <w:r>
        <w:t>of</w:t>
      </w:r>
      <w:r w:rsidR="00E15E1B">
        <w:t xml:space="preserve"> </w:t>
      </w:r>
      <w:r>
        <w:t>homelessness,</w:t>
      </w:r>
      <w:r w:rsidR="00E15E1B">
        <w:t xml:space="preserve"> </w:t>
      </w:r>
      <w:r>
        <w:t>and</w:t>
      </w:r>
      <w:r w:rsidR="00E15E1B">
        <w:t xml:space="preserve"> </w:t>
      </w:r>
      <w:r>
        <w:t>people</w:t>
      </w:r>
      <w:r w:rsidR="00E15E1B">
        <w:t xml:space="preserve"> </w:t>
      </w:r>
      <w:r>
        <w:t>with</w:t>
      </w:r>
      <w:r w:rsidR="00E15E1B">
        <w:t xml:space="preserve"> </w:t>
      </w:r>
      <w:r>
        <w:t>a</w:t>
      </w:r>
      <w:r w:rsidR="00E15E1B">
        <w:t xml:space="preserve"> </w:t>
      </w:r>
      <w:r>
        <w:t>disability.</w:t>
      </w:r>
    </w:p>
    <w:p w:rsidR="00156239" w:rsidRDefault="00156239" w:rsidP="00156239">
      <w:pPr>
        <w:pStyle w:val="BodyText"/>
      </w:pPr>
      <w:r>
        <w:t>This</w:t>
      </w:r>
      <w:r w:rsidR="00E15E1B">
        <w:t xml:space="preserve"> </w:t>
      </w:r>
      <w:r>
        <w:t>year,</w:t>
      </w:r>
      <w:r w:rsidR="00E15E1B">
        <w:t xml:space="preserve"> </w:t>
      </w:r>
      <w:r>
        <w:t>the</w:t>
      </w:r>
      <w:r w:rsidR="00E15E1B">
        <w:t xml:space="preserve"> </w:t>
      </w:r>
      <w:r>
        <w:t>Minister</w:t>
      </w:r>
      <w:r w:rsidR="00E15E1B">
        <w:t xml:space="preserve"> </w:t>
      </w:r>
      <w:r>
        <w:t>awarded</w:t>
      </w:r>
      <w:r w:rsidR="00E15E1B">
        <w:t xml:space="preserve"> </w:t>
      </w:r>
      <w:r>
        <w:t>$1.3</w:t>
      </w:r>
      <w:r w:rsidR="00E15E1B">
        <w:t xml:space="preserve"> </w:t>
      </w:r>
      <w:r>
        <w:t>million</w:t>
      </w:r>
      <w:r w:rsidR="00E15E1B">
        <w:t xml:space="preserve"> </w:t>
      </w:r>
      <w:r>
        <w:t>under</w:t>
      </w:r>
      <w:r w:rsidR="00E15E1B">
        <w:t xml:space="preserve"> </w:t>
      </w:r>
      <w:r>
        <w:t>the</w:t>
      </w:r>
      <w:r w:rsidR="00E15E1B">
        <w:t xml:space="preserve"> </w:t>
      </w:r>
      <w:r>
        <w:t>first</w:t>
      </w:r>
      <w:r w:rsidR="00E15E1B">
        <w:t xml:space="preserve"> </w:t>
      </w:r>
      <w:r>
        <w:t>VPF</w:t>
      </w:r>
      <w:r w:rsidR="00E15E1B">
        <w:t xml:space="preserve"> </w:t>
      </w:r>
      <w:r>
        <w:t>environmentally</w:t>
      </w:r>
      <w:r w:rsidR="00E15E1B">
        <w:t xml:space="preserve"> </w:t>
      </w:r>
      <w:r>
        <w:t>sustainable</w:t>
      </w:r>
      <w:r w:rsidR="00E15E1B">
        <w:t xml:space="preserve"> </w:t>
      </w:r>
      <w:r>
        <w:t>housing</w:t>
      </w:r>
      <w:r w:rsidR="00E15E1B">
        <w:t xml:space="preserve"> </w:t>
      </w:r>
      <w:r>
        <w:t>funding</w:t>
      </w:r>
      <w:r w:rsidR="00E15E1B">
        <w:t xml:space="preserve"> </w:t>
      </w:r>
      <w:r>
        <w:t>round.</w:t>
      </w:r>
      <w:r w:rsidR="00E15E1B">
        <w:t xml:space="preserve"> </w:t>
      </w:r>
      <w:r>
        <w:t>Five</w:t>
      </w:r>
      <w:r w:rsidR="00E15E1B">
        <w:t xml:space="preserve"> </w:t>
      </w:r>
      <w:r>
        <w:t>grants</w:t>
      </w:r>
      <w:r w:rsidR="00E15E1B">
        <w:t xml:space="preserve"> </w:t>
      </w:r>
      <w:r>
        <w:t>were</w:t>
      </w:r>
      <w:r w:rsidR="00E15E1B">
        <w:t xml:space="preserve"> </w:t>
      </w:r>
      <w:r>
        <w:t>awarded</w:t>
      </w:r>
      <w:r w:rsidR="00E15E1B">
        <w:t xml:space="preserve"> </w:t>
      </w:r>
      <w:r>
        <w:t>to</w:t>
      </w:r>
      <w:r w:rsidR="00E15E1B">
        <w:t xml:space="preserve"> </w:t>
      </w:r>
      <w:r>
        <w:t>help</w:t>
      </w:r>
      <w:r w:rsidR="00E15E1B">
        <w:t xml:space="preserve"> </w:t>
      </w:r>
      <w:r>
        <w:t>registered</w:t>
      </w:r>
      <w:r w:rsidR="00E15E1B">
        <w:t xml:space="preserve"> </w:t>
      </w:r>
      <w:r>
        <w:t>housing</w:t>
      </w:r>
      <w:r w:rsidR="00E15E1B">
        <w:t xml:space="preserve"> </w:t>
      </w:r>
      <w:r>
        <w:t>agencies</w:t>
      </w:r>
      <w:r w:rsidR="00E15E1B">
        <w:t xml:space="preserve"> </w:t>
      </w:r>
      <w:r>
        <w:t>improve</w:t>
      </w:r>
      <w:r w:rsidR="00E15E1B">
        <w:t xml:space="preserve"> </w:t>
      </w:r>
      <w:r>
        <w:t>the</w:t>
      </w:r>
      <w:r w:rsidR="00E15E1B">
        <w:t xml:space="preserve"> </w:t>
      </w:r>
      <w:r>
        <w:t>energy</w:t>
      </w:r>
      <w:r w:rsidR="00E15E1B">
        <w:t xml:space="preserve"> </w:t>
      </w:r>
      <w:r>
        <w:t>and</w:t>
      </w:r>
      <w:r w:rsidR="00E15E1B">
        <w:t xml:space="preserve"> </w:t>
      </w:r>
      <w:r>
        <w:t>thermal</w:t>
      </w:r>
      <w:r w:rsidR="00E15E1B">
        <w:t xml:space="preserve"> </w:t>
      </w:r>
      <w:r>
        <w:t>efficiency</w:t>
      </w:r>
      <w:r w:rsidR="00E15E1B">
        <w:t xml:space="preserve"> </w:t>
      </w:r>
      <w:r>
        <w:t>of</w:t>
      </w:r>
      <w:r w:rsidR="00E15E1B">
        <w:t xml:space="preserve"> </w:t>
      </w:r>
      <w:r>
        <w:t>existing</w:t>
      </w:r>
      <w:r w:rsidR="00E15E1B">
        <w:t xml:space="preserve"> </w:t>
      </w:r>
      <w:r>
        <w:t>social</w:t>
      </w:r>
      <w:r w:rsidR="00E15E1B">
        <w:t xml:space="preserve"> </w:t>
      </w:r>
      <w:r>
        <w:t>housing,</w:t>
      </w:r>
      <w:r w:rsidR="00E15E1B">
        <w:t xml:space="preserve"> </w:t>
      </w:r>
      <w:r>
        <w:t>reducing</w:t>
      </w:r>
      <w:r w:rsidR="00E15E1B">
        <w:t xml:space="preserve"> </w:t>
      </w:r>
      <w:r>
        <w:t>electricity</w:t>
      </w:r>
      <w:r w:rsidR="00E15E1B">
        <w:t xml:space="preserve"> </w:t>
      </w:r>
      <w:r>
        <w:t>bills</w:t>
      </w:r>
      <w:r w:rsidR="00E15E1B">
        <w:t xml:space="preserve"> </w:t>
      </w:r>
      <w:r>
        <w:t>and</w:t>
      </w:r>
      <w:r w:rsidR="00E15E1B">
        <w:t xml:space="preserve"> </w:t>
      </w:r>
      <w:r>
        <w:t>improving</w:t>
      </w:r>
      <w:r w:rsidR="00E15E1B">
        <w:t xml:space="preserve"> </w:t>
      </w:r>
      <w:r>
        <w:t>health</w:t>
      </w:r>
      <w:r w:rsidR="00E15E1B">
        <w:t xml:space="preserve"> </w:t>
      </w:r>
      <w:r>
        <w:t>outcomes</w:t>
      </w:r>
      <w:r w:rsidR="00E15E1B">
        <w:t xml:space="preserve"> </w:t>
      </w:r>
      <w:r>
        <w:t>for</w:t>
      </w:r>
      <w:r w:rsidR="00E15E1B">
        <w:t xml:space="preserve"> </w:t>
      </w:r>
      <w:r>
        <w:t>low</w:t>
      </w:r>
      <w:r w:rsidR="00E15E1B">
        <w:t xml:space="preserve"> </w:t>
      </w:r>
      <w:r>
        <w:t>income</w:t>
      </w:r>
      <w:r w:rsidR="00E15E1B">
        <w:t xml:space="preserve"> </w:t>
      </w:r>
      <w:r>
        <w:t>tenants.</w:t>
      </w:r>
    </w:p>
    <w:p w:rsidR="00156239" w:rsidRDefault="00156239" w:rsidP="00156239">
      <w:pPr>
        <w:pStyle w:val="BodyText"/>
      </w:pPr>
      <w:r>
        <w:t>In</w:t>
      </w:r>
      <w:r w:rsidR="00E15E1B">
        <w:t xml:space="preserve"> </w:t>
      </w:r>
      <w:r>
        <w:t>2017–18,</w:t>
      </w:r>
      <w:r w:rsidR="00E15E1B">
        <w:t xml:space="preserve"> </w:t>
      </w:r>
      <w:r>
        <w:t>the</w:t>
      </w:r>
      <w:r w:rsidR="00E15E1B">
        <w:t xml:space="preserve"> </w:t>
      </w:r>
      <w:r>
        <w:t>Minister</w:t>
      </w:r>
      <w:r w:rsidR="00E15E1B">
        <w:t xml:space="preserve"> </w:t>
      </w:r>
      <w:r>
        <w:t>approved</w:t>
      </w:r>
      <w:r w:rsidR="00E15E1B">
        <w:t xml:space="preserve"> </w:t>
      </w:r>
      <w:r>
        <w:t>17</w:t>
      </w:r>
      <w:r w:rsidR="00E15E1B">
        <w:t xml:space="preserve"> </w:t>
      </w:r>
      <w:r>
        <w:t>grants</w:t>
      </w:r>
      <w:r w:rsidR="00E15E1B">
        <w:t xml:space="preserve"> </w:t>
      </w:r>
      <w:r>
        <w:t>from</w:t>
      </w:r>
      <w:r w:rsidR="00E15E1B">
        <w:t xml:space="preserve"> </w:t>
      </w:r>
      <w:r>
        <w:t>the</w:t>
      </w:r>
      <w:r w:rsidR="00E15E1B">
        <w:t xml:space="preserve"> </w:t>
      </w:r>
      <w:r>
        <w:t>fund,</w:t>
      </w:r>
      <w:r w:rsidR="00E15E1B">
        <w:t xml:space="preserve"> </w:t>
      </w:r>
      <w:r>
        <w:t>totalling</w:t>
      </w:r>
      <w:r w:rsidR="00E15E1B">
        <w:t xml:space="preserve"> </w:t>
      </w:r>
      <w:r>
        <w:t>over</w:t>
      </w:r>
      <w:r w:rsidR="00E15E1B">
        <w:t xml:space="preserve"> </w:t>
      </w:r>
      <w:r>
        <w:t>$29</w:t>
      </w:r>
      <w:r w:rsidR="00E15E1B">
        <w:t xml:space="preserve"> </w:t>
      </w:r>
      <w:r>
        <w:t>million.</w:t>
      </w:r>
      <w:r w:rsidR="00E15E1B">
        <w:t xml:space="preserve"> </w:t>
      </w:r>
      <w:r>
        <w:t>These</w:t>
      </w:r>
      <w:r w:rsidR="00E15E1B">
        <w:t xml:space="preserve"> </w:t>
      </w:r>
      <w:r>
        <w:t>are</w:t>
      </w:r>
      <w:r w:rsidR="00E15E1B">
        <w:t xml:space="preserve"> </w:t>
      </w:r>
      <w:r>
        <w:t>outlined</w:t>
      </w:r>
      <w:r w:rsidR="00E15E1B">
        <w:t xml:space="preserve"> </w:t>
      </w:r>
      <w:r>
        <w:t>in</w:t>
      </w:r>
      <w:r w:rsidR="00E15E1B">
        <w:t xml:space="preserve"> </w:t>
      </w:r>
      <w:r>
        <w:t>Table</w:t>
      </w:r>
      <w:r w:rsidR="00E15E1B">
        <w:t xml:space="preserve"> </w:t>
      </w:r>
      <w:r>
        <w:t>9.</w:t>
      </w:r>
      <w:r w:rsidR="00E15E1B">
        <w:t xml:space="preserve"> </w:t>
      </w:r>
      <w:r>
        <w:t>Value</w:t>
      </w:r>
      <w:r w:rsidR="00E15E1B">
        <w:t xml:space="preserve"> </w:t>
      </w:r>
      <w:r>
        <w:t>is</w:t>
      </w:r>
      <w:r w:rsidR="00E15E1B">
        <w:t xml:space="preserve"> </w:t>
      </w:r>
      <w:r>
        <w:t>reported</w:t>
      </w:r>
      <w:r w:rsidR="00E15E1B">
        <w:t xml:space="preserve"> </w:t>
      </w:r>
      <w:r>
        <w:t>exclusive</w:t>
      </w:r>
      <w:r w:rsidR="00E15E1B">
        <w:t xml:space="preserve"> </w:t>
      </w:r>
      <w:r>
        <w:t>of</w:t>
      </w:r>
      <w:r w:rsidR="00E15E1B">
        <w:t xml:space="preserve"> </w:t>
      </w:r>
      <w:r>
        <w:t>GST,</w:t>
      </w:r>
      <w:r w:rsidR="00E15E1B">
        <w:t xml:space="preserve"> </w:t>
      </w:r>
      <w:r>
        <w:t>representing</w:t>
      </w:r>
      <w:r w:rsidR="00E15E1B">
        <w:t xml:space="preserve"> </w:t>
      </w:r>
      <w:r>
        <w:t>the</w:t>
      </w:r>
      <w:r w:rsidR="00E15E1B">
        <w:t xml:space="preserve"> </w:t>
      </w:r>
      <w:r>
        <w:t>net</w:t>
      </w:r>
      <w:r w:rsidR="00E15E1B">
        <w:t xml:space="preserve"> </w:t>
      </w:r>
      <w:r>
        <w:t>cost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fund.</w:t>
      </w:r>
      <w:r w:rsidR="00E15E1B">
        <w:t xml:space="preserve"> </w:t>
      </w:r>
      <w:r>
        <w:t>Expenditure</w:t>
      </w:r>
      <w:r w:rsidR="00E15E1B">
        <w:t xml:space="preserve"> </w:t>
      </w:r>
      <w:r>
        <w:t>shown</w:t>
      </w:r>
      <w:r w:rsidR="00E15E1B">
        <w:t xml:space="preserve"> </w:t>
      </w:r>
      <w:r>
        <w:t>in</w:t>
      </w:r>
      <w:r w:rsidR="00E15E1B">
        <w:t xml:space="preserve"> </w:t>
      </w:r>
      <w:r>
        <w:t>the</w:t>
      </w:r>
      <w:r w:rsidR="00E15E1B">
        <w:t xml:space="preserve"> </w:t>
      </w:r>
      <w:r>
        <w:t>financial</w:t>
      </w:r>
      <w:r w:rsidR="00E15E1B">
        <w:t xml:space="preserve"> </w:t>
      </w:r>
      <w:r>
        <w:t>information</w:t>
      </w:r>
      <w:r w:rsidR="00E15E1B">
        <w:t xml:space="preserve"> </w:t>
      </w:r>
      <w:r>
        <w:t>section</w:t>
      </w:r>
      <w:r w:rsidR="00E15E1B">
        <w:t xml:space="preserve"> </w:t>
      </w:r>
      <w:r>
        <w:t>of</w:t>
      </w:r>
      <w:r w:rsidR="00E15E1B">
        <w:t xml:space="preserve"> </w:t>
      </w:r>
      <w:r>
        <w:t>this</w:t>
      </w:r>
      <w:r w:rsidR="00E15E1B">
        <w:t xml:space="preserve"> </w:t>
      </w:r>
      <w:r>
        <w:t>report</w:t>
      </w:r>
      <w:r w:rsidR="00E15E1B">
        <w:t xml:space="preserve"> </w:t>
      </w:r>
      <w:r>
        <w:t>reflects</w:t>
      </w:r>
      <w:r w:rsidR="00E15E1B">
        <w:t xml:space="preserve"> </w:t>
      </w:r>
      <w:r>
        <w:t>part</w:t>
      </w:r>
      <w:r w:rsidR="00E15E1B">
        <w:t xml:space="preserve"> </w:t>
      </w:r>
      <w:r>
        <w:t>payment</w:t>
      </w:r>
      <w:r w:rsidR="00E15E1B">
        <w:t xml:space="preserve"> </w:t>
      </w:r>
      <w:r>
        <w:t>of</w:t>
      </w:r>
      <w:r w:rsidR="00E15E1B">
        <w:t xml:space="preserve"> </w:t>
      </w:r>
      <w:r>
        <w:t>these</w:t>
      </w:r>
      <w:r w:rsidR="00E15E1B">
        <w:t xml:space="preserve"> </w:t>
      </w:r>
      <w:r>
        <w:t>grants</w:t>
      </w:r>
      <w:r w:rsidR="00E15E1B">
        <w:t xml:space="preserve"> </w:t>
      </w:r>
      <w:r>
        <w:t>plus</w:t>
      </w:r>
      <w:r w:rsidR="00E15E1B">
        <w:t xml:space="preserve"> </w:t>
      </w:r>
      <w:r>
        <w:t>payments</w:t>
      </w:r>
      <w:r w:rsidR="00E15E1B">
        <w:t xml:space="preserve"> </w:t>
      </w:r>
      <w:r>
        <w:t>made</w:t>
      </w:r>
      <w:r w:rsidR="00E15E1B">
        <w:t xml:space="preserve"> </w:t>
      </w:r>
      <w:r>
        <w:t>in</w:t>
      </w:r>
      <w:r w:rsidR="00E15E1B">
        <w:t xml:space="preserve"> </w:t>
      </w:r>
      <w:r>
        <w:t>2017–18</w:t>
      </w:r>
      <w:r w:rsidR="00E15E1B">
        <w:t xml:space="preserve"> </w:t>
      </w:r>
      <w:r>
        <w:t>for</w:t>
      </w:r>
      <w:r w:rsidR="00E15E1B">
        <w:t xml:space="preserve"> </w:t>
      </w:r>
      <w:r>
        <w:t>grants</w:t>
      </w:r>
      <w:r w:rsidR="00E15E1B">
        <w:t xml:space="preserve"> </w:t>
      </w:r>
      <w:r>
        <w:t>approved</w:t>
      </w:r>
      <w:r w:rsidR="00E15E1B">
        <w:t xml:space="preserve"> </w:t>
      </w:r>
      <w:r>
        <w:t>in</w:t>
      </w:r>
      <w:r w:rsidR="00E15E1B">
        <w:t xml:space="preserve"> </w:t>
      </w:r>
      <w:r>
        <w:t>previous</w:t>
      </w:r>
      <w:r w:rsidR="00E15E1B">
        <w:t xml:space="preserve"> </w:t>
      </w:r>
      <w:r>
        <w:t>years.</w:t>
      </w:r>
    </w:p>
    <w:p w:rsidR="00104254" w:rsidRPr="00104254" w:rsidRDefault="00104254" w:rsidP="00104254">
      <w:pPr>
        <w:pStyle w:val="BodyText"/>
      </w:pPr>
      <w:r w:rsidRPr="00104254">
        <w:br w:type="page"/>
      </w:r>
    </w:p>
    <w:p w:rsidR="00156239" w:rsidRDefault="00156239" w:rsidP="00156239">
      <w:pPr>
        <w:pStyle w:val="Caption"/>
      </w:pPr>
      <w:r>
        <w:lastRenderedPageBreak/>
        <w:t>Table</w:t>
      </w:r>
      <w:r w:rsidR="00E15E1B">
        <w:t xml:space="preserve"> </w:t>
      </w:r>
      <w:r>
        <w:t>9:</w:t>
      </w:r>
      <w:r w:rsidR="00E15E1B">
        <w:t xml:space="preserve"> </w:t>
      </w:r>
      <w:r>
        <w:t>Grants</w:t>
      </w:r>
      <w:r w:rsidR="00E15E1B">
        <w:t xml:space="preserve"> </w:t>
      </w:r>
      <w:r>
        <w:t>made</w:t>
      </w:r>
      <w:r w:rsidR="00E15E1B">
        <w:t xml:space="preserve"> </w:t>
      </w:r>
      <w:r>
        <w:t>from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Property</w:t>
      </w:r>
      <w:r w:rsidR="00E15E1B">
        <w:t xml:space="preserve"> </w:t>
      </w:r>
      <w:r>
        <w:t>Fund</w:t>
      </w:r>
      <w:r w:rsidR="00E15E1B">
        <w:t xml:space="preserve"> </w:t>
      </w:r>
      <w:r>
        <w:t>in</w:t>
      </w:r>
      <w:r w:rsidR="00E15E1B">
        <w:t xml:space="preserve"> </w:t>
      </w:r>
      <w:r>
        <w:t>2017–18</w:t>
      </w:r>
    </w:p>
    <w:tbl>
      <w:tblPr>
        <w:tblW w:w="907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2404"/>
        <w:gridCol w:w="4967"/>
        <w:gridCol w:w="1701"/>
      </w:tblGrid>
      <w:tr w:rsidR="00156239" w:rsidRPr="00F41A61" w:rsidTr="00104254">
        <w:trPr>
          <w:trHeight w:val="68"/>
          <w:tblHeader/>
        </w:trPr>
        <w:tc>
          <w:tcPr>
            <w:tcW w:w="2404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Recipient</w:t>
            </w:r>
          </w:p>
        </w:tc>
        <w:tc>
          <w:tcPr>
            <w:tcW w:w="4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"/>
            </w:pPr>
            <w:r>
              <w:t>Description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funded</w:t>
            </w:r>
            <w:r w:rsidR="00E15E1B">
              <w:t xml:space="preserve"> </w:t>
            </w:r>
            <w:r>
              <w:t>program</w:t>
            </w:r>
          </w:p>
        </w:tc>
        <w:tc>
          <w:tcPr>
            <w:tcW w:w="1701" w:type="dxa"/>
            <w:tcBorders>
              <w:left w:val="single" w:sz="4" w:space="0" w:color="FFFFFF"/>
            </w:tcBorders>
            <w:shd w:val="clear" w:color="auto" w:fill="0072CE"/>
            <w:vAlign w:val="bottom"/>
          </w:tcPr>
          <w:p w:rsidR="00156239" w:rsidRDefault="00156239" w:rsidP="00FC025D">
            <w:pPr>
              <w:pStyle w:val="TableColHeadRight"/>
            </w:pPr>
            <w:r>
              <w:t>Value</w:t>
            </w:r>
            <w:r w:rsidR="00E15E1B">
              <w:t xml:space="preserve"> </w:t>
            </w:r>
            <w:r>
              <w:t>(ex</w:t>
            </w:r>
            <w:r w:rsidR="00410D44">
              <w:t> </w:t>
            </w:r>
            <w:r>
              <w:t>GST)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Community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Federation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Victoria</w:t>
            </w:r>
            <w:r w:rsidR="00E15E1B">
              <w:t xml:space="preserve"> </w:t>
            </w:r>
            <w:r>
              <w:t>Inc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Community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energy</w:t>
            </w:r>
            <w:r w:rsidR="00E15E1B">
              <w:t xml:space="preserve"> </w:t>
            </w:r>
            <w:r>
              <w:t>efficiency</w:t>
            </w:r>
            <w:r w:rsidR="00E15E1B">
              <w:t xml:space="preserve"> </w:t>
            </w:r>
            <w:r>
              <w:t>facilitation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support</w:t>
            </w:r>
            <w:r w:rsidR="00E15E1B">
              <w:t xml:space="preserve"> </w:t>
            </w:r>
            <w:r>
              <w:t>services</w:t>
            </w:r>
          </w:p>
        </w:tc>
        <w:tc>
          <w:tcPr>
            <w:tcW w:w="170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$100,000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Real</w:t>
            </w:r>
            <w:r w:rsidR="00E15E1B">
              <w:t xml:space="preserve"> </w:t>
            </w:r>
            <w:r>
              <w:t>Estate</w:t>
            </w:r>
            <w:r w:rsidR="00E15E1B">
              <w:t xml:space="preserve"> </w:t>
            </w:r>
            <w:r>
              <w:t>Institute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Victoria</w:t>
            </w:r>
            <w:r w:rsidR="00E15E1B">
              <w:t xml:space="preserve"> </w:t>
            </w:r>
            <w:r>
              <w:t>Ltd</w:t>
            </w:r>
            <w:r w:rsidR="00E15E1B">
              <w:t xml:space="preserve"> 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Professional</w:t>
            </w:r>
            <w:r w:rsidR="00E15E1B">
              <w:t xml:space="preserve"> </w:t>
            </w:r>
            <w:r>
              <w:t>development</w:t>
            </w:r>
            <w:r w:rsidR="00E15E1B">
              <w:t xml:space="preserve"> </w:t>
            </w:r>
            <w:r>
              <w:t>2017–18</w:t>
            </w:r>
          </w:p>
        </w:tc>
        <w:tc>
          <w:tcPr>
            <w:tcW w:w="170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$264,062</w:t>
            </w:r>
            <w:r w:rsidR="00E15E1B">
              <w:t xml:space="preserve"> 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Australian</w:t>
            </w:r>
            <w:r w:rsidR="00E15E1B">
              <w:t xml:space="preserve"> </w:t>
            </w:r>
            <w:r>
              <w:t>Livestock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Property</w:t>
            </w:r>
            <w:r w:rsidR="00E15E1B">
              <w:t xml:space="preserve"> </w:t>
            </w:r>
            <w:r>
              <w:t>Agents</w:t>
            </w:r>
            <w:r w:rsidR="00E15E1B">
              <w:t xml:space="preserve"> </w:t>
            </w:r>
            <w:r>
              <w:t>Association</w:t>
            </w:r>
            <w:r w:rsidR="00E15E1B">
              <w:t xml:space="preserve"> </w:t>
            </w:r>
            <w:r>
              <w:t>Ltd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Professional</w:t>
            </w:r>
            <w:r w:rsidR="00E15E1B">
              <w:t xml:space="preserve"> </w:t>
            </w:r>
            <w:r>
              <w:t>development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education</w:t>
            </w:r>
            <w:r w:rsidR="00E15E1B">
              <w:t xml:space="preserve"> </w:t>
            </w:r>
            <w:r>
              <w:t>2017–20</w:t>
            </w:r>
          </w:p>
        </w:tc>
        <w:tc>
          <w:tcPr>
            <w:tcW w:w="1701" w:type="dxa"/>
            <w:shd w:val="clear" w:color="auto" w:fill="EBF4FB"/>
          </w:tcPr>
          <w:p w:rsidR="00156239" w:rsidRDefault="00156239" w:rsidP="00FC025D">
            <w:pPr>
              <w:pStyle w:val="TableTextRight"/>
            </w:pPr>
            <w:r>
              <w:t>$174,340</w:t>
            </w:r>
            <w:r w:rsidR="00E15E1B">
              <w:t xml:space="preserve"> 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Unison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Ltd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Environmentally</w:t>
            </w:r>
            <w:r w:rsidR="00E15E1B">
              <w:t xml:space="preserve"> </w:t>
            </w:r>
            <w:r>
              <w:t>sustainable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project</w:t>
            </w:r>
            <w:r w:rsidR="00E15E1B">
              <w:t xml:space="preserve"> </w:t>
            </w:r>
            <w:r>
              <w:t>2018–19</w:t>
            </w:r>
          </w:p>
        </w:tc>
        <w:tc>
          <w:tcPr>
            <w:tcW w:w="1701" w:type="dxa"/>
            <w:shd w:val="clear" w:color="auto" w:fill="EBF4FB"/>
          </w:tcPr>
          <w:p w:rsidR="00156239" w:rsidRDefault="00E15E1B" w:rsidP="00FC025D">
            <w:pPr>
              <w:pStyle w:val="TableTextRight"/>
            </w:pPr>
            <w:r>
              <w:t xml:space="preserve"> </w:t>
            </w:r>
            <w:r w:rsidR="00156239">
              <w:t>$230,000</w:t>
            </w:r>
            <w:r>
              <w:t xml:space="preserve"> 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Community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(Vic)</w:t>
            </w:r>
            <w:r w:rsidR="00E15E1B">
              <w:t xml:space="preserve"> </w:t>
            </w:r>
            <w:r>
              <w:t>Ltd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Environmentally</w:t>
            </w:r>
            <w:r w:rsidR="00E15E1B">
              <w:t xml:space="preserve"> </w:t>
            </w:r>
            <w:r>
              <w:t>sustainable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project</w:t>
            </w:r>
            <w:r w:rsidR="00E15E1B">
              <w:t xml:space="preserve"> </w:t>
            </w:r>
            <w:r>
              <w:t>2018–19</w:t>
            </w:r>
          </w:p>
        </w:tc>
        <w:tc>
          <w:tcPr>
            <w:tcW w:w="1701" w:type="dxa"/>
            <w:shd w:val="clear" w:color="auto" w:fill="EBF4FB"/>
          </w:tcPr>
          <w:p w:rsidR="00156239" w:rsidRDefault="00E15E1B" w:rsidP="00FC025D">
            <w:pPr>
              <w:pStyle w:val="TableTextRight"/>
            </w:pPr>
            <w:r>
              <w:t xml:space="preserve"> </w:t>
            </w:r>
            <w:r w:rsidR="00156239">
              <w:t>$256,000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Housing</w:t>
            </w:r>
            <w:r w:rsidR="00E15E1B">
              <w:t xml:space="preserve"> </w:t>
            </w:r>
            <w:r>
              <w:t>Choices</w:t>
            </w:r>
            <w:r w:rsidR="00E15E1B">
              <w:t xml:space="preserve"> </w:t>
            </w:r>
            <w:r>
              <w:t>Australia</w:t>
            </w:r>
            <w:r w:rsidR="00E15E1B">
              <w:t xml:space="preserve"> </w:t>
            </w:r>
            <w:r>
              <w:t>Ltd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Environmentally</w:t>
            </w:r>
            <w:r w:rsidR="00E15E1B">
              <w:t xml:space="preserve"> </w:t>
            </w:r>
            <w:r>
              <w:t>sustainable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project</w:t>
            </w:r>
            <w:r w:rsidR="00E15E1B">
              <w:t xml:space="preserve"> </w:t>
            </w:r>
            <w:r>
              <w:t>2018–19</w:t>
            </w:r>
          </w:p>
        </w:tc>
        <w:tc>
          <w:tcPr>
            <w:tcW w:w="1701" w:type="dxa"/>
            <w:shd w:val="clear" w:color="auto" w:fill="EBF4FB"/>
          </w:tcPr>
          <w:p w:rsidR="00156239" w:rsidRDefault="00E15E1B" w:rsidP="00FC025D">
            <w:pPr>
              <w:pStyle w:val="TableTextRight"/>
            </w:pPr>
            <w:r>
              <w:t xml:space="preserve"> </w:t>
            </w:r>
            <w:r w:rsidR="00156239">
              <w:t>$177,512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South</w:t>
            </w:r>
            <w:r w:rsidR="00E15E1B">
              <w:t xml:space="preserve"> </w:t>
            </w:r>
            <w:r>
              <w:t>Port</w:t>
            </w:r>
            <w:r w:rsidR="00E15E1B">
              <w:t xml:space="preserve"> </w:t>
            </w:r>
            <w:r>
              <w:t>Community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Group</w:t>
            </w:r>
            <w:r w:rsidR="00E15E1B">
              <w:t xml:space="preserve"> </w:t>
            </w:r>
            <w:r>
              <w:t>Inc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Environmentally</w:t>
            </w:r>
            <w:r w:rsidR="00E15E1B">
              <w:t xml:space="preserve"> </w:t>
            </w:r>
            <w:r>
              <w:t>sustainable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project</w:t>
            </w:r>
            <w:r w:rsidR="00E15E1B">
              <w:t xml:space="preserve"> </w:t>
            </w:r>
            <w:r>
              <w:t>2018–19</w:t>
            </w:r>
          </w:p>
        </w:tc>
        <w:tc>
          <w:tcPr>
            <w:tcW w:w="1701" w:type="dxa"/>
            <w:shd w:val="clear" w:color="auto" w:fill="EBF4FB"/>
          </w:tcPr>
          <w:p w:rsidR="00156239" w:rsidRDefault="00E15E1B" w:rsidP="00FC025D">
            <w:pPr>
              <w:pStyle w:val="TableTextRight"/>
            </w:pPr>
            <w:r>
              <w:t xml:space="preserve"> </w:t>
            </w:r>
            <w:r w:rsidR="00156239">
              <w:t>$95,000</w:t>
            </w:r>
            <w:r>
              <w:t xml:space="preserve"> 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SouthEast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Cooperative</w:t>
            </w:r>
            <w:r w:rsidR="00E15E1B">
              <w:t xml:space="preserve"> </w:t>
            </w:r>
            <w:r>
              <w:t>Ltd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Environmentally</w:t>
            </w:r>
            <w:r w:rsidR="00E15E1B">
              <w:t xml:space="preserve"> </w:t>
            </w:r>
            <w:r>
              <w:t>sustainable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project</w:t>
            </w:r>
            <w:r w:rsidR="00E15E1B">
              <w:t xml:space="preserve"> </w:t>
            </w:r>
            <w:r>
              <w:t>2018–19</w:t>
            </w:r>
          </w:p>
        </w:tc>
        <w:tc>
          <w:tcPr>
            <w:tcW w:w="1701" w:type="dxa"/>
            <w:shd w:val="clear" w:color="auto" w:fill="EBF4FB"/>
          </w:tcPr>
          <w:p w:rsidR="00156239" w:rsidRDefault="00E15E1B" w:rsidP="00FC025D">
            <w:pPr>
              <w:pStyle w:val="TableTextRight"/>
            </w:pPr>
            <w:r>
              <w:t xml:space="preserve"> </w:t>
            </w:r>
            <w:r w:rsidR="00156239">
              <w:t>$518,505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Unison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Ltd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Social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development</w:t>
            </w:r>
            <w:r w:rsidR="00E15E1B">
              <w:t xml:space="preserve"> </w:t>
            </w:r>
            <w:r>
              <w:t>at</w:t>
            </w:r>
            <w:r w:rsidR="00E15E1B">
              <w:t xml:space="preserve"> </w:t>
            </w:r>
            <w:r>
              <w:t>52</w:t>
            </w:r>
            <w:r w:rsidR="00E15E1B">
              <w:t xml:space="preserve"> </w:t>
            </w:r>
            <w:r>
              <w:t>Napier</w:t>
            </w:r>
            <w:r w:rsidR="00E15E1B">
              <w:t xml:space="preserve"> </w:t>
            </w:r>
            <w:r>
              <w:t>Street,</w:t>
            </w:r>
            <w:r w:rsidR="00E15E1B">
              <w:t xml:space="preserve"> </w:t>
            </w:r>
            <w:r>
              <w:t>Footscray</w:t>
            </w:r>
          </w:p>
        </w:tc>
        <w:tc>
          <w:tcPr>
            <w:tcW w:w="1701" w:type="dxa"/>
            <w:shd w:val="clear" w:color="auto" w:fill="EBF4FB"/>
          </w:tcPr>
          <w:p w:rsidR="00156239" w:rsidRDefault="00E15E1B" w:rsidP="00FC025D">
            <w:pPr>
              <w:pStyle w:val="TableTextRight"/>
            </w:pPr>
            <w:r>
              <w:t xml:space="preserve"> </w:t>
            </w:r>
            <w:r w:rsidR="00156239">
              <w:t>$5,000,000</w:t>
            </w:r>
            <w:r>
              <w:t xml:space="preserve"> 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Community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(Vic)</w:t>
            </w:r>
            <w:r w:rsidR="00E15E1B">
              <w:t xml:space="preserve"> </w:t>
            </w:r>
            <w:r>
              <w:t>Ltd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Social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development</w:t>
            </w:r>
            <w:r w:rsidR="00E15E1B">
              <w:t xml:space="preserve"> </w:t>
            </w:r>
            <w:r>
              <w:t>at</w:t>
            </w:r>
            <w:r w:rsidR="00E15E1B">
              <w:t xml:space="preserve"> </w:t>
            </w:r>
            <w:r>
              <w:t>23</w:t>
            </w:r>
            <w:r w:rsidR="00E15E1B">
              <w:t xml:space="preserve"> </w:t>
            </w:r>
            <w:r>
              <w:t>Cilento</w:t>
            </w:r>
            <w:r w:rsidR="00E15E1B">
              <w:t xml:space="preserve"> </w:t>
            </w:r>
            <w:r>
              <w:t>Crescent,</w:t>
            </w:r>
            <w:r w:rsidR="00E15E1B">
              <w:t xml:space="preserve"> </w:t>
            </w:r>
            <w:r>
              <w:t>Lynbrook</w:t>
            </w:r>
          </w:p>
        </w:tc>
        <w:tc>
          <w:tcPr>
            <w:tcW w:w="1701" w:type="dxa"/>
            <w:shd w:val="clear" w:color="auto" w:fill="EBF4FB"/>
          </w:tcPr>
          <w:p w:rsidR="00156239" w:rsidRDefault="00E15E1B" w:rsidP="00FC025D">
            <w:pPr>
              <w:pStyle w:val="TableTextRight"/>
            </w:pPr>
            <w:r>
              <w:t xml:space="preserve"> </w:t>
            </w:r>
            <w:r w:rsidR="00156239">
              <w:t>$2,800,000</w:t>
            </w:r>
            <w:r>
              <w:t xml:space="preserve"> 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Women’s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Ltd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Social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development</w:t>
            </w:r>
            <w:r w:rsidR="00E15E1B">
              <w:t xml:space="preserve"> </w:t>
            </w:r>
            <w:r>
              <w:t>at</w:t>
            </w:r>
            <w:r w:rsidR="00E15E1B">
              <w:t xml:space="preserve"> </w:t>
            </w:r>
            <w:r>
              <w:t>658</w:t>
            </w:r>
            <w:r w:rsidR="00E15E1B">
              <w:t xml:space="preserve"> </w:t>
            </w:r>
            <w:r>
              <w:t>Mountain</w:t>
            </w:r>
            <w:r w:rsidR="00E15E1B">
              <w:t xml:space="preserve"> </w:t>
            </w:r>
            <w:r>
              <w:t>Highway,</w:t>
            </w:r>
            <w:r w:rsidR="00E15E1B">
              <w:t xml:space="preserve"> </w:t>
            </w:r>
            <w:r>
              <w:t>Bayswater</w:t>
            </w:r>
          </w:p>
        </w:tc>
        <w:tc>
          <w:tcPr>
            <w:tcW w:w="1701" w:type="dxa"/>
            <w:shd w:val="clear" w:color="auto" w:fill="EBF4FB"/>
          </w:tcPr>
          <w:p w:rsidR="00156239" w:rsidRDefault="00E15E1B" w:rsidP="00FC025D">
            <w:pPr>
              <w:pStyle w:val="TableTextRight"/>
            </w:pPr>
            <w:r>
              <w:t xml:space="preserve"> </w:t>
            </w:r>
            <w:r w:rsidR="00156239">
              <w:t>$2,081,698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Victorian</w:t>
            </w:r>
            <w:r w:rsidR="00E15E1B">
              <w:t xml:space="preserve"> </w:t>
            </w:r>
            <w:r>
              <w:t>Women’s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Association</w:t>
            </w:r>
            <w:r w:rsidR="00E15E1B">
              <w:t xml:space="preserve"> </w:t>
            </w:r>
            <w:r>
              <w:t>Ltd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Social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development</w:t>
            </w:r>
            <w:r w:rsidR="00E15E1B">
              <w:t xml:space="preserve"> </w:t>
            </w:r>
            <w:r>
              <w:t>at</w:t>
            </w:r>
            <w:r w:rsidR="00E15E1B">
              <w:t xml:space="preserve"> </w:t>
            </w:r>
            <w:r>
              <w:t>20</w:t>
            </w:r>
            <w:r w:rsidR="00E15E1B">
              <w:t xml:space="preserve"> </w:t>
            </w:r>
            <w:r>
              <w:t>Storey</w:t>
            </w:r>
            <w:r w:rsidR="00E15E1B">
              <w:t xml:space="preserve"> </w:t>
            </w:r>
            <w:r>
              <w:t>Drive,</w:t>
            </w:r>
            <w:r w:rsidR="00E15E1B">
              <w:t xml:space="preserve"> </w:t>
            </w:r>
            <w:r>
              <w:t>Pakenham</w:t>
            </w:r>
          </w:p>
        </w:tc>
        <w:tc>
          <w:tcPr>
            <w:tcW w:w="1701" w:type="dxa"/>
            <w:shd w:val="clear" w:color="auto" w:fill="EBF4FB"/>
          </w:tcPr>
          <w:p w:rsidR="00156239" w:rsidRDefault="00E15E1B" w:rsidP="00FC025D">
            <w:pPr>
              <w:pStyle w:val="TableTextRight"/>
            </w:pPr>
            <w:r>
              <w:t xml:space="preserve"> </w:t>
            </w:r>
            <w:r w:rsidR="00156239">
              <w:t>$1,335,000</w:t>
            </w:r>
            <w:r>
              <w:t xml:space="preserve"> 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Housing</w:t>
            </w:r>
            <w:r w:rsidR="00E15E1B">
              <w:t xml:space="preserve"> </w:t>
            </w:r>
            <w:r>
              <w:t>Choices</w:t>
            </w:r>
            <w:r w:rsidR="00E15E1B">
              <w:t xml:space="preserve"> </w:t>
            </w:r>
            <w:r>
              <w:t>Australia</w:t>
            </w:r>
            <w:r w:rsidR="00E15E1B">
              <w:t xml:space="preserve"> </w:t>
            </w:r>
            <w:r>
              <w:t>Ltd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Social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development</w:t>
            </w:r>
            <w:r w:rsidR="00E15E1B">
              <w:t xml:space="preserve"> </w:t>
            </w:r>
            <w:r>
              <w:t>at</w:t>
            </w:r>
            <w:r w:rsidR="00E15E1B">
              <w:t xml:space="preserve"> </w:t>
            </w:r>
            <w:r>
              <w:t>9</w:t>
            </w:r>
            <w:r w:rsidR="00E15E1B">
              <w:t xml:space="preserve"> </w:t>
            </w:r>
            <w:r>
              <w:t>Gertrude</w:t>
            </w:r>
            <w:r w:rsidR="00E15E1B">
              <w:t xml:space="preserve"> </w:t>
            </w:r>
            <w:r>
              <w:t>Street,</w:t>
            </w:r>
            <w:r w:rsidR="00E15E1B">
              <w:t xml:space="preserve"> </w:t>
            </w:r>
            <w:r>
              <w:t>St</w:t>
            </w:r>
            <w:r w:rsidR="00E15E1B">
              <w:t xml:space="preserve"> </w:t>
            </w:r>
            <w:r>
              <w:t>Albans</w:t>
            </w:r>
          </w:p>
        </w:tc>
        <w:tc>
          <w:tcPr>
            <w:tcW w:w="1701" w:type="dxa"/>
            <w:shd w:val="clear" w:color="auto" w:fill="EBF4FB"/>
          </w:tcPr>
          <w:p w:rsidR="00156239" w:rsidRDefault="00E15E1B" w:rsidP="00FC025D">
            <w:pPr>
              <w:pStyle w:val="TableTextRight"/>
            </w:pPr>
            <w:r>
              <w:t xml:space="preserve"> </w:t>
            </w:r>
            <w:r w:rsidR="00156239">
              <w:t>$1,561,070</w:t>
            </w:r>
            <w:r>
              <w:t xml:space="preserve"> 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Launch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Ltd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Transportable</w:t>
            </w:r>
            <w:r w:rsidR="00E15E1B">
              <w:t xml:space="preserve"> </w:t>
            </w:r>
            <w:r>
              <w:t>modular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on</w:t>
            </w:r>
            <w:r w:rsidR="00E15E1B">
              <w:t xml:space="preserve"> </w:t>
            </w:r>
            <w:r>
              <w:t>VicRoads</w:t>
            </w:r>
            <w:r w:rsidR="00E15E1B">
              <w:t xml:space="preserve"> </w:t>
            </w:r>
            <w:r>
              <w:t>blocks</w:t>
            </w:r>
          </w:p>
        </w:tc>
        <w:tc>
          <w:tcPr>
            <w:tcW w:w="1701" w:type="dxa"/>
            <w:shd w:val="clear" w:color="auto" w:fill="EBF4FB"/>
          </w:tcPr>
          <w:p w:rsidR="00156239" w:rsidRDefault="00E15E1B" w:rsidP="00FC025D">
            <w:pPr>
              <w:pStyle w:val="TableTextRight"/>
            </w:pPr>
            <w:r>
              <w:t xml:space="preserve"> </w:t>
            </w:r>
            <w:r w:rsidR="00156239">
              <w:t>$3,000,000</w:t>
            </w:r>
            <w:r>
              <w:t xml:space="preserve"> 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Loddon</w:t>
            </w:r>
            <w:r w:rsidR="00E15E1B">
              <w:t xml:space="preserve"> </w:t>
            </w:r>
            <w:r>
              <w:t>Mallee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Services</w:t>
            </w:r>
            <w:r w:rsidR="00E15E1B">
              <w:t xml:space="preserve"> </w:t>
            </w:r>
            <w:r>
              <w:t>Ltd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Social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developments</w:t>
            </w:r>
            <w:r w:rsidR="00E15E1B">
              <w:t xml:space="preserve"> </w:t>
            </w:r>
            <w:r>
              <w:t>at</w:t>
            </w:r>
            <w:r w:rsidR="00E15E1B">
              <w:t xml:space="preserve"> </w:t>
            </w:r>
            <w:r>
              <w:t>17A</w:t>
            </w:r>
            <w:r w:rsidR="00E15E1B">
              <w:t xml:space="preserve"> </w:t>
            </w:r>
            <w:r>
              <w:t>Lobb</w:t>
            </w:r>
            <w:r w:rsidR="00E15E1B">
              <w:t xml:space="preserve"> </w:t>
            </w:r>
            <w:r>
              <w:t>Street</w:t>
            </w:r>
            <w:r w:rsidR="00E15E1B">
              <w:t xml:space="preserve"> </w:t>
            </w:r>
            <w:r>
              <w:t>and</w:t>
            </w:r>
            <w:r w:rsidR="00E15E1B">
              <w:t xml:space="preserve"> </w:t>
            </w:r>
            <w:r>
              <w:t>57</w:t>
            </w:r>
            <w:r w:rsidR="00E15E1B">
              <w:t xml:space="preserve"> </w:t>
            </w:r>
            <w:r>
              <w:t>Somerville</w:t>
            </w:r>
            <w:r w:rsidR="00E15E1B">
              <w:t xml:space="preserve"> </w:t>
            </w:r>
            <w:r>
              <w:t>Street,</w:t>
            </w:r>
            <w:r w:rsidR="00E15E1B">
              <w:t xml:space="preserve"> </w:t>
            </w:r>
            <w:r>
              <w:t>Bendigo</w:t>
            </w:r>
          </w:p>
        </w:tc>
        <w:tc>
          <w:tcPr>
            <w:tcW w:w="1701" w:type="dxa"/>
            <w:shd w:val="clear" w:color="auto" w:fill="EBF4FB"/>
          </w:tcPr>
          <w:p w:rsidR="00156239" w:rsidRDefault="00E15E1B" w:rsidP="00FC025D">
            <w:pPr>
              <w:pStyle w:val="TableTextRight"/>
            </w:pPr>
            <w:r>
              <w:t xml:space="preserve"> </w:t>
            </w:r>
            <w:r w:rsidR="00156239">
              <w:t>$2,780,000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Rural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Network</w:t>
            </w:r>
            <w:r w:rsidR="00E15E1B">
              <w:t xml:space="preserve"> </w:t>
            </w:r>
            <w:r>
              <w:t>Ltd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Five</w:t>
            </w:r>
            <w:r w:rsidR="00E15E1B">
              <w:t xml:space="preserve"> </w:t>
            </w:r>
            <w:r>
              <w:t>social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developments</w:t>
            </w:r>
            <w:r w:rsidR="00E15E1B">
              <w:t xml:space="preserve"> </w:t>
            </w:r>
            <w:r>
              <w:t>in</w:t>
            </w:r>
            <w:r w:rsidR="00E15E1B">
              <w:t xml:space="preserve"> </w:t>
            </w:r>
            <w:r>
              <w:t>Mitchell</w:t>
            </w:r>
            <w:r w:rsidR="00E15E1B">
              <w:t xml:space="preserve"> </w:t>
            </w:r>
            <w:r>
              <w:t>Shire</w:t>
            </w:r>
          </w:p>
        </w:tc>
        <w:tc>
          <w:tcPr>
            <w:tcW w:w="1701" w:type="dxa"/>
            <w:shd w:val="clear" w:color="auto" w:fill="EBF4FB"/>
          </w:tcPr>
          <w:p w:rsidR="00156239" w:rsidRDefault="00E15E1B" w:rsidP="00FC025D">
            <w:pPr>
              <w:pStyle w:val="TableTextRight"/>
            </w:pPr>
            <w:r>
              <w:t xml:space="preserve"> </w:t>
            </w:r>
            <w:r w:rsidR="00156239">
              <w:t>$2,017,000</w:t>
            </w:r>
            <w:r>
              <w:t xml:space="preserve"> 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Port</w:t>
            </w:r>
            <w:r w:rsidR="00E15E1B">
              <w:t xml:space="preserve"> </w:t>
            </w:r>
            <w:r>
              <w:t>Phillip</w:t>
            </w:r>
            <w:r w:rsidR="00E15E1B">
              <w:t xml:space="preserve"> </w:t>
            </w:r>
            <w:r>
              <w:t>Housing</w:t>
            </w:r>
            <w:r w:rsidR="00E15E1B">
              <w:t xml:space="preserve"> </w:t>
            </w:r>
            <w:r>
              <w:t>Association</w:t>
            </w:r>
            <w:r w:rsidR="00E15E1B">
              <w:t xml:space="preserve"> </w:t>
            </w:r>
            <w:r>
              <w:t>Ltd</w:t>
            </w:r>
          </w:p>
        </w:tc>
        <w:tc>
          <w:tcPr>
            <w:tcW w:w="4967" w:type="dxa"/>
            <w:shd w:val="clear" w:color="auto" w:fill="EBF4FB"/>
          </w:tcPr>
          <w:p w:rsidR="00156239" w:rsidRDefault="00156239" w:rsidP="00FC025D">
            <w:pPr>
              <w:pStyle w:val="TableText"/>
            </w:pPr>
            <w:r>
              <w:t>Redevelopment</w:t>
            </w:r>
            <w:r w:rsidR="00E15E1B">
              <w:t xml:space="preserve"> </w:t>
            </w:r>
            <w:r>
              <w:t>of</w:t>
            </w:r>
            <w:r w:rsidR="00E15E1B">
              <w:t xml:space="preserve"> </w:t>
            </w:r>
            <w:r>
              <w:t>the</w:t>
            </w:r>
            <w:r w:rsidR="00E15E1B">
              <w:t xml:space="preserve"> </w:t>
            </w:r>
            <w:r>
              <w:t>Regal,</w:t>
            </w:r>
            <w:r w:rsidR="00E15E1B">
              <w:t xml:space="preserve"> </w:t>
            </w:r>
            <w:r>
              <w:t>5</w:t>
            </w:r>
            <w:r w:rsidR="00E15E1B">
              <w:t xml:space="preserve"> </w:t>
            </w:r>
            <w:r>
              <w:t>Little</w:t>
            </w:r>
            <w:r w:rsidR="00E15E1B">
              <w:t xml:space="preserve"> </w:t>
            </w:r>
            <w:r>
              <w:t>Grey</w:t>
            </w:r>
            <w:r w:rsidR="00E15E1B">
              <w:t xml:space="preserve"> </w:t>
            </w:r>
            <w:r>
              <w:t>Street,</w:t>
            </w:r>
            <w:r w:rsidR="00E15E1B">
              <w:t xml:space="preserve"> </w:t>
            </w:r>
            <w:r>
              <w:t>St</w:t>
            </w:r>
            <w:r w:rsidR="00E15E1B">
              <w:t xml:space="preserve"> </w:t>
            </w:r>
            <w:r>
              <w:t>Kilda</w:t>
            </w:r>
          </w:p>
        </w:tc>
        <w:tc>
          <w:tcPr>
            <w:tcW w:w="1701" w:type="dxa"/>
            <w:shd w:val="clear" w:color="auto" w:fill="EBF4FB"/>
          </w:tcPr>
          <w:p w:rsidR="00156239" w:rsidRDefault="00E15E1B" w:rsidP="00FC025D">
            <w:pPr>
              <w:pStyle w:val="TableTextRight"/>
            </w:pPr>
            <w:r>
              <w:t xml:space="preserve"> </w:t>
            </w:r>
            <w:r w:rsidR="00156239">
              <w:t>$6,888,840</w:t>
            </w:r>
          </w:p>
        </w:tc>
      </w:tr>
      <w:tr w:rsidR="00156239" w:rsidRPr="00F41A61" w:rsidTr="00104254">
        <w:trPr>
          <w:trHeight w:val="68"/>
        </w:trPr>
        <w:tc>
          <w:tcPr>
            <w:tcW w:w="2404" w:type="dxa"/>
            <w:shd w:val="clear" w:color="auto" w:fill="EBF4FB"/>
          </w:tcPr>
          <w:p w:rsidR="00156239" w:rsidRPr="003932B1" w:rsidRDefault="00156239" w:rsidP="00FC025D">
            <w:pPr>
              <w:pStyle w:val="TableText"/>
              <w:rPr>
                <w:rStyle w:val="Strong"/>
              </w:rPr>
            </w:pPr>
            <w:r w:rsidRPr="003932B1">
              <w:rPr>
                <w:rStyle w:val="Strong"/>
              </w:rPr>
              <w:t>Total</w:t>
            </w:r>
          </w:p>
        </w:tc>
        <w:tc>
          <w:tcPr>
            <w:tcW w:w="4967" w:type="dxa"/>
            <w:shd w:val="clear" w:color="auto" w:fill="EBF4FB"/>
          </w:tcPr>
          <w:p w:rsidR="00156239" w:rsidRPr="00F41A61" w:rsidRDefault="00156239" w:rsidP="00FC025D">
            <w:pPr>
              <w:pStyle w:val="TableText"/>
              <w:rPr>
                <w:rFonts w:ascii="VIC-SemiBold" w:hAnsi="VIC-SemiBold"/>
              </w:rPr>
            </w:pPr>
          </w:p>
        </w:tc>
        <w:tc>
          <w:tcPr>
            <w:tcW w:w="1701" w:type="dxa"/>
            <w:shd w:val="clear" w:color="auto" w:fill="EBF4FB"/>
          </w:tcPr>
          <w:p w:rsidR="00156239" w:rsidRPr="003932B1" w:rsidRDefault="00156239" w:rsidP="00410D44">
            <w:pPr>
              <w:pStyle w:val="TableText"/>
              <w:jc w:val="right"/>
              <w:rPr>
                <w:rStyle w:val="Strong"/>
              </w:rPr>
            </w:pPr>
            <w:r w:rsidRPr="003932B1">
              <w:rPr>
                <w:rStyle w:val="Strong"/>
              </w:rPr>
              <w:t>$29,279,027</w:t>
            </w:r>
          </w:p>
        </w:tc>
      </w:tr>
    </w:tbl>
    <w:p w:rsidR="00E21774" w:rsidRPr="0058055D" w:rsidRDefault="00E21774" w:rsidP="00156239">
      <w:pPr>
        <w:pStyle w:val="BodyText"/>
      </w:pPr>
    </w:p>
    <w:p w:rsidR="00AA5C2C" w:rsidRPr="0058055D" w:rsidRDefault="00AA5C2C" w:rsidP="0058055D">
      <w:pPr>
        <w:pStyle w:val="BodyText"/>
        <w:sectPr w:rsidR="00AA5C2C" w:rsidRPr="0058055D" w:rsidSect="00783BEE">
          <w:footerReference w:type="default" r:id="rId15"/>
          <w:footnotePr>
            <w:numRestart w:val="eachPage"/>
          </w:footnotePr>
          <w:pgSz w:w="11906" w:h="16838" w:code="9"/>
          <w:pgMar w:top="1418" w:right="1418" w:bottom="1134" w:left="1418" w:header="510" w:footer="510" w:gutter="0"/>
          <w:cols w:space="708"/>
          <w:titlePg/>
          <w:docGrid w:linePitch="360"/>
        </w:sectPr>
      </w:pPr>
    </w:p>
    <w:p w:rsidR="00C90E80" w:rsidRDefault="00C90E80" w:rsidP="00035675">
      <w:pPr>
        <w:pStyle w:val="Heading2"/>
        <w:spacing w:after="200"/>
      </w:pPr>
      <w:bookmarkStart w:id="17" w:name="_Toc457494729"/>
      <w:bookmarkStart w:id="18" w:name="_Toc457495000"/>
      <w:bookmarkStart w:id="19" w:name="_Toc464830770"/>
      <w:bookmarkStart w:id="20" w:name="_Toc525132667"/>
      <w:r>
        <w:lastRenderedPageBreak/>
        <w:t>Financial</w:t>
      </w:r>
      <w:r w:rsidR="00E15E1B">
        <w:t xml:space="preserve"> </w:t>
      </w:r>
      <w:r>
        <w:t>i</w:t>
      </w:r>
      <w:r w:rsidR="001A3474">
        <w:t>nformation</w:t>
      </w:r>
      <w:r w:rsidR="00E15E1B">
        <w:t xml:space="preserve"> </w:t>
      </w:r>
      <w:r w:rsidR="00156239">
        <w:t>2017</w:t>
      </w:r>
      <w:r w:rsidR="001A3474">
        <w:t>–</w:t>
      </w:r>
      <w:r>
        <w:t>1</w:t>
      </w:r>
      <w:bookmarkEnd w:id="17"/>
      <w:bookmarkEnd w:id="18"/>
      <w:bookmarkEnd w:id="19"/>
      <w:r w:rsidR="00156239">
        <w:t>8</w:t>
      </w:r>
      <w:bookmarkEnd w:id="20"/>
    </w:p>
    <w:tbl>
      <w:tblPr>
        <w:tblW w:w="1570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3277"/>
        <w:gridCol w:w="1086"/>
        <w:gridCol w:w="1086"/>
        <w:gridCol w:w="1086"/>
        <w:gridCol w:w="1387"/>
        <w:gridCol w:w="1210"/>
        <w:gridCol w:w="1087"/>
        <w:gridCol w:w="1087"/>
        <w:gridCol w:w="1087"/>
        <w:gridCol w:w="1139"/>
        <w:gridCol w:w="1087"/>
        <w:gridCol w:w="1087"/>
      </w:tblGrid>
      <w:tr w:rsidR="00C344CE" w:rsidRPr="00F41A61" w:rsidTr="00DF586C">
        <w:trPr>
          <w:trHeight w:val="60"/>
          <w:tblHeader/>
        </w:trPr>
        <w:tc>
          <w:tcPr>
            <w:tcW w:w="3448" w:type="dxa"/>
            <w:tcBorders>
              <w:right w:val="single" w:sz="4" w:space="0" w:color="FFFFFF"/>
            </w:tcBorders>
            <w:shd w:val="clear" w:color="auto" w:fill="0072CE"/>
            <w:vAlign w:val="bottom"/>
          </w:tcPr>
          <w:p w:rsidR="00C344CE" w:rsidRPr="00F41A61" w:rsidRDefault="00C344CE" w:rsidP="00104254">
            <w:pPr>
              <w:pStyle w:val="TableColHead"/>
            </w:pP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C344CE" w:rsidRPr="0014134E" w:rsidRDefault="00C344CE" w:rsidP="00F41A61">
            <w:pPr>
              <w:pStyle w:val="TableColHeadRight"/>
              <w:rPr>
                <w:sz w:val="13"/>
                <w:szCs w:val="13"/>
              </w:rPr>
            </w:pPr>
            <w:r w:rsidRPr="0014134E">
              <w:rPr>
                <w:sz w:val="13"/>
                <w:szCs w:val="13"/>
              </w:rPr>
              <w:t>Victorian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Consumer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Law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Fund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C344CE" w:rsidRPr="0014134E" w:rsidRDefault="00C344CE" w:rsidP="00F41A61">
            <w:pPr>
              <w:pStyle w:val="TableColHeadRight"/>
              <w:rPr>
                <w:sz w:val="13"/>
                <w:szCs w:val="13"/>
              </w:rPr>
            </w:pPr>
            <w:r w:rsidRPr="0014134E">
              <w:rPr>
                <w:sz w:val="13"/>
                <w:szCs w:val="13"/>
              </w:rPr>
              <w:t>Domestic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Builders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Fund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C344CE" w:rsidRPr="0014134E" w:rsidRDefault="00C344CE" w:rsidP="00F41A61">
            <w:pPr>
              <w:pStyle w:val="TableColHeadRight"/>
              <w:rPr>
                <w:sz w:val="13"/>
                <w:szCs w:val="13"/>
              </w:rPr>
            </w:pPr>
            <w:r w:rsidRPr="0014134E">
              <w:rPr>
                <w:sz w:val="13"/>
                <w:szCs w:val="13"/>
              </w:rPr>
              <w:t>Motor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Car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Traders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Guarantee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Fund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C344CE" w:rsidRPr="0014134E" w:rsidRDefault="00C344CE" w:rsidP="00F41A61">
            <w:pPr>
              <w:pStyle w:val="TableColHeadRight"/>
              <w:rPr>
                <w:sz w:val="13"/>
                <w:szCs w:val="13"/>
              </w:rPr>
            </w:pPr>
            <w:r w:rsidRPr="0014134E">
              <w:rPr>
                <w:sz w:val="13"/>
                <w:szCs w:val="13"/>
              </w:rPr>
              <w:t>Residential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Bonds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Investment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Income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br/>
              <w:t>Account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C344CE" w:rsidRPr="0014134E" w:rsidRDefault="00C344CE" w:rsidP="00F41A61">
            <w:pPr>
              <w:pStyle w:val="TableColHeadRight"/>
              <w:rPr>
                <w:sz w:val="13"/>
                <w:szCs w:val="13"/>
              </w:rPr>
            </w:pPr>
            <w:r w:rsidRPr="0014134E">
              <w:rPr>
                <w:sz w:val="13"/>
                <w:szCs w:val="13"/>
              </w:rPr>
              <w:t>Residential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Tenancies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br/>
              <w:t>Fund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C344CE" w:rsidRPr="0014134E" w:rsidRDefault="00C344CE" w:rsidP="00F41A61">
            <w:pPr>
              <w:pStyle w:val="TableColHeadRight"/>
              <w:rPr>
                <w:sz w:val="13"/>
                <w:szCs w:val="13"/>
              </w:rPr>
            </w:pPr>
            <w:r w:rsidRPr="0014134E">
              <w:rPr>
                <w:sz w:val="13"/>
                <w:szCs w:val="13"/>
              </w:rPr>
              <w:t>Sex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Work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Regulation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Fund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C344CE" w:rsidRPr="0014134E" w:rsidRDefault="00C344CE" w:rsidP="00F41A61">
            <w:pPr>
              <w:pStyle w:val="TableColHeadRight"/>
              <w:rPr>
                <w:sz w:val="13"/>
                <w:szCs w:val="13"/>
              </w:rPr>
            </w:pPr>
            <w:r w:rsidRPr="0014134E">
              <w:rPr>
                <w:sz w:val="13"/>
                <w:szCs w:val="13"/>
              </w:rPr>
              <w:t>Victorian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Property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Fund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C344CE" w:rsidRPr="0014134E" w:rsidRDefault="00C344CE" w:rsidP="00F41A61">
            <w:pPr>
              <w:pStyle w:val="TableColHeadRight"/>
              <w:rPr>
                <w:sz w:val="13"/>
                <w:szCs w:val="13"/>
              </w:rPr>
            </w:pPr>
            <w:r w:rsidRPr="0014134E">
              <w:rPr>
                <w:sz w:val="13"/>
                <w:szCs w:val="13"/>
              </w:rPr>
              <w:t>Trust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br/>
              <w:t>Funds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total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br/>
              <w:t>2017–18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C344CE" w:rsidRPr="0014134E" w:rsidRDefault="00C344CE" w:rsidP="00F41A61">
            <w:pPr>
              <w:pStyle w:val="TableColHeadRight"/>
              <w:rPr>
                <w:sz w:val="13"/>
                <w:szCs w:val="13"/>
              </w:rPr>
            </w:pPr>
            <w:r w:rsidRPr="0014134E">
              <w:rPr>
                <w:sz w:val="13"/>
                <w:szCs w:val="13"/>
              </w:rPr>
              <w:t>Appropriations</w:t>
            </w:r>
            <w:r w:rsidR="00D8797C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br/>
              <w:t>2017–18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C344CE" w:rsidRPr="0014134E" w:rsidRDefault="00C344CE" w:rsidP="00F41A61">
            <w:pPr>
              <w:pStyle w:val="TableColHeadRight"/>
              <w:rPr>
                <w:sz w:val="13"/>
                <w:szCs w:val="13"/>
              </w:rPr>
            </w:pPr>
            <w:r w:rsidRPr="0014134E">
              <w:rPr>
                <w:sz w:val="13"/>
                <w:szCs w:val="13"/>
              </w:rPr>
              <w:t>Other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br/>
              <w:t>and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DJR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Corporate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Overhead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0072CE"/>
            <w:tcMar>
              <w:left w:w="0" w:type="dxa"/>
            </w:tcMar>
            <w:vAlign w:val="bottom"/>
          </w:tcPr>
          <w:p w:rsidR="00C344CE" w:rsidRPr="0014134E" w:rsidRDefault="00C344CE" w:rsidP="00F41A61">
            <w:pPr>
              <w:pStyle w:val="TableColHeadRight"/>
              <w:rPr>
                <w:sz w:val="13"/>
                <w:szCs w:val="13"/>
              </w:rPr>
            </w:pPr>
            <w:r w:rsidRPr="0014134E">
              <w:rPr>
                <w:sz w:val="13"/>
                <w:szCs w:val="13"/>
              </w:rPr>
              <w:t>Consumer</w:t>
            </w:r>
            <w:r w:rsidRPr="0014134E">
              <w:rPr>
                <w:sz w:val="13"/>
                <w:szCs w:val="13"/>
              </w:rPr>
              <w:br/>
              <w:t>Affairs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br/>
              <w:t>Victoria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br/>
              <w:t>total</w:t>
            </w:r>
            <w:r w:rsidR="00E15E1B">
              <w:rPr>
                <w:sz w:val="13"/>
                <w:szCs w:val="13"/>
              </w:rPr>
              <w:t xml:space="preserve"> </w:t>
            </w:r>
            <w:r w:rsidRPr="0014134E">
              <w:rPr>
                <w:sz w:val="13"/>
                <w:szCs w:val="13"/>
              </w:rPr>
              <w:t>output</w:t>
            </w:r>
            <w:r w:rsidRPr="0014134E">
              <w:rPr>
                <w:sz w:val="13"/>
                <w:szCs w:val="13"/>
              </w:rPr>
              <w:br/>
              <w:t>2017–18</w:t>
            </w:r>
          </w:p>
        </w:tc>
      </w:tr>
      <w:tr w:rsidR="00C344CE" w:rsidRPr="00F41A61" w:rsidTr="00104254">
        <w:trPr>
          <w:trHeight w:val="60"/>
        </w:trPr>
        <w:tc>
          <w:tcPr>
            <w:tcW w:w="15706" w:type="dxa"/>
            <w:gridSpan w:val="12"/>
            <w:shd w:val="clear" w:color="auto" w:fill="B2D5F0"/>
          </w:tcPr>
          <w:p w:rsidR="00C344CE" w:rsidRPr="00A03F43" w:rsidRDefault="00C344CE" w:rsidP="00F41A61">
            <w:pPr>
              <w:pStyle w:val="TableTextBold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Consumer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Affairs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Victoria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Revenue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Revenue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recognition,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Estate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Agent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and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Conveyancer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trust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accounts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25,793,620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25,793,620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25,793,620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Revenue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recognition,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Residential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Tenancy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Bonds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31,953,066</w:t>
            </w: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31,953,066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31,953,066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Appropriations: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Consumer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Affairs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Victoria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31,348,183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31,348,183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Fees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income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472,097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3,436,179</w:t>
            </w: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2,831,609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943,504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6,995,250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14,678,639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2,578,708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17,257,347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Interest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income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47,678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378,051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69,529</w:t>
            </w: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733,545</w:t>
            </w: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2,034,758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18,253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12,190,427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15,472,241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113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15,472,354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Transferred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from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the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Victorian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Building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Authority</w:t>
            </w:r>
            <w:r w:rsidRPr="00A03F43">
              <w:rPr>
                <w:rStyle w:val="Superscript"/>
                <w:sz w:val="13"/>
                <w:szCs w:val="13"/>
              </w:rPr>
              <w:t>1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13,950,368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13,950,368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13,950,368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Other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revenue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230,462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12,973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968</w:t>
            </w: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80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267,778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512,261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9,447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521,708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Penalty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income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2,529,000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13,386</w:t>
            </w: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2,697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893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10,235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2,556,211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2,556,211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Transfers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(18,700,000)</w:t>
            </w: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32,200,000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350,000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(13,500,000)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350,000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350,000</w:t>
            </w:r>
          </w:p>
        </w:tc>
      </w:tr>
      <w:tr w:rsidR="00E5265B" w:rsidRPr="00342EAB" w:rsidTr="00104254">
        <w:trPr>
          <w:trHeight w:val="60"/>
        </w:trPr>
        <w:tc>
          <w:tcPr>
            <w:tcW w:w="3448" w:type="dxa"/>
            <w:shd w:val="clear" w:color="auto" w:fill="CCE3F5"/>
          </w:tcPr>
          <w:p w:rsidR="00E5265B" w:rsidRPr="00A03F43" w:rsidRDefault="00E5265B" w:rsidP="00F41A61">
            <w:pPr>
              <w:pStyle w:val="TableTextBold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Total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CAV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Revenue</w:t>
            </w:r>
          </w:p>
        </w:tc>
        <w:tc>
          <w:tcPr>
            <w:tcW w:w="959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2,807,140</w:t>
            </w:r>
          </w:p>
        </w:tc>
        <w:tc>
          <w:tcPr>
            <w:tcW w:w="959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14,813,489</w:t>
            </w:r>
          </w:p>
        </w:tc>
        <w:tc>
          <w:tcPr>
            <w:tcW w:w="959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3,519,094</w:t>
            </w:r>
          </w:p>
        </w:tc>
        <w:tc>
          <w:tcPr>
            <w:tcW w:w="1451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13,987,579</w:t>
            </w:r>
          </w:p>
        </w:tc>
        <w:tc>
          <w:tcPr>
            <w:tcW w:w="1264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37,069,064</w:t>
            </w:r>
          </w:p>
        </w:tc>
        <w:tc>
          <w:tcPr>
            <w:tcW w:w="1095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1,312,730</w:t>
            </w:r>
            <w:r w:rsidR="00E15E1B">
              <w:rPr>
                <w:b/>
                <w:sz w:val="13"/>
                <w:szCs w:val="13"/>
              </w:rPr>
              <w:t xml:space="preserve"> </w:t>
            </w:r>
          </w:p>
        </w:tc>
        <w:tc>
          <w:tcPr>
            <w:tcW w:w="1096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31,757,310</w:t>
            </w:r>
          </w:p>
        </w:tc>
        <w:tc>
          <w:tcPr>
            <w:tcW w:w="1095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105,266,406</w:t>
            </w:r>
          </w:p>
        </w:tc>
        <w:tc>
          <w:tcPr>
            <w:tcW w:w="1189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31,348,183</w:t>
            </w:r>
            <w:r w:rsidR="00E15E1B">
              <w:rPr>
                <w:b/>
                <w:sz w:val="13"/>
                <w:szCs w:val="13"/>
              </w:rPr>
              <w:t xml:space="preserve"> </w:t>
            </w:r>
          </w:p>
        </w:tc>
        <w:tc>
          <w:tcPr>
            <w:tcW w:w="1095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2,588,268</w:t>
            </w:r>
          </w:p>
        </w:tc>
        <w:tc>
          <w:tcPr>
            <w:tcW w:w="1096" w:type="dxa"/>
            <w:shd w:val="clear" w:color="auto" w:fill="CCE3F5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139,202,857</w:t>
            </w:r>
          </w:p>
        </w:tc>
      </w:tr>
      <w:tr w:rsidR="00C344CE" w:rsidRPr="00F41A61" w:rsidTr="00104254">
        <w:trPr>
          <w:trHeight w:val="60"/>
        </w:trPr>
        <w:tc>
          <w:tcPr>
            <w:tcW w:w="15706" w:type="dxa"/>
            <w:gridSpan w:val="12"/>
            <w:shd w:val="clear" w:color="auto" w:fill="B2D5F0"/>
          </w:tcPr>
          <w:p w:rsidR="00C344CE" w:rsidRPr="00A03F43" w:rsidRDefault="00C344CE" w:rsidP="00F41A61">
            <w:pPr>
              <w:pStyle w:val="TableTextBold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Consumer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Affairs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Victoria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Expenditure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Audit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services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14,700</w:t>
            </w: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14,700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14,700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Claims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on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consumer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guarantee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funds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382,613</w:t>
            </w: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738,677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1,121,290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1,121,290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Contractors,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consultants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and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professional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services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1,228,220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137,097</w:t>
            </w: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284,749</w:t>
            </w: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973,724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96,253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1,934,181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4,654,224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1,542,612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179,315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6,376,151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Departmental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governance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and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support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costs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4,843,027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4,843,027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Employee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related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costs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9,192,656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1,954,659</w:t>
            </w: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1,666,313</w:t>
            </w: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11,120,469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1,056,716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10,715,798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35,706,611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11,500,333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47,206,944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Grants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paid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204,204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4,151,788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18,341,801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13,317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26,848,624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49,559,734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1,286,579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36,083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50,882,396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Information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technology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262,305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59,703</w:t>
            </w: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48,495</w:t>
            </w: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335,826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36,453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321,448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1,064,230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641,278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1,705,508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Occupancy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costs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158,302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51,475</w:t>
            </w: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46,389</w:t>
            </w: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186,130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18,089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248,776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709,161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4,291,842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5,001,003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Other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operating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costs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1,092,057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449,628</w:t>
            </w: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547,393</w:t>
            </w: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1,780,713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177,783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1,446,625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5,494,199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2,249,381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16,895</w:t>
            </w: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7,760,475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EBF4FB"/>
          </w:tcPr>
          <w:p w:rsidR="00E5265B" w:rsidRPr="00A03F43" w:rsidRDefault="00E5265B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Outsourced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contracted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costs</w:t>
            </w: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959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451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5,840,677</w:t>
            </w:r>
          </w:p>
        </w:tc>
        <w:tc>
          <w:tcPr>
            <w:tcW w:w="1264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5,840,677</w:t>
            </w:r>
          </w:p>
        </w:tc>
        <w:tc>
          <w:tcPr>
            <w:tcW w:w="1189" w:type="dxa"/>
            <w:shd w:val="clear" w:color="auto" w:fill="EBF4FB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9,882,609</w:t>
            </w:r>
          </w:p>
        </w:tc>
        <w:tc>
          <w:tcPr>
            <w:tcW w:w="1095" w:type="dxa"/>
            <w:shd w:val="clear" w:color="auto" w:fill="EBF4FB"/>
          </w:tcPr>
          <w:p w:rsidR="00E5265B" w:rsidRPr="00A03F43" w:rsidRDefault="00E5265B" w:rsidP="00F41A61">
            <w:pPr>
              <w:pStyle w:val="NoParagraphStyle"/>
              <w:spacing w:before="60" w:after="40" w:line="240" w:lineRule="auto"/>
              <w:textAlignment w:val="auto"/>
              <w:rPr>
                <w:rFonts w:ascii="VIC-Medium" w:hAnsi="VIC-Medium" w:cs="Times New Roman"/>
                <w:color w:val="auto"/>
                <w:sz w:val="13"/>
                <w:szCs w:val="13"/>
                <w:lang w:val="en-AU"/>
              </w:rPr>
            </w:pPr>
          </w:p>
        </w:tc>
        <w:tc>
          <w:tcPr>
            <w:tcW w:w="1096" w:type="dxa"/>
            <w:shd w:val="clear" w:color="auto" w:fill="EBF4FB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15,723,286</w:t>
            </w:r>
          </w:p>
        </w:tc>
      </w:tr>
      <w:tr w:rsidR="00E5265B" w:rsidRPr="00F41A61" w:rsidTr="00104254">
        <w:trPr>
          <w:trHeight w:val="60"/>
        </w:trPr>
        <w:tc>
          <w:tcPr>
            <w:tcW w:w="3448" w:type="dxa"/>
            <w:shd w:val="clear" w:color="auto" w:fill="CCE3F5"/>
          </w:tcPr>
          <w:p w:rsidR="00E5265B" w:rsidRPr="00A03F43" w:rsidRDefault="00E5265B" w:rsidP="00F41A61">
            <w:pPr>
              <w:pStyle w:val="TableTextBold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Total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CAV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Expenditure</w:t>
            </w:r>
          </w:p>
        </w:tc>
        <w:tc>
          <w:tcPr>
            <w:tcW w:w="959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204,204</w:t>
            </w:r>
          </w:p>
        </w:tc>
        <w:tc>
          <w:tcPr>
            <w:tcW w:w="959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16,085,328</w:t>
            </w:r>
          </w:p>
        </w:tc>
        <w:tc>
          <w:tcPr>
            <w:tcW w:w="959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3,035,175</w:t>
            </w:r>
          </w:p>
        </w:tc>
        <w:tc>
          <w:tcPr>
            <w:tcW w:w="1451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8,448,716</w:t>
            </w:r>
          </w:p>
        </w:tc>
        <w:tc>
          <w:tcPr>
            <w:tcW w:w="1264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32,738,663</w:t>
            </w:r>
          </w:p>
        </w:tc>
        <w:tc>
          <w:tcPr>
            <w:tcW w:w="1095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1,398,611</w:t>
            </w:r>
          </w:p>
        </w:tc>
        <w:tc>
          <w:tcPr>
            <w:tcW w:w="1096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42,254,129</w:t>
            </w:r>
          </w:p>
        </w:tc>
        <w:tc>
          <w:tcPr>
            <w:tcW w:w="1095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104,164,826</w:t>
            </w:r>
          </w:p>
        </w:tc>
        <w:tc>
          <w:tcPr>
            <w:tcW w:w="1189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31,394,634</w:t>
            </w:r>
            <w:r w:rsidR="00E15E1B">
              <w:rPr>
                <w:b/>
                <w:sz w:val="13"/>
                <w:szCs w:val="13"/>
              </w:rPr>
              <w:t xml:space="preserve"> </w:t>
            </w:r>
          </w:p>
        </w:tc>
        <w:tc>
          <w:tcPr>
            <w:tcW w:w="1095" w:type="dxa"/>
            <w:shd w:val="clear" w:color="auto" w:fill="CCE3F5"/>
          </w:tcPr>
          <w:p w:rsidR="00E5265B" w:rsidRPr="00A03F43" w:rsidRDefault="00E5265B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5,075,320</w:t>
            </w:r>
          </w:p>
        </w:tc>
        <w:tc>
          <w:tcPr>
            <w:tcW w:w="1096" w:type="dxa"/>
            <w:shd w:val="clear" w:color="auto" w:fill="CCE3F5"/>
          </w:tcPr>
          <w:p w:rsidR="00E5265B" w:rsidRPr="00A03F43" w:rsidRDefault="00E5265B" w:rsidP="00342EAB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140,634,780</w:t>
            </w:r>
            <w:r w:rsidRPr="00A03F43">
              <w:rPr>
                <w:rStyle w:val="Superscript"/>
                <w:sz w:val="13"/>
                <w:szCs w:val="13"/>
              </w:rPr>
              <w:t>2</w:t>
            </w:r>
          </w:p>
        </w:tc>
      </w:tr>
      <w:tr w:rsidR="00B35A06" w:rsidRPr="00F41A61" w:rsidTr="00104254">
        <w:trPr>
          <w:gridAfter w:val="3"/>
          <w:wAfter w:w="3380" w:type="dxa"/>
          <w:trHeight w:val="60"/>
        </w:trPr>
        <w:tc>
          <w:tcPr>
            <w:tcW w:w="3448" w:type="dxa"/>
            <w:shd w:val="clear" w:color="auto" w:fill="EBF4FB"/>
          </w:tcPr>
          <w:p w:rsidR="00B35A06" w:rsidRPr="00A03F43" w:rsidRDefault="00B35A06" w:rsidP="00F41A61">
            <w:pPr>
              <w:pStyle w:val="TableTextBold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Trust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Funds,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opening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equity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1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July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2017</w:t>
            </w:r>
          </w:p>
        </w:tc>
        <w:tc>
          <w:tcPr>
            <w:tcW w:w="959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1,695,972</w:t>
            </w:r>
          </w:p>
        </w:tc>
        <w:tc>
          <w:tcPr>
            <w:tcW w:w="959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22,431,906</w:t>
            </w:r>
          </w:p>
        </w:tc>
        <w:tc>
          <w:tcPr>
            <w:tcW w:w="959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4,041,964</w:t>
            </w:r>
          </w:p>
        </w:tc>
        <w:tc>
          <w:tcPr>
            <w:tcW w:w="1451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18,286,523</w:t>
            </w:r>
          </w:p>
        </w:tc>
        <w:tc>
          <w:tcPr>
            <w:tcW w:w="1264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36,236,050</w:t>
            </w:r>
          </w:p>
        </w:tc>
        <w:tc>
          <w:tcPr>
            <w:tcW w:w="1095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1,321,329</w:t>
            </w:r>
          </w:p>
        </w:tc>
        <w:tc>
          <w:tcPr>
            <w:tcW w:w="1096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311,357,009</w:t>
            </w:r>
          </w:p>
        </w:tc>
        <w:tc>
          <w:tcPr>
            <w:tcW w:w="1095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395,370,753</w:t>
            </w:r>
          </w:p>
        </w:tc>
      </w:tr>
      <w:tr w:rsidR="00B35A06" w:rsidRPr="00F41A61" w:rsidTr="00104254">
        <w:trPr>
          <w:gridAfter w:val="3"/>
          <w:wAfter w:w="3380" w:type="dxa"/>
          <w:trHeight w:val="60"/>
        </w:trPr>
        <w:tc>
          <w:tcPr>
            <w:tcW w:w="3448" w:type="dxa"/>
            <w:shd w:val="clear" w:color="auto" w:fill="EBF4FB"/>
          </w:tcPr>
          <w:p w:rsidR="00B35A06" w:rsidRPr="00A03F43" w:rsidRDefault="00B35A06" w:rsidP="00F41A61">
            <w:pPr>
              <w:pStyle w:val="TableTex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Current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year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operating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surplus/(deficit)</w:t>
            </w:r>
            <w:r w:rsidRPr="00A03F43">
              <w:rPr>
                <w:rStyle w:val="Superscript"/>
                <w:sz w:val="13"/>
                <w:szCs w:val="13"/>
              </w:rPr>
              <w:t>3</w:t>
            </w:r>
          </w:p>
        </w:tc>
        <w:tc>
          <w:tcPr>
            <w:tcW w:w="959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2,602,936</w:t>
            </w:r>
          </w:p>
        </w:tc>
        <w:tc>
          <w:tcPr>
            <w:tcW w:w="959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(1,271,839)</w:t>
            </w:r>
          </w:p>
        </w:tc>
        <w:tc>
          <w:tcPr>
            <w:tcW w:w="959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483,919</w:t>
            </w:r>
          </w:p>
        </w:tc>
        <w:tc>
          <w:tcPr>
            <w:tcW w:w="1451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5,538,863</w:t>
            </w:r>
          </w:p>
        </w:tc>
        <w:tc>
          <w:tcPr>
            <w:tcW w:w="1264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4,330,401</w:t>
            </w:r>
          </w:p>
        </w:tc>
        <w:tc>
          <w:tcPr>
            <w:tcW w:w="1095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(85,881)</w:t>
            </w:r>
          </w:p>
        </w:tc>
        <w:tc>
          <w:tcPr>
            <w:tcW w:w="1096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(110,496,819)</w:t>
            </w:r>
            <w:r w:rsidRPr="00A03F43">
              <w:rPr>
                <w:rStyle w:val="Superscript"/>
                <w:sz w:val="13"/>
                <w:szCs w:val="13"/>
              </w:rPr>
              <w:t>3</w:t>
            </w:r>
          </w:p>
        </w:tc>
        <w:tc>
          <w:tcPr>
            <w:tcW w:w="1095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(98,898,420)</w:t>
            </w:r>
          </w:p>
        </w:tc>
      </w:tr>
      <w:tr w:rsidR="00B35A06" w:rsidRPr="00F41A61" w:rsidTr="00104254">
        <w:trPr>
          <w:gridAfter w:val="3"/>
          <w:wAfter w:w="3380" w:type="dxa"/>
          <w:trHeight w:val="60"/>
        </w:trPr>
        <w:tc>
          <w:tcPr>
            <w:tcW w:w="3448" w:type="dxa"/>
            <w:shd w:val="clear" w:color="auto" w:fill="EBF4FB"/>
          </w:tcPr>
          <w:p w:rsidR="00B35A06" w:rsidRPr="00A03F43" w:rsidRDefault="00B35A06" w:rsidP="00F41A61">
            <w:pPr>
              <w:pStyle w:val="TableTextBold"/>
              <w:spacing w:before="60" w:after="40"/>
              <w:rPr>
                <w:sz w:val="13"/>
                <w:szCs w:val="13"/>
              </w:rPr>
            </w:pPr>
            <w:r w:rsidRPr="00A03F43">
              <w:rPr>
                <w:sz w:val="13"/>
                <w:szCs w:val="13"/>
              </w:rPr>
              <w:t>Trust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Funds,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closing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equity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30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June</w:t>
            </w:r>
            <w:r w:rsidR="00E15E1B">
              <w:rPr>
                <w:sz w:val="13"/>
                <w:szCs w:val="13"/>
              </w:rPr>
              <w:t xml:space="preserve"> </w:t>
            </w:r>
            <w:r w:rsidRPr="00A03F43">
              <w:rPr>
                <w:sz w:val="13"/>
                <w:szCs w:val="13"/>
              </w:rPr>
              <w:t>2018</w:t>
            </w:r>
          </w:p>
        </w:tc>
        <w:tc>
          <w:tcPr>
            <w:tcW w:w="959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4,298,908</w:t>
            </w:r>
          </w:p>
        </w:tc>
        <w:tc>
          <w:tcPr>
            <w:tcW w:w="959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21,160,067</w:t>
            </w:r>
          </w:p>
        </w:tc>
        <w:tc>
          <w:tcPr>
            <w:tcW w:w="959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4,525,883</w:t>
            </w:r>
          </w:p>
        </w:tc>
        <w:tc>
          <w:tcPr>
            <w:tcW w:w="1451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23,825,386</w:t>
            </w:r>
          </w:p>
        </w:tc>
        <w:tc>
          <w:tcPr>
            <w:tcW w:w="1264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40,566,451</w:t>
            </w:r>
          </w:p>
        </w:tc>
        <w:tc>
          <w:tcPr>
            <w:tcW w:w="1095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1,235,448</w:t>
            </w:r>
          </w:p>
        </w:tc>
        <w:tc>
          <w:tcPr>
            <w:tcW w:w="1096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200,860,190</w:t>
            </w:r>
          </w:p>
        </w:tc>
        <w:tc>
          <w:tcPr>
            <w:tcW w:w="1095" w:type="dxa"/>
            <w:shd w:val="clear" w:color="auto" w:fill="EBF4FB"/>
          </w:tcPr>
          <w:p w:rsidR="00B35A06" w:rsidRPr="00A03F43" w:rsidRDefault="00B35A06" w:rsidP="00F41A61">
            <w:pPr>
              <w:pStyle w:val="TableTextRight"/>
              <w:spacing w:before="60" w:after="40"/>
              <w:rPr>
                <w:b/>
                <w:sz w:val="13"/>
                <w:szCs w:val="13"/>
              </w:rPr>
            </w:pPr>
            <w:r w:rsidRPr="00A03F43">
              <w:rPr>
                <w:b/>
                <w:sz w:val="13"/>
                <w:szCs w:val="13"/>
              </w:rPr>
              <w:t>296,472,333</w:t>
            </w:r>
          </w:p>
        </w:tc>
      </w:tr>
    </w:tbl>
    <w:p w:rsidR="00C344CE" w:rsidRPr="00A03F43" w:rsidRDefault="00C344CE" w:rsidP="00A03F43">
      <w:pPr>
        <w:pStyle w:val="TableFootnote"/>
        <w:rPr>
          <w:sz w:val="13"/>
          <w:szCs w:val="13"/>
        </w:rPr>
      </w:pPr>
      <w:r w:rsidRPr="00A03F43">
        <w:rPr>
          <w:sz w:val="13"/>
          <w:szCs w:val="13"/>
        </w:rPr>
        <w:t>1</w:t>
      </w:r>
      <w:r w:rsidRPr="00A03F43">
        <w:rPr>
          <w:sz w:val="13"/>
          <w:szCs w:val="13"/>
        </w:rPr>
        <w:tab/>
        <w:t>Domestic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Building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Dispute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Levy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and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Registration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Fees</w:t>
      </w:r>
    </w:p>
    <w:p w:rsidR="00C344CE" w:rsidRPr="00A03F43" w:rsidRDefault="00C344CE" w:rsidP="00A03F43">
      <w:pPr>
        <w:pStyle w:val="TableFootnote"/>
        <w:rPr>
          <w:sz w:val="13"/>
          <w:szCs w:val="13"/>
        </w:rPr>
      </w:pPr>
      <w:r w:rsidRPr="00A03F43">
        <w:rPr>
          <w:sz w:val="13"/>
          <w:szCs w:val="13"/>
        </w:rPr>
        <w:t>2</w:t>
      </w:r>
      <w:r w:rsidRPr="00A03F43">
        <w:rPr>
          <w:sz w:val="13"/>
          <w:szCs w:val="13"/>
        </w:rPr>
        <w:tab/>
        <w:t>CAV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Total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Output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for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2017–18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was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$140,634,780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(the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CAV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2016–17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Output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was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$134,467,748)</w:t>
      </w:r>
    </w:p>
    <w:p w:rsidR="00C344CE" w:rsidRPr="00A03F43" w:rsidRDefault="00C344CE" w:rsidP="00A03F43">
      <w:pPr>
        <w:pStyle w:val="TableFootnote"/>
        <w:rPr>
          <w:sz w:val="13"/>
          <w:szCs w:val="13"/>
        </w:rPr>
      </w:pPr>
      <w:r w:rsidRPr="00A03F43">
        <w:rPr>
          <w:sz w:val="13"/>
          <w:szCs w:val="13"/>
        </w:rPr>
        <w:t>3</w:t>
      </w:r>
      <w:r w:rsidRPr="00A03F43">
        <w:rPr>
          <w:sz w:val="13"/>
          <w:szCs w:val="13"/>
        </w:rPr>
        <w:tab/>
        <w:t>Victorian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Property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Fund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operating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surplus/(deficit)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includes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$100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million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paid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to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DTF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as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part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of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the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VPF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$200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million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contribution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to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its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housing</w:t>
      </w:r>
      <w:r w:rsidR="00E15E1B">
        <w:rPr>
          <w:sz w:val="13"/>
          <w:szCs w:val="13"/>
        </w:rPr>
        <w:t xml:space="preserve"> </w:t>
      </w:r>
      <w:r w:rsidRPr="00A03F43">
        <w:rPr>
          <w:sz w:val="13"/>
          <w:szCs w:val="13"/>
        </w:rPr>
        <w:t>initiatives</w:t>
      </w:r>
    </w:p>
    <w:p w:rsidR="00BF4C8D" w:rsidRPr="0058055D" w:rsidRDefault="00BF4C8D" w:rsidP="0058055D">
      <w:pPr>
        <w:pStyle w:val="BodyText"/>
        <w:sectPr w:rsidR="00BF4C8D" w:rsidRPr="0058055D" w:rsidSect="002457A3">
          <w:footerReference w:type="default" r:id="rId16"/>
          <w:footnotePr>
            <w:numRestart w:val="eachPage"/>
          </w:footnotePr>
          <w:pgSz w:w="16838" w:h="11906" w:orient="landscape" w:code="9"/>
          <w:pgMar w:top="567" w:right="567" w:bottom="851" w:left="567" w:header="510" w:footer="510" w:gutter="0"/>
          <w:cols w:space="708"/>
          <w:docGrid w:linePitch="360"/>
        </w:sectPr>
      </w:pPr>
      <w:bookmarkStart w:id="21" w:name="_Toc457494730"/>
      <w:bookmarkStart w:id="22" w:name="_Toc457495001"/>
      <w:bookmarkStart w:id="23" w:name="_Ref457552696"/>
      <w:bookmarkStart w:id="24" w:name="_Ref457552856"/>
    </w:p>
    <w:p w:rsidR="00156239" w:rsidRDefault="00156239" w:rsidP="00156239">
      <w:pPr>
        <w:pStyle w:val="Heading2"/>
      </w:pPr>
      <w:bookmarkStart w:id="25" w:name="_Toc525132668"/>
      <w:bookmarkEnd w:id="21"/>
      <w:bookmarkEnd w:id="22"/>
      <w:bookmarkEnd w:id="23"/>
      <w:bookmarkEnd w:id="24"/>
      <w:r>
        <w:lastRenderedPageBreak/>
        <w:t>Appendix</w:t>
      </w:r>
      <w:bookmarkEnd w:id="25"/>
    </w:p>
    <w:p w:rsidR="00156239" w:rsidRDefault="00156239" w:rsidP="00156239">
      <w:pPr>
        <w:pStyle w:val="BodyText"/>
      </w:pPr>
      <w:r>
        <w:t>The</w:t>
      </w:r>
      <w:r w:rsidR="00E15E1B">
        <w:t xml:space="preserve"> </w:t>
      </w:r>
      <w:r>
        <w:t>list</w:t>
      </w:r>
      <w:r w:rsidR="00E15E1B">
        <w:t xml:space="preserve"> </w:t>
      </w:r>
      <w:r>
        <w:t>below</w:t>
      </w:r>
      <w:r w:rsidR="00E15E1B">
        <w:t xml:space="preserve"> </w:t>
      </w:r>
      <w:r>
        <w:t>details</w:t>
      </w:r>
      <w:r w:rsidR="00E15E1B">
        <w:t xml:space="preserve"> </w:t>
      </w:r>
      <w:r>
        <w:t>the</w:t>
      </w:r>
      <w:r w:rsidR="00E15E1B">
        <w:t xml:space="preserve"> </w:t>
      </w:r>
      <w:r>
        <w:t>legislation</w:t>
      </w:r>
      <w:r w:rsidR="00E15E1B">
        <w:t xml:space="preserve"> </w:t>
      </w:r>
      <w:r>
        <w:t>administered</w:t>
      </w:r>
      <w:r w:rsidR="00E15E1B">
        <w:t xml:space="preserve"> </w:t>
      </w:r>
      <w:r>
        <w:t>by</w:t>
      </w:r>
      <w:r w:rsidR="00E15E1B">
        <w:t xml:space="preserve"> </w:t>
      </w: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Victoria</w:t>
      </w:r>
      <w:r w:rsidR="00E15E1B">
        <w:t xml:space="preserve"> </w:t>
      </w:r>
      <w:r>
        <w:t>as</w:t>
      </w:r>
      <w:r w:rsidR="00E15E1B">
        <w:t xml:space="preserve"> </w:t>
      </w:r>
      <w:r>
        <w:t>at</w:t>
      </w:r>
      <w:r w:rsidR="00E15E1B">
        <w:t xml:space="preserve"> </w:t>
      </w:r>
      <w:r>
        <w:t>30</w:t>
      </w:r>
      <w:r w:rsidR="00E15E1B">
        <w:t xml:space="preserve"> </w:t>
      </w:r>
      <w:r>
        <w:t>June</w:t>
      </w:r>
      <w:r w:rsidR="00E15E1B">
        <w:t xml:space="preserve"> </w:t>
      </w:r>
      <w:r>
        <w:t>2018: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Associations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Incorporation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Reform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2012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Australian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Consumer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Law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and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Fair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Trading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2012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Business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Licensing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Authority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1998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Business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Names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(Commonwealth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Powers)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2011</w:t>
      </w:r>
    </w:p>
    <w:p w:rsidR="00156239" w:rsidRDefault="00156239" w:rsidP="00156239">
      <w:pPr>
        <w:pStyle w:val="BodyText"/>
      </w:pPr>
      <w:r w:rsidRPr="00E96742">
        <w:rPr>
          <w:rStyle w:val="Emphasis"/>
        </w:rPr>
        <w:t>Chattel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Securities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1987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Company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Titles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(Home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Units)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2013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Consumer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Credit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(Victoria)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1995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Conveyancers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2006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Co-operatives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National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Law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Application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2013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Credit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1984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Credit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(Administration)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1984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Credit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(Commonwealth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Powers)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2010</w:t>
      </w:r>
    </w:p>
    <w:p w:rsidR="00156239" w:rsidRDefault="00156239" w:rsidP="00156239">
      <w:pPr>
        <w:pStyle w:val="BodyText"/>
      </w:pPr>
      <w:r w:rsidRPr="00E96742">
        <w:rPr>
          <w:rStyle w:val="Emphasis"/>
        </w:rPr>
        <w:t>Domestic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Building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Contracts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1995</w:t>
      </w:r>
      <w:r w:rsidR="00E15E1B">
        <w:t xml:space="preserve"> </w:t>
      </w:r>
      <w:r>
        <w:t>–</w:t>
      </w:r>
      <w:r w:rsidR="00E15E1B">
        <w:t xml:space="preserve"> </w:t>
      </w:r>
      <w:r>
        <w:t>except</w:t>
      </w:r>
      <w:r w:rsidR="00E15E1B">
        <w:t xml:space="preserve"> </w:t>
      </w:r>
      <w:r>
        <w:t>Part</w:t>
      </w:r>
      <w:r w:rsidR="00E15E1B">
        <w:t xml:space="preserve"> </w:t>
      </w:r>
      <w:r>
        <w:t>5</w:t>
      </w:r>
      <w:r w:rsidR="00E15E1B">
        <w:t xml:space="preserve"> </w:t>
      </w:r>
      <w:r>
        <w:t>(administered</w:t>
      </w:r>
      <w:r w:rsidR="00E15E1B">
        <w:t xml:space="preserve"> </w:t>
      </w:r>
      <w:r>
        <w:t>by</w:t>
      </w:r>
      <w:r w:rsidR="00E15E1B">
        <w:t xml:space="preserve"> </w:t>
      </w:r>
      <w:r>
        <w:t>the</w:t>
      </w:r>
      <w:r w:rsidR="00E15E1B">
        <w:t xml:space="preserve"> </w:t>
      </w:r>
      <w:r>
        <w:t>Attorney</w:t>
      </w:r>
      <w:r>
        <w:rPr>
          <w:rFonts w:ascii="MS Mincho" w:eastAsia="MS Mincho" w:hAnsi="MS Mincho" w:cs="MS Mincho" w:hint="eastAsia"/>
        </w:rPr>
        <w:t>‑</w:t>
      </w:r>
      <w:r>
        <w:t>General)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Estate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Agents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1980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Fundraising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1998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Funerals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2006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Goods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1958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Motor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Car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Traders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1986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Owners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Corporations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2006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Partnership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1958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Residential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Tenancies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1997:</w:t>
      </w:r>
    </w:p>
    <w:p w:rsidR="00156239" w:rsidRDefault="00156239" w:rsidP="00156239">
      <w:pPr>
        <w:pStyle w:val="ListBullet"/>
      </w:pPr>
      <w:r>
        <w:t>Sections</w:t>
      </w:r>
      <w:r w:rsidR="00E15E1B">
        <w:t xml:space="preserve"> </w:t>
      </w:r>
      <w:r>
        <w:t>23A–25,</w:t>
      </w:r>
      <w:r w:rsidR="00E15E1B">
        <w:t xml:space="preserve"> </w:t>
      </w:r>
      <w:r>
        <w:t>27,</w:t>
      </w:r>
      <w:r w:rsidR="00E15E1B">
        <w:t xml:space="preserve"> </w:t>
      </w:r>
      <w:r>
        <w:t>32,</w:t>
      </w:r>
      <w:r w:rsidR="00E15E1B">
        <w:t xml:space="preserve"> </w:t>
      </w:r>
      <w:r>
        <w:t>33,</w:t>
      </w:r>
      <w:r w:rsidR="00E15E1B">
        <w:t xml:space="preserve"> </w:t>
      </w:r>
      <w:r>
        <w:t>45–48,</w:t>
      </w:r>
      <w:r w:rsidR="00E15E1B">
        <w:t xml:space="preserve"> </w:t>
      </w:r>
      <w:r>
        <w:t>74–77,</w:t>
      </w:r>
      <w:r w:rsidR="00E15E1B">
        <w:t xml:space="preserve"> </w:t>
      </w:r>
      <w:r>
        <w:t>82,</w:t>
      </w:r>
      <w:r w:rsidR="00E15E1B">
        <w:t xml:space="preserve"> </w:t>
      </w:r>
      <w:r>
        <w:t>90,</w:t>
      </w:r>
      <w:r w:rsidR="00E15E1B">
        <w:t xml:space="preserve"> </w:t>
      </w:r>
      <w:r>
        <w:t>91,</w:t>
      </w:r>
      <w:r w:rsidR="00E15E1B">
        <w:t xml:space="preserve"> </w:t>
      </w:r>
      <w:r>
        <w:t>91A,</w:t>
      </w:r>
      <w:r w:rsidR="00E15E1B">
        <w:t xml:space="preserve"> </w:t>
      </w:r>
      <w:r>
        <w:t>102,</w:t>
      </w:r>
      <w:r w:rsidR="00E15E1B">
        <w:t xml:space="preserve"> </w:t>
      </w:r>
      <w:r>
        <w:t>102A,</w:t>
      </w:r>
      <w:r w:rsidR="00E15E1B">
        <w:t xml:space="preserve"> </w:t>
      </w:r>
      <w:r>
        <w:t>103,</w:t>
      </w:r>
      <w:r w:rsidR="00E15E1B">
        <w:t xml:space="preserve"> </w:t>
      </w:r>
      <w:r>
        <w:t>104(1),</w:t>
      </w:r>
      <w:r w:rsidR="00E15E1B">
        <w:t xml:space="preserve"> </w:t>
      </w:r>
      <w:r>
        <w:t>104(4),</w:t>
      </w:r>
      <w:r w:rsidR="00E15E1B">
        <w:t xml:space="preserve"> </w:t>
      </w:r>
      <w:r>
        <w:t>104(5),</w:t>
      </w:r>
      <w:r w:rsidR="00E15E1B">
        <w:t xml:space="preserve"> </w:t>
      </w:r>
      <w:r>
        <w:t>104(6),</w:t>
      </w:r>
      <w:r w:rsidR="00E15E1B">
        <w:t xml:space="preserve"> </w:t>
      </w:r>
      <w:r>
        <w:t>105(2),</w:t>
      </w:r>
      <w:r w:rsidR="00E15E1B">
        <w:t xml:space="preserve"> </w:t>
      </w:r>
      <w:r>
        <w:t>105(2A),</w:t>
      </w:r>
      <w:r w:rsidR="00E15E1B">
        <w:t xml:space="preserve"> </w:t>
      </w:r>
      <w:r>
        <w:t>105(3),</w:t>
      </w:r>
      <w:r w:rsidR="00E15E1B">
        <w:t xml:space="preserve"> </w:t>
      </w:r>
      <w:r>
        <w:t>124,</w:t>
      </w:r>
      <w:r w:rsidR="00E15E1B">
        <w:t xml:space="preserve"> </w:t>
      </w:r>
      <w:r>
        <w:t>128,</w:t>
      </w:r>
      <w:r w:rsidR="00E15E1B">
        <w:t xml:space="preserve"> </w:t>
      </w:r>
      <w:r>
        <w:t>130–134,</w:t>
      </w:r>
      <w:r w:rsidR="00E15E1B">
        <w:t xml:space="preserve"> </w:t>
      </w:r>
      <w:r>
        <w:t>141–142B,</w:t>
      </w:r>
      <w:r w:rsidR="00E15E1B">
        <w:t xml:space="preserve"> </w:t>
      </w:r>
      <w:r>
        <w:t>142D–212,</w:t>
      </w:r>
      <w:r w:rsidR="00E15E1B">
        <w:t xml:space="preserve"> </w:t>
      </w:r>
      <w:r>
        <w:t>213AA–215,</w:t>
      </w:r>
      <w:r w:rsidR="00E15E1B">
        <w:t xml:space="preserve"> </w:t>
      </w:r>
      <w:r>
        <w:t>230,</w:t>
      </w:r>
      <w:r w:rsidR="00E15E1B">
        <w:t xml:space="preserve"> </w:t>
      </w:r>
      <w:r>
        <w:t>232–234,</w:t>
      </w:r>
      <w:r w:rsidR="00E15E1B">
        <w:t xml:space="preserve"> </w:t>
      </w:r>
      <w:r>
        <w:t>241,</w:t>
      </w:r>
      <w:r w:rsidR="00E15E1B">
        <w:t xml:space="preserve"> </w:t>
      </w:r>
      <w:r>
        <w:t>277,</w:t>
      </w:r>
      <w:r w:rsidR="00E15E1B">
        <w:t xml:space="preserve"> </w:t>
      </w:r>
      <w:r>
        <w:t>289A,</w:t>
      </w:r>
      <w:r w:rsidR="00E15E1B">
        <w:t xml:space="preserve"> </w:t>
      </w:r>
      <w:r>
        <w:t>291–327,</w:t>
      </w:r>
      <w:r w:rsidR="00E15E1B">
        <w:t xml:space="preserve"> </w:t>
      </w:r>
      <w:r>
        <w:t>329–333,</w:t>
      </w:r>
      <w:r w:rsidR="00E15E1B">
        <w:t xml:space="preserve"> </w:t>
      </w:r>
      <w:r>
        <w:t>335–339,</w:t>
      </w:r>
      <w:r w:rsidR="00E15E1B">
        <w:t xml:space="preserve"> </w:t>
      </w:r>
      <w:r>
        <w:t>341,</w:t>
      </w:r>
      <w:r w:rsidR="00E15E1B">
        <w:t xml:space="preserve"> </w:t>
      </w:r>
      <w:r>
        <w:t>343–366,</w:t>
      </w:r>
      <w:r w:rsidR="00E15E1B">
        <w:t xml:space="preserve"> </w:t>
      </w:r>
      <w:r>
        <w:t>373–376,</w:t>
      </w:r>
      <w:r w:rsidR="00E15E1B">
        <w:t xml:space="preserve"> </w:t>
      </w:r>
      <w:r>
        <w:t>385,</w:t>
      </w:r>
      <w:r w:rsidR="00E15E1B">
        <w:t xml:space="preserve"> </w:t>
      </w:r>
      <w:r>
        <w:t>388,</w:t>
      </w:r>
      <w:r w:rsidR="00E15E1B">
        <w:t xml:space="preserve"> </w:t>
      </w:r>
      <w:r>
        <w:t>388A,</w:t>
      </w:r>
      <w:r w:rsidR="00E15E1B">
        <w:t xml:space="preserve"> </w:t>
      </w:r>
      <w:r>
        <w:t>390,</w:t>
      </w:r>
      <w:r w:rsidR="00E15E1B">
        <w:t xml:space="preserve"> </w:t>
      </w:r>
      <w:r>
        <w:t>390A,</w:t>
      </w:r>
      <w:r w:rsidR="00E15E1B">
        <w:t xml:space="preserve"> </w:t>
      </w:r>
      <w:r>
        <w:t>395–398,</w:t>
      </w:r>
      <w:r w:rsidR="00E15E1B">
        <w:t xml:space="preserve"> </w:t>
      </w:r>
      <w:r>
        <w:t>399A–439M,</w:t>
      </w:r>
      <w:r w:rsidR="00E15E1B">
        <w:t xml:space="preserve"> </w:t>
      </w:r>
      <w:r>
        <w:t>480,</w:t>
      </w:r>
      <w:r w:rsidR="00E15E1B">
        <w:t xml:space="preserve"> </w:t>
      </w:r>
      <w:r>
        <w:t>486–499,</w:t>
      </w:r>
      <w:r w:rsidR="00E15E1B">
        <w:t xml:space="preserve"> </w:t>
      </w:r>
      <w:r>
        <w:t>501–504,</w:t>
      </w:r>
      <w:r w:rsidR="00E15E1B">
        <w:t xml:space="preserve"> </w:t>
      </w:r>
      <w:r>
        <w:t>505A–5I0C</w:t>
      </w:r>
      <w:r w:rsidR="00E15E1B">
        <w:t xml:space="preserve"> </w:t>
      </w:r>
      <w:r>
        <w:t>and</w:t>
      </w:r>
      <w:r w:rsidR="00E15E1B">
        <w:t xml:space="preserve"> </w:t>
      </w:r>
      <w:r>
        <w:t>511</w:t>
      </w:r>
    </w:p>
    <w:p w:rsidR="00156239" w:rsidRDefault="00156239" w:rsidP="00156239">
      <w:pPr>
        <w:pStyle w:val="ListBullet"/>
      </w:pPr>
      <w:r>
        <w:t>Section</w:t>
      </w:r>
      <w:r w:rsidR="00E15E1B">
        <w:t xml:space="preserve"> </w:t>
      </w:r>
      <w:r>
        <w:t>66(1)</w:t>
      </w:r>
      <w:r w:rsidR="00E15E1B">
        <w:t xml:space="preserve"> </w:t>
      </w:r>
      <w:r>
        <w:t>jointly</w:t>
      </w:r>
      <w:r w:rsidR="00E15E1B">
        <w:t xml:space="preserve"> </w:t>
      </w:r>
      <w:r>
        <w:t>administered</w:t>
      </w:r>
      <w:r w:rsidR="00E15E1B">
        <w:t xml:space="preserve"> </w:t>
      </w:r>
      <w:r>
        <w:t>with</w:t>
      </w:r>
      <w:r w:rsidR="00E15E1B">
        <w:t xml:space="preserve"> </w:t>
      </w:r>
      <w:r>
        <w:t>Minister</w:t>
      </w:r>
      <w:r w:rsidR="00E15E1B">
        <w:t xml:space="preserve"> </w:t>
      </w:r>
      <w:r>
        <w:t>for</w:t>
      </w:r>
      <w:r w:rsidR="00E15E1B">
        <w:t xml:space="preserve"> </w:t>
      </w:r>
      <w:r>
        <w:t>Housing,</w:t>
      </w:r>
      <w:r w:rsidR="00E15E1B">
        <w:t xml:space="preserve"> </w:t>
      </w:r>
      <w:r>
        <w:t>Disability</w:t>
      </w:r>
      <w:r w:rsidR="00E15E1B">
        <w:t xml:space="preserve"> </w:t>
      </w:r>
      <w:r>
        <w:t>and</w:t>
      </w:r>
      <w:r w:rsidR="00E15E1B">
        <w:t xml:space="preserve"> </w:t>
      </w:r>
      <w:r>
        <w:t>Ageing</w:t>
      </w:r>
    </w:p>
    <w:p w:rsidR="00156239" w:rsidRDefault="00156239" w:rsidP="00156239">
      <w:pPr>
        <w:pStyle w:val="ListBullet"/>
      </w:pPr>
      <w:r>
        <w:t>The</w:t>
      </w:r>
      <w:r w:rsidR="00E15E1B">
        <w:t xml:space="preserve"> </w:t>
      </w:r>
      <w:r>
        <w:t>RTA</w:t>
      </w:r>
      <w:r w:rsidR="00E15E1B">
        <w:t xml:space="preserve"> </w:t>
      </w:r>
      <w:r>
        <w:t>is</w:t>
      </w:r>
      <w:r w:rsidR="00E15E1B">
        <w:t xml:space="preserve"> </w:t>
      </w:r>
      <w:r>
        <w:t>otherwise</w:t>
      </w:r>
      <w:r w:rsidR="00E15E1B">
        <w:t xml:space="preserve"> </w:t>
      </w:r>
      <w:r>
        <w:t>administered</w:t>
      </w:r>
      <w:r w:rsidR="00E15E1B">
        <w:t xml:space="preserve"> </w:t>
      </w:r>
      <w:r>
        <w:t>by</w:t>
      </w:r>
      <w:r w:rsidR="00E15E1B">
        <w:t xml:space="preserve"> </w:t>
      </w:r>
      <w:r>
        <w:t>the</w:t>
      </w:r>
      <w:r w:rsidR="00E15E1B">
        <w:t xml:space="preserve"> </w:t>
      </w:r>
      <w:r>
        <w:t>Attorney</w:t>
      </w:r>
      <w:r w:rsidR="00E15E1B">
        <w:t xml:space="preserve"> </w:t>
      </w:r>
      <w:r>
        <w:t>General,</w:t>
      </w:r>
      <w:r w:rsidR="00E15E1B">
        <w:t xml:space="preserve"> </w:t>
      </w:r>
      <w:r>
        <w:t>Minister</w:t>
      </w:r>
      <w:r w:rsidR="00E15E1B">
        <w:t xml:space="preserve"> </w:t>
      </w:r>
      <w:r>
        <w:t>for</w:t>
      </w:r>
      <w:r w:rsidR="00E15E1B">
        <w:t xml:space="preserve"> </w:t>
      </w:r>
      <w:r>
        <w:t>Housing,</w:t>
      </w:r>
      <w:r w:rsidR="00E15E1B">
        <w:t xml:space="preserve"> </w:t>
      </w:r>
      <w:r>
        <w:t>Disability</w:t>
      </w:r>
      <w:r w:rsidR="00E15E1B">
        <w:t xml:space="preserve"> </w:t>
      </w:r>
      <w:r>
        <w:t>and</w:t>
      </w:r>
      <w:r w:rsidR="00E15E1B">
        <w:t xml:space="preserve"> </w:t>
      </w:r>
      <w:r>
        <w:t>Ageing</w:t>
      </w:r>
      <w:r w:rsidR="00E15E1B">
        <w:t xml:space="preserve"> </w:t>
      </w:r>
      <w:r>
        <w:t>and</w:t>
      </w:r>
      <w:r w:rsidR="00E15E1B">
        <w:t xml:space="preserve"> </w:t>
      </w:r>
      <w:r>
        <w:t>the</w:t>
      </w:r>
      <w:r w:rsidR="00E15E1B">
        <w:t xml:space="preserve"> </w:t>
      </w:r>
      <w:r>
        <w:t>Minister</w:t>
      </w:r>
      <w:r w:rsidR="00E15E1B">
        <w:t xml:space="preserve"> </w:t>
      </w:r>
      <w:r>
        <w:t>for</w:t>
      </w:r>
      <w:r w:rsidR="00E15E1B">
        <w:t xml:space="preserve"> </w:t>
      </w:r>
      <w:r>
        <w:t>Planning.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Retirement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Villages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1986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Rooming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House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Operators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2016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lastRenderedPageBreak/>
        <w:t>Sale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of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Land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1962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Second-Hand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Dealers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and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Pawnbrokers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1989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Sex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Work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1994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Subdivision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1988:</w:t>
      </w:r>
    </w:p>
    <w:p w:rsidR="00156239" w:rsidRDefault="00156239" w:rsidP="00156239">
      <w:pPr>
        <w:pStyle w:val="ListBullet"/>
      </w:pPr>
      <w:r>
        <w:t>Part</w:t>
      </w:r>
      <w:r w:rsidR="00E15E1B">
        <w:t xml:space="preserve"> </w:t>
      </w:r>
      <w:r>
        <w:t>5</w:t>
      </w:r>
    </w:p>
    <w:p w:rsidR="00156239" w:rsidRDefault="00156239" w:rsidP="00156239">
      <w:pPr>
        <w:pStyle w:val="ListBullet"/>
      </w:pPr>
      <w:r>
        <w:t>Section</w:t>
      </w:r>
      <w:r w:rsidR="00E15E1B">
        <w:t xml:space="preserve"> </w:t>
      </w:r>
      <w:r>
        <w:t>43</w:t>
      </w:r>
      <w:r w:rsidR="00E15E1B">
        <w:t xml:space="preserve"> </w:t>
      </w:r>
      <w:r>
        <w:t>(insofar</w:t>
      </w:r>
      <w:r w:rsidR="00E15E1B">
        <w:t xml:space="preserve"> </w:t>
      </w:r>
      <w:r>
        <w:t>as</w:t>
      </w:r>
      <w:r w:rsidR="00E15E1B">
        <w:t xml:space="preserve"> </w:t>
      </w:r>
      <w:r>
        <w:t>it</w:t>
      </w:r>
      <w:r w:rsidR="00E15E1B">
        <w:t xml:space="preserve"> </w:t>
      </w:r>
      <w:r>
        <w:t>relates</w:t>
      </w:r>
      <w:r w:rsidR="00E15E1B">
        <w:t xml:space="preserve"> </w:t>
      </w:r>
      <w:r>
        <w:t>to</w:t>
      </w:r>
      <w:r w:rsidR="00E15E1B">
        <w:t xml:space="preserve"> </w:t>
      </w:r>
      <w:r>
        <w:t>part</w:t>
      </w:r>
      <w:r w:rsidR="00E15E1B">
        <w:t xml:space="preserve"> </w:t>
      </w:r>
      <w:r>
        <w:t>5)</w:t>
      </w:r>
    </w:p>
    <w:p w:rsidR="00156239" w:rsidRDefault="00156239" w:rsidP="00156239">
      <w:pPr>
        <w:pStyle w:val="ListBullet"/>
      </w:pPr>
      <w:r>
        <w:t>The</w:t>
      </w:r>
      <w:r w:rsidR="00E15E1B">
        <w:t xml:space="preserve"> </w:t>
      </w:r>
      <w:r>
        <w:t>Act</w:t>
      </w:r>
      <w:r w:rsidR="00E15E1B">
        <w:t xml:space="preserve"> </w:t>
      </w:r>
      <w:r>
        <w:t>is</w:t>
      </w:r>
      <w:r w:rsidR="00E15E1B">
        <w:t xml:space="preserve"> </w:t>
      </w:r>
      <w:r>
        <w:t>otherwise</w:t>
      </w:r>
      <w:r w:rsidR="00E15E1B">
        <w:t xml:space="preserve"> </w:t>
      </w:r>
      <w:r>
        <w:t>administered</w:t>
      </w:r>
      <w:r w:rsidR="00E15E1B">
        <w:t xml:space="preserve"> </w:t>
      </w:r>
      <w:r>
        <w:t>by</w:t>
      </w:r>
      <w:r w:rsidR="00E15E1B">
        <w:t xml:space="preserve"> </w:t>
      </w:r>
      <w:r>
        <w:t>the</w:t>
      </w:r>
      <w:r w:rsidR="00E15E1B">
        <w:t xml:space="preserve"> </w:t>
      </w:r>
      <w:r>
        <w:t>Minister</w:t>
      </w:r>
      <w:r w:rsidR="00E15E1B">
        <w:t xml:space="preserve"> </w:t>
      </w:r>
      <w:r>
        <w:t>for</w:t>
      </w:r>
      <w:r w:rsidR="00E15E1B">
        <w:t xml:space="preserve"> </w:t>
      </w:r>
      <w:r>
        <w:t>Planning.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Travel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Agents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Repeal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2014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Veterans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2005:</w:t>
      </w:r>
    </w:p>
    <w:p w:rsidR="00156239" w:rsidRDefault="00156239" w:rsidP="00156239">
      <w:pPr>
        <w:pStyle w:val="ListBullet"/>
      </w:pPr>
      <w:r>
        <w:t>Part</w:t>
      </w:r>
      <w:r w:rsidR="00E15E1B">
        <w:t xml:space="preserve"> </w:t>
      </w:r>
      <w:r>
        <w:t>4</w:t>
      </w:r>
      <w:r w:rsidR="00E15E1B">
        <w:t xml:space="preserve"> </w:t>
      </w:r>
      <w:r>
        <w:t>(the</w:t>
      </w:r>
      <w:r w:rsidR="00E15E1B">
        <w:t xml:space="preserve"> </w:t>
      </w:r>
      <w:r>
        <w:t>Act</w:t>
      </w:r>
      <w:r w:rsidR="00E15E1B">
        <w:t xml:space="preserve"> </w:t>
      </w:r>
      <w:r>
        <w:t>is</w:t>
      </w:r>
      <w:r w:rsidR="00E15E1B">
        <w:t xml:space="preserve"> </w:t>
      </w:r>
      <w:r>
        <w:t>otherwise</w:t>
      </w:r>
      <w:r w:rsidR="00E15E1B">
        <w:t xml:space="preserve"> </w:t>
      </w:r>
      <w:r>
        <w:t>administered</w:t>
      </w:r>
      <w:r w:rsidR="00E15E1B">
        <w:t xml:space="preserve"> </w:t>
      </w:r>
      <w:r>
        <w:t>by</w:t>
      </w:r>
      <w:r w:rsidR="00E15E1B">
        <w:t xml:space="preserve"> </w:t>
      </w:r>
      <w:r>
        <w:t>the</w:t>
      </w:r>
      <w:r w:rsidR="00E15E1B">
        <w:t xml:space="preserve"> </w:t>
      </w:r>
      <w:r>
        <w:t>Minister</w:t>
      </w:r>
      <w:r w:rsidR="00E15E1B">
        <w:t xml:space="preserve"> </w:t>
      </w:r>
      <w:r>
        <w:t>for</w:t>
      </w:r>
      <w:r w:rsidR="00E15E1B">
        <w:t xml:space="preserve"> </w:t>
      </w:r>
      <w:r>
        <w:t>Veterans).</w:t>
      </w:r>
    </w:p>
    <w:p w:rsidR="00156239" w:rsidRPr="00E96742" w:rsidRDefault="00156239" w:rsidP="00156239">
      <w:pPr>
        <w:pStyle w:val="BodyText"/>
        <w:rPr>
          <w:rStyle w:val="Emphasis"/>
        </w:rPr>
      </w:pPr>
      <w:r w:rsidRPr="00E96742">
        <w:rPr>
          <w:rStyle w:val="Emphasis"/>
        </w:rPr>
        <w:t>Warehousemen’s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Liens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Act</w:t>
      </w:r>
      <w:r w:rsidR="00E15E1B">
        <w:rPr>
          <w:rStyle w:val="Emphasis"/>
        </w:rPr>
        <w:t xml:space="preserve"> </w:t>
      </w:r>
      <w:r w:rsidRPr="00E96742">
        <w:rPr>
          <w:rStyle w:val="Emphasis"/>
        </w:rPr>
        <w:t>1958</w:t>
      </w:r>
    </w:p>
    <w:p w:rsidR="009A28FC" w:rsidRPr="009A28FC" w:rsidRDefault="009A28FC" w:rsidP="009A28FC">
      <w:pPr>
        <w:pStyle w:val="BodyText"/>
      </w:pPr>
      <w:r w:rsidRPr="009A28FC">
        <w:br w:type="page"/>
      </w:r>
    </w:p>
    <w:p w:rsidR="00410D44" w:rsidRDefault="00410D44" w:rsidP="00410D44">
      <w:pPr>
        <w:pStyle w:val="Heading2"/>
      </w:pPr>
      <w:bookmarkStart w:id="26" w:name="_Toc525132669"/>
      <w:r>
        <w:lastRenderedPageBreak/>
        <w:t>Consumer Affairs Victoria</w:t>
      </w:r>
      <w:bookmarkEnd w:id="26"/>
    </w:p>
    <w:p w:rsidR="00410D44" w:rsidRDefault="008C6D11" w:rsidP="00410D44">
      <w:pPr>
        <w:pStyle w:val="BodyText"/>
      </w:pPr>
      <w:hyperlink r:id="rId17" w:history="1">
        <w:r w:rsidR="00410D44" w:rsidRPr="004746BC">
          <w:rPr>
            <w:rStyle w:val="Hyperlink"/>
          </w:rPr>
          <w:t>Consumer</w:t>
        </w:r>
        <w:r w:rsidR="00410D44">
          <w:rPr>
            <w:rStyle w:val="Hyperlink"/>
          </w:rPr>
          <w:t xml:space="preserve"> </w:t>
        </w:r>
        <w:r w:rsidR="00410D44" w:rsidRPr="004746BC">
          <w:rPr>
            <w:rStyle w:val="Hyperlink"/>
          </w:rPr>
          <w:t>Affairs</w:t>
        </w:r>
        <w:r w:rsidR="00410D44">
          <w:rPr>
            <w:rStyle w:val="Hyperlink"/>
          </w:rPr>
          <w:t xml:space="preserve"> </w:t>
        </w:r>
        <w:r w:rsidR="00410D44" w:rsidRPr="004746BC">
          <w:rPr>
            <w:rStyle w:val="Hyperlink"/>
          </w:rPr>
          <w:t>Victoria</w:t>
        </w:r>
        <w:r w:rsidR="00410D44">
          <w:rPr>
            <w:rStyle w:val="Hyperlink"/>
          </w:rPr>
          <w:t xml:space="preserve"> </w:t>
        </w:r>
        <w:r w:rsidR="00410D44" w:rsidRPr="004746BC">
          <w:rPr>
            <w:rStyle w:val="Hyperlink"/>
          </w:rPr>
          <w:t>website</w:t>
        </w:r>
      </w:hyperlink>
      <w:r w:rsidR="00410D44">
        <w:t xml:space="preserve"> &lt;consumer.vic.gov.au&gt;</w:t>
      </w:r>
    </w:p>
    <w:p w:rsidR="00410D44" w:rsidRPr="0098392C" w:rsidRDefault="008C6D11" w:rsidP="00410D44">
      <w:pPr>
        <w:pStyle w:val="BodyText"/>
      </w:pPr>
      <w:hyperlink r:id="rId18" w:history="1">
        <w:r w:rsidR="00410D44">
          <w:rPr>
            <w:rStyle w:val="Hyperlink"/>
            <w:lang w:val="en-GB"/>
          </w:rPr>
          <w:t>Facebook page of Consumer Affairs Victoria</w:t>
        </w:r>
      </w:hyperlink>
      <w:r w:rsidR="00410D44">
        <w:rPr>
          <w:lang w:val="en-GB"/>
        </w:rPr>
        <w:t xml:space="preserve"> &lt;</w:t>
      </w:r>
      <w:r w:rsidR="00410D44" w:rsidRPr="000C3AB6">
        <w:rPr>
          <w:lang w:val="en-GB"/>
        </w:rPr>
        <w:t>facebook.com/ConsumerAffairsVictoria</w:t>
      </w:r>
      <w:r w:rsidR="00410D44">
        <w:rPr>
          <w:lang w:val="en-GB"/>
        </w:rPr>
        <w:t>&gt;</w:t>
      </w:r>
    </w:p>
    <w:p w:rsidR="00410D44" w:rsidRDefault="008C6D11" w:rsidP="00410D44">
      <w:pPr>
        <w:pStyle w:val="BodyText"/>
        <w:rPr>
          <w:lang w:val="en-GB"/>
        </w:rPr>
      </w:pPr>
      <w:hyperlink r:id="rId19" w:history="1">
        <w:r w:rsidR="00410D44">
          <w:rPr>
            <w:rStyle w:val="Hyperlink"/>
            <w:lang w:val="en-GB"/>
          </w:rPr>
          <w:t>Twitter page of Consumer Affairs Victoria</w:t>
        </w:r>
      </w:hyperlink>
      <w:r w:rsidR="00410D44">
        <w:rPr>
          <w:lang w:val="en-GB"/>
        </w:rPr>
        <w:t xml:space="preserve"> &lt;</w:t>
      </w:r>
      <w:r w:rsidR="00410D44" w:rsidRPr="000C3AB6">
        <w:rPr>
          <w:lang w:val="en-GB"/>
        </w:rPr>
        <w:t>twitter.com/consumervic</w:t>
      </w:r>
      <w:r w:rsidR="00410D44">
        <w:rPr>
          <w:lang w:val="en-GB"/>
        </w:rPr>
        <w:t>&gt;</w:t>
      </w:r>
    </w:p>
    <w:p w:rsidR="00410D44" w:rsidRPr="00BF3355" w:rsidRDefault="008C6D11" w:rsidP="00410D44">
      <w:pPr>
        <w:pStyle w:val="BodyText"/>
        <w:rPr>
          <w:lang w:val="en-GB"/>
        </w:rPr>
      </w:pPr>
      <w:hyperlink r:id="rId20" w:history="1">
        <w:r w:rsidR="00410D44">
          <w:rPr>
            <w:rStyle w:val="Hyperlink"/>
            <w:lang w:val="en-GB"/>
          </w:rPr>
          <w:t>YouTube page of Consumer Affairs Victoria</w:t>
        </w:r>
      </w:hyperlink>
      <w:r w:rsidR="00410D44">
        <w:rPr>
          <w:lang w:val="en-GB"/>
        </w:rPr>
        <w:t xml:space="preserve"> &lt;</w:t>
      </w:r>
      <w:r w:rsidR="00410D44" w:rsidRPr="000C3AB6">
        <w:rPr>
          <w:lang w:val="en-GB"/>
        </w:rPr>
        <w:t>youtube.com/consumervic</w:t>
      </w:r>
      <w:r w:rsidR="00410D44">
        <w:rPr>
          <w:lang w:val="en-GB"/>
        </w:rPr>
        <w:t>&gt;</w:t>
      </w:r>
    </w:p>
    <w:p w:rsidR="00156239" w:rsidRDefault="00156239" w:rsidP="00156239">
      <w:pPr>
        <w:pStyle w:val="BodyText"/>
      </w:pPr>
      <w:r>
        <w:t>Consumer</w:t>
      </w:r>
      <w:r w:rsidR="00E15E1B">
        <w:t xml:space="preserve"> </w:t>
      </w:r>
      <w:r>
        <w:t>Affairs</w:t>
      </w:r>
      <w:r w:rsidR="00E15E1B">
        <w:t xml:space="preserve"> </w:t>
      </w:r>
      <w:r>
        <w:t>Victoria</w:t>
      </w:r>
      <w:r w:rsidR="00E15E1B">
        <w:t xml:space="preserve"> </w:t>
      </w:r>
      <w:r>
        <w:t>acknowledges</w:t>
      </w:r>
      <w:r w:rsidR="00E15E1B">
        <w:t xml:space="preserve"> </w:t>
      </w:r>
      <w:r>
        <w:t>the</w:t>
      </w:r>
      <w:r w:rsidR="00E15E1B">
        <w:t xml:space="preserve"> </w:t>
      </w:r>
      <w:r>
        <w:t>Aboriginal</w:t>
      </w:r>
      <w:r w:rsidR="00E15E1B">
        <w:t xml:space="preserve"> </w:t>
      </w:r>
      <w:r>
        <w:t>and</w:t>
      </w:r>
      <w:r w:rsidR="00E15E1B">
        <w:t xml:space="preserve"> </w:t>
      </w:r>
      <w:r>
        <w:t>Torres</w:t>
      </w:r>
      <w:r w:rsidR="00E15E1B">
        <w:t xml:space="preserve"> </w:t>
      </w:r>
      <w:r>
        <w:t>Strait</w:t>
      </w:r>
      <w:r w:rsidR="00E15E1B">
        <w:t xml:space="preserve"> </w:t>
      </w:r>
      <w:r>
        <w:t>Islander</w:t>
      </w:r>
      <w:r w:rsidR="00E15E1B">
        <w:t xml:space="preserve"> </w:t>
      </w:r>
      <w:r>
        <w:t>people</w:t>
      </w:r>
      <w:r w:rsidR="00E15E1B">
        <w:t xml:space="preserve"> </w:t>
      </w:r>
      <w:r>
        <w:t>as</w:t>
      </w:r>
      <w:r w:rsidR="00E15E1B">
        <w:t xml:space="preserve"> </w:t>
      </w:r>
      <w:r>
        <w:t>the</w:t>
      </w:r>
      <w:r w:rsidR="00E15E1B">
        <w:t xml:space="preserve"> </w:t>
      </w:r>
      <w:r>
        <w:t>Traditional</w:t>
      </w:r>
      <w:r w:rsidR="00E15E1B">
        <w:t xml:space="preserve"> </w:t>
      </w:r>
      <w:r>
        <w:t>Custodians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land.</w:t>
      </w:r>
      <w:r w:rsidR="00E15E1B">
        <w:t xml:space="preserve"> </w:t>
      </w:r>
      <w:r>
        <w:t>The</w:t>
      </w:r>
      <w:r w:rsidR="00E15E1B">
        <w:t xml:space="preserve"> </w:t>
      </w:r>
      <w:r>
        <w:t>department</w:t>
      </w:r>
      <w:r w:rsidR="00E15E1B">
        <w:t xml:space="preserve"> </w:t>
      </w:r>
      <w:r>
        <w:t>also</w:t>
      </w:r>
      <w:r w:rsidR="00E15E1B">
        <w:t xml:space="preserve"> </w:t>
      </w:r>
      <w:r>
        <w:t>acknowledges</w:t>
      </w:r>
      <w:r w:rsidR="00E15E1B">
        <w:t xml:space="preserve"> </w:t>
      </w:r>
      <w:r>
        <w:t>and</w:t>
      </w:r>
      <w:r w:rsidR="00E15E1B">
        <w:t xml:space="preserve"> </w:t>
      </w:r>
      <w:r>
        <w:t>pays</w:t>
      </w:r>
      <w:r w:rsidR="00E15E1B">
        <w:t xml:space="preserve"> </w:t>
      </w:r>
      <w:r>
        <w:t>respect</w:t>
      </w:r>
      <w:r w:rsidR="00E15E1B">
        <w:t xml:space="preserve"> </w:t>
      </w:r>
      <w:r>
        <w:t>to</w:t>
      </w:r>
      <w:r w:rsidR="00E15E1B">
        <w:t xml:space="preserve"> </w:t>
      </w:r>
      <w:r>
        <w:t>their</w:t>
      </w:r>
      <w:r w:rsidR="00E15E1B">
        <w:t xml:space="preserve"> </w:t>
      </w:r>
      <w:r>
        <w:t>Elders,</w:t>
      </w:r>
      <w:r w:rsidR="00E15E1B">
        <w:t xml:space="preserve"> </w:t>
      </w:r>
      <w:r>
        <w:t>past</w:t>
      </w:r>
      <w:r w:rsidR="00E15E1B">
        <w:t xml:space="preserve"> </w:t>
      </w:r>
      <w:r>
        <w:t>and</w:t>
      </w:r>
      <w:r w:rsidR="00E15E1B">
        <w:t xml:space="preserve"> </w:t>
      </w:r>
      <w:r>
        <w:t>present.</w:t>
      </w:r>
    </w:p>
    <w:p w:rsidR="00156239" w:rsidRDefault="00156239" w:rsidP="00156239">
      <w:pPr>
        <w:pStyle w:val="BodyText"/>
      </w:pPr>
      <w:r>
        <w:t>Authorised</w:t>
      </w:r>
      <w:r w:rsidR="00E15E1B">
        <w:t xml:space="preserve"> </w:t>
      </w:r>
      <w:r>
        <w:t>and</w:t>
      </w:r>
      <w:r w:rsidR="00E15E1B">
        <w:t xml:space="preserve"> </w:t>
      </w:r>
      <w:r>
        <w:t>published</w:t>
      </w:r>
      <w:r w:rsidR="00E15E1B">
        <w:t xml:space="preserve"> </w:t>
      </w:r>
      <w:r>
        <w:t>by</w:t>
      </w:r>
      <w:r w:rsidR="00E15E1B">
        <w:t xml:space="preserve"> </w:t>
      </w:r>
      <w:r>
        <w:t>the</w:t>
      </w:r>
      <w:r w:rsidR="00E15E1B">
        <w:t xml:space="preserve"> </w:t>
      </w:r>
      <w:r>
        <w:t>Victorian</w:t>
      </w:r>
      <w:r w:rsidR="00E15E1B">
        <w:t xml:space="preserve"> </w:t>
      </w:r>
      <w:r>
        <w:t>Government,</w:t>
      </w:r>
      <w:r w:rsidR="00E15E1B">
        <w:t xml:space="preserve"> </w:t>
      </w:r>
      <w:r>
        <w:t>1</w:t>
      </w:r>
      <w:r w:rsidR="00E15E1B">
        <w:t xml:space="preserve"> </w:t>
      </w:r>
      <w:r>
        <w:t>Treasury</w:t>
      </w:r>
      <w:r w:rsidR="00E15E1B">
        <w:t xml:space="preserve"> </w:t>
      </w:r>
      <w:r>
        <w:t>Place,</w:t>
      </w:r>
      <w:r w:rsidR="00E15E1B">
        <w:t xml:space="preserve"> </w:t>
      </w:r>
      <w:r>
        <w:t>Melbourne.</w:t>
      </w:r>
    </w:p>
    <w:p w:rsidR="00156239" w:rsidRDefault="00156239" w:rsidP="00156239">
      <w:pPr>
        <w:pStyle w:val="BodyText"/>
      </w:pPr>
      <w:r>
        <w:t>September</w:t>
      </w:r>
      <w:r w:rsidR="00E15E1B">
        <w:t xml:space="preserve"> </w:t>
      </w:r>
      <w:r>
        <w:t>2018</w:t>
      </w:r>
    </w:p>
    <w:p w:rsidR="00156239" w:rsidRDefault="00156239" w:rsidP="00156239">
      <w:pPr>
        <w:pStyle w:val="BodyText"/>
      </w:pPr>
      <w:r>
        <w:t>ISSN</w:t>
      </w:r>
      <w:r w:rsidR="00E15E1B">
        <w:t xml:space="preserve"> </w:t>
      </w:r>
      <w:r>
        <w:t>2209-5489</w:t>
      </w:r>
    </w:p>
    <w:p w:rsidR="00156239" w:rsidRDefault="00156239" w:rsidP="00156239">
      <w:pPr>
        <w:pStyle w:val="BodyText"/>
      </w:pPr>
      <w:r>
        <w:t>Unless</w:t>
      </w:r>
      <w:r w:rsidR="00E15E1B">
        <w:t xml:space="preserve"> </w:t>
      </w:r>
      <w:r>
        <w:t>indicated</w:t>
      </w:r>
      <w:r w:rsidR="00E15E1B">
        <w:t xml:space="preserve"> </w:t>
      </w:r>
      <w:r>
        <w:t>otherwise,</w:t>
      </w:r>
      <w:r w:rsidR="00E15E1B">
        <w:t xml:space="preserve"> </w:t>
      </w:r>
      <w:r>
        <w:t>this</w:t>
      </w:r>
      <w:r w:rsidR="00E15E1B">
        <w:t xml:space="preserve"> </w:t>
      </w:r>
      <w:r>
        <w:t>work</w:t>
      </w:r>
      <w:r w:rsidR="00E15E1B">
        <w:t xml:space="preserve"> </w:t>
      </w:r>
      <w:r>
        <w:t>is</w:t>
      </w:r>
      <w:r w:rsidR="00E15E1B">
        <w:t xml:space="preserve"> </w:t>
      </w:r>
      <w:r>
        <w:t>made</w:t>
      </w:r>
      <w:r w:rsidR="00E15E1B">
        <w:t xml:space="preserve"> </w:t>
      </w:r>
      <w:r>
        <w:t>available</w:t>
      </w:r>
      <w:r w:rsidR="00E15E1B">
        <w:t xml:space="preserve"> </w:t>
      </w:r>
      <w:r>
        <w:t>under</w:t>
      </w:r>
      <w:r w:rsidR="00E15E1B">
        <w:t xml:space="preserve"> </w:t>
      </w:r>
      <w:r>
        <w:t>the</w:t>
      </w:r>
      <w:r w:rsidR="00E15E1B">
        <w:t xml:space="preserve"> </w:t>
      </w:r>
      <w:r>
        <w:t>terms</w:t>
      </w:r>
      <w:r w:rsidR="00E15E1B">
        <w:t xml:space="preserve"> </w:t>
      </w:r>
      <w:r>
        <w:t>of</w:t>
      </w:r>
      <w:r w:rsidR="00E15E1B">
        <w:t xml:space="preserve"> </w:t>
      </w:r>
      <w:r>
        <w:t>the</w:t>
      </w:r>
      <w:r w:rsidR="00E15E1B">
        <w:t xml:space="preserve"> </w:t>
      </w:r>
      <w:r>
        <w:t>Creative</w:t>
      </w:r>
      <w:r w:rsidR="00E15E1B">
        <w:t xml:space="preserve"> </w:t>
      </w:r>
      <w:r>
        <w:t>Commons</w:t>
      </w:r>
      <w:r w:rsidR="00E15E1B">
        <w:t xml:space="preserve"> </w:t>
      </w:r>
      <w:r>
        <w:t>Attribution</w:t>
      </w:r>
      <w:r w:rsidR="00E15E1B">
        <w:t xml:space="preserve"> </w:t>
      </w:r>
      <w:r>
        <w:t>4.0</w:t>
      </w:r>
      <w:r w:rsidR="00E15E1B">
        <w:t xml:space="preserve"> </w:t>
      </w:r>
      <w:r>
        <w:t>International</w:t>
      </w:r>
      <w:r w:rsidR="00E15E1B">
        <w:t xml:space="preserve"> </w:t>
      </w:r>
      <w:r>
        <w:t>licence.</w:t>
      </w:r>
      <w:r w:rsidR="00E15E1B">
        <w:t xml:space="preserve"> </w:t>
      </w:r>
      <w:r>
        <w:t>To</w:t>
      </w:r>
      <w:r w:rsidR="00E15E1B">
        <w:t xml:space="preserve"> </w:t>
      </w:r>
      <w:r>
        <w:t>view</w:t>
      </w:r>
      <w:r w:rsidR="00E15E1B">
        <w:t xml:space="preserve"> </w:t>
      </w:r>
      <w:r>
        <w:t>a</w:t>
      </w:r>
      <w:r w:rsidR="00E15E1B">
        <w:t xml:space="preserve"> </w:t>
      </w:r>
      <w:r>
        <w:t>copy</w:t>
      </w:r>
      <w:r w:rsidR="00E15E1B">
        <w:t xml:space="preserve"> </w:t>
      </w:r>
      <w:r>
        <w:t>of</w:t>
      </w:r>
      <w:r w:rsidR="00E15E1B">
        <w:t xml:space="preserve"> </w:t>
      </w:r>
      <w:r>
        <w:t>this</w:t>
      </w:r>
      <w:r w:rsidR="00E15E1B">
        <w:t xml:space="preserve"> </w:t>
      </w:r>
      <w:r>
        <w:t>licence,</w:t>
      </w:r>
      <w:r w:rsidR="00E15E1B">
        <w:t xml:space="preserve"> </w:t>
      </w:r>
      <w:r>
        <w:t>visit</w:t>
      </w:r>
      <w:r w:rsidR="00E15E1B">
        <w:t xml:space="preserve"> </w:t>
      </w:r>
      <w:r w:rsidR="005F1BCD">
        <w:t xml:space="preserve">the </w:t>
      </w:r>
      <w:hyperlink r:id="rId21" w:history="1">
        <w:r w:rsidR="005F1BCD" w:rsidRPr="00A55D56">
          <w:rPr>
            <w:rStyle w:val="Hyperlink"/>
          </w:rPr>
          <w:t>Creative Commons website</w:t>
        </w:r>
      </w:hyperlink>
      <w:r w:rsidR="005F1BCD">
        <w:t xml:space="preserve"> &lt;</w:t>
      </w:r>
      <w:r>
        <w:t>creativecommons.org/licenses/by/4.0</w:t>
      </w:r>
      <w:r w:rsidR="005F1BCD">
        <w:t>&gt;</w:t>
      </w:r>
      <w:r>
        <w:t>.</w:t>
      </w:r>
      <w:r w:rsidR="00E15E1B">
        <w:t xml:space="preserve"> </w:t>
      </w:r>
      <w:r>
        <w:t>It</w:t>
      </w:r>
      <w:r w:rsidR="00E15E1B">
        <w:t xml:space="preserve"> </w:t>
      </w:r>
      <w:r>
        <w:t>is</w:t>
      </w:r>
      <w:r w:rsidR="00E15E1B">
        <w:t xml:space="preserve"> </w:t>
      </w:r>
      <w:r>
        <w:t>a</w:t>
      </w:r>
      <w:r w:rsidR="00E15E1B">
        <w:t xml:space="preserve"> </w:t>
      </w:r>
      <w:r>
        <w:t>condition</w:t>
      </w:r>
      <w:r w:rsidR="00E15E1B">
        <w:t xml:space="preserve"> </w:t>
      </w:r>
      <w:r>
        <w:t>of</w:t>
      </w:r>
      <w:r w:rsidR="00E15E1B">
        <w:t xml:space="preserve"> </w:t>
      </w:r>
      <w:r>
        <w:t>this</w:t>
      </w:r>
      <w:r w:rsidR="00E15E1B">
        <w:t xml:space="preserve"> </w:t>
      </w:r>
      <w:r>
        <w:t>Creative</w:t>
      </w:r>
      <w:r w:rsidR="00E15E1B">
        <w:t xml:space="preserve"> </w:t>
      </w:r>
      <w:r>
        <w:t>Commons</w:t>
      </w:r>
      <w:r w:rsidR="00E15E1B">
        <w:t xml:space="preserve"> </w:t>
      </w:r>
      <w:r>
        <w:t>Attribution</w:t>
      </w:r>
      <w:r w:rsidR="00E15E1B">
        <w:t xml:space="preserve"> </w:t>
      </w:r>
      <w:r>
        <w:t>4.0</w:t>
      </w:r>
      <w:r w:rsidR="00E15E1B">
        <w:t xml:space="preserve"> </w:t>
      </w:r>
      <w:r>
        <w:t>Licence</w:t>
      </w:r>
      <w:r w:rsidR="00E15E1B">
        <w:t xml:space="preserve"> </w:t>
      </w:r>
      <w:r>
        <w:t>that</w:t>
      </w:r>
      <w:r w:rsidR="00E15E1B">
        <w:t xml:space="preserve"> </w:t>
      </w:r>
      <w:r>
        <w:t>you</w:t>
      </w:r>
      <w:r w:rsidR="00E15E1B">
        <w:t xml:space="preserve"> </w:t>
      </w:r>
      <w:r>
        <w:t>give</w:t>
      </w:r>
      <w:r w:rsidR="00E15E1B">
        <w:t xml:space="preserve"> </w:t>
      </w:r>
      <w:r>
        <w:t>credit</w:t>
      </w:r>
      <w:r w:rsidR="00E15E1B">
        <w:t xml:space="preserve"> </w:t>
      </w:r>
      <w:r>
        <w:t>to</w:t>
      </w:r>
      <w:r w:rsidR="00E15E1B">
        <w:t xml:space="preserve"> </w:t>
      </w:r>
      <w:r>
        <w:t>the</w:t>
      </w:r>
      <w:r w:rsidR="00E15E1B">
        <w:t xml:space="preserve"> </w:t>
      </w:r>
      <w:r>
        <w:t>original</w:t>
      </w:r>
      <w:r w:rsidR="00E15E1B">
        <w:t xml:space="preserve"> </w:t>
      </w:r>
      <w:r>
        <w:t>author,</w:t>
      </w:r>
      <w:r w:rsidR="00E15E1B">
        <w:t xml:space="preserve"> </w:t>
      </w:r>
      <w:r>
        <w:t>who</w:t>
      </w:r>
      <w:r w:rsidR="00E15E1B">
        <w:t xml:space="preserve"> </w:t>
      </w:r>
      <w:r>
        <w:t>is</w:t>
      </w:r>
      <w:r w:rsidR="00E15E1B">
        <w:t xml:space="preserve"> </w:t>
      </w:r>
      <w:r>
        <w:t>the</w:t>
      </w:r>
      <w:r w:rsidR="00E15E1B">
        <w:t xml:space="preserve"> </w:t>
      </w:r>
      <w:r>
        <w:t>State</w:t>
      </w:r>
      <w:r w:rsidR="00E15E1B">
        <w:t xml:space="preserve"> </w:t>
      </w:r>
      <w:r>
        <w:t>of</w:t>
      </w:r>
      <w:r w:rsidR="00E15E1B">
        <w:t xml:space="preserve"> </w:t>
      </w:r>
      <w:r>
        <w:t>Victoria.</w:t>
      </w:r>
    </w:p>
    <w:p w:rsidR="00492B18" w:rsidRDefault="00492B18" w:rsidP="005F1BCD">
      <w:pPr>
        <w:pStyle w:val="Heading3"/>
      </w:pPr>
      <w:bookmarkStart w:id="27" w:name="_Toc525132670"/>
      <w:r>
        <w:t>Accessibility</w:t>
      </w:r>
      <w:bookmarkEnd w:id="27"/>
    </w:p>
    <w:p w:rsidR="00492B18" w:rsidRDefault="00492B18" w:rsidP="00D272EB">
      <w:pPr>
        <w:pStyle w:val="BodyText"/>
      </w:pPr>
      <w:r>
        <w:t xml:space="preserve">If you would like to receive this publication in an accessible format, please visit </w:t>
      </w:r>
      <w:r w:rsidR="00A55D56">
        <w:t>the</w:t>
      </w:r>
      <w:hyperlink r:id="rId22" w:history="1">
        <w:r w:rsidR="00A55D56" w:rsidRPr="00E63928">
          <w:rPr>
            <w:rStyle w:val="Hyperlink"/>
          </w:rPr>
          <w:t xml:space="preserve"> Consumer Affairs Victoria website</w:t>
        </w:r>
      </w:hyperlink>
      <w:r w:rsidR="00A55D56">
        <w:t xml:space="preserve"> &lt;</w:t>
      </w:r>
      <w:r>
        <w:t>consumer.vic.gov.au</w:t>
      </w:r>
      <w:r w:rsidR="00A55D56">
        <w:t>&gt;</w:t>
      </w:r>
      <w:r>
        <w:t xml:space="preserve"> or</w:t>
      </w:r>
      <w:r w:rsidR="00A55D56">
        <w:t xml:space="preserve"> </w:t>
      </w:r>
      <w:r>
        <w:t>call 1300 55 81 81.</w:t>
      </w:r>
    </w:p>
    <w:p w:rsidR="00492B18" w:rsidRDefault="00492B18" w:rsidP="00410D44">
      <w:pPr>
        <w:pStyle w:val="BodyText"/>
        <w:spacing w:before="400"/>
      </w:pPr>
      <w:r>
        <w:t>Printed by Waratah Group Digital, Port Melbourne on</w:t>
      </w:r>
      <w:r w:rsidR="005F1BCD">
        <w:t xml:space="preserve"> </w:t>
      </w:r>
      <w:r>
        <w:t>100% recycled paper.</w:t>
      </w:r>
    </w:p>
    <w:p w:rsidR="00BF3355" w:rsidRDefault="00492B18" w:rsidP="00156239">
      <w:pPr>
        <w:pStyle w:val="BodyText"/>
      </w:pPr>
      <w:r>
        <w:t>Ordered to be published</w:t>
      </w:r>
      <w:r w:rsidR="005F1BCD">
        <w:br/>
      </w:r>
      <w:r>
        <w:t>Victorian Government Printer</w:t>
      </w:r>
      <w:r w:rsidR="005F1BCD">
        <w:br/>
      </w:r>
      <w:r>
        <w:t>September 2018</w:t>
      </w:r>
      <w:r w:rsidR="005F1BCD">
        <w:br/>
      </w:r>
      <w:r>
        <w:t>PP No 416, Session 2014–18</w:t>
      </w:r>
    </w:p>
    <w:sectPr w:rsidR="00BF3355" w:rsidSect="00783BEE">
      <w:footerReference w:type="default" r:id="rId23"/>
      <w:footnotePr>
        <w:numRestart w:val="eachPage"/>
      </w:footnotePr>
      <w:pgSz w:w="11906" w:h="16838" w:code="9"/>
      <w:pgMar w:top="1418" w:right="1418" w:bottom="1134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9B" w:rsidRDefault="0084359B" w:rsidP="00C71F11">
      <w:pPr>
        <w:spacing w:after="0" w:line="240" w:lineRule="auto"/>
      </w:pPr>
      <w:r>
        <w:separator/>
      </w:r>
    </w:p>
    <w:p w:rsidR="0084359B" w:rsidRDefault="0084359B"/>
  </w:endnote>
  <w:endnote w:type="continuationSeparator" w:id="0">
    <w:p w:rsidR="0084359B" w:rsidRDefault="0084359B" w:rsidP="00C71F11">
      <w:pPr>
        <w:spacing w:after="0" w:line="240" w:lineRule="auto"/>
      </w:pPr>
      <w:r>
        <w:continuationSeparator/>
      </w:r>
    </w:p>
    <w:p w:rsidR="0084359B" w:rsidRDefault="0084359B"/>
  </w:endnote>
  <w:endnote w:type="continuationNotice" w:id="1">
    <w:p w:rsidR="0084359B" w:rsidRDefault="0084359B">
      <w:pPr>
        <w:spacing w:after="0" w:line="240" w:lineRule="auto"/>
      </w:pPr>
    </w:p>
    <w:p w:rsidR="0084359B" w:rsidRDefault="00843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C-SemiBold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C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9B" w:rsidRPr="00783BEE" w:rsidRDefault="0084359B" w:rsidP="00783BEE">
    <w:pPr>
      <w:pStyle w:val="Footer"/>
    </w:pPr>
    <w:r w:rsidRPr="00783BEE">
      <w:t>Consumer</w:t>
    </w:r>
    <w:r>
      <w:t xml:space="preserve"> </w:t>
    </w:r>
    <w:r w:rsidRPr="00783BEE">
      <w:t>Affairs</w:t>
    </w:r>
    <w:r>
      <w:t xml:space="preserve"> Victoria: Annual Report 2017–18</w:t>
    </w:r>
    <w:r>
      <w:tab/>
    </w:r>
    <w:r w:rsidRPr="00783BEE">
      <w:fldChar w:fldCharType="begin"/>
    </w:r>
    <w:r w:rsidRPr="00783BEE">
      <w:instrText xml:space="preserve"> PAGE   \* MERGEFORMAT </w:instrText>
    </w:r>
    <w:r w:rsidRPr="00783BEE">
      <w:fldChar w:fldCharType="separate"/>
    </w:r>
    <w:r w:rsidR="008C6D11">
      <w:rPr>
        <w:noProof/>
      </w:rPr>
      <w:t>5</w:t>
    </w:r>
    <w:r w:rsidRPr="00783BE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9B" w:rsidRPr="00783BEE" w:rsidRDefault="0084359B" w:rsidP="009F76FB">
    <w:pPr>
      <w:pStyle w:val="FooterLandscape"/>
    </w:pPr>
    <w:r w:rsidRPr="00783BEE">
      <w:t>Consumer</w:t>
    </w:r>
    <w:r>
      <w:t xml:space="preserve"> </w:t>
    </w:r>
    <w:r w:rsidRPr="00783BEE">
      <w:t>Affairs</w:t>
    </w:r>
    <w:r>
      <w:t xml:space="preserve"> Victoria: Annual Report 2017–18</w:t>
    </w:r>
    <w:r>
      <w:tab/>
    </w:r>
    <w:r w:rsidRPr="00783BEE">
      <w:fldChar w:fldCharType="begin"/>
    </w:r>
    <w:r w:rsidRPr="00783BEE">
      <w:instrText xml:space="preserve"> PAGE   \* MERGEFORMAT </w:instrText>
    </w:r>
    <w:r w:rsidRPr="00783BEE">
      <w:fldChar w:fldCharType="separate"/>
    </w:r>
    <w:r w:rsidR="008C6D11">
      <w:rPr>
        <w:noProof/>
      </w:rPr>
      <w:t>38</w:t>
    </w:r>
    <w:r w:rsidRPr="00783BE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9B" w:rsidRDefault="0084359B" w:rsidP="00CA51C7">
    <w:pPr>
      <w:pStyle w:val="Footer"/>
    </w:pPr>
    <w:r w:rsidRPr="00783BEE">
      <w:t>Consumer</w:t>
    </w:r>
    <w:r>
      <w:t xml:space="preserve"> </w:t>
    </w:r>
    <w:r w:rsidRPr="00783BEE">
      <w:t>Affairs</w:t>
    </w:r>
    <w:r>
      <w:t xml:space="preserve"> Victoria: Annual Report 2017–18</w:t>
    </w:r>
    <w:r>
      <w:tab/>
    </w:r>
    <w:r w:rsidRPr="00783BEE">
      <w:fldChar w:fldCharType="begin"/>
    </w:r>
    <w:r w:rsidRPr="00783BEE">
      <w:instrText xml:space="preserve"> PAGE   \* MERGEFORMAT </w:instrText>
    </w:r>
    <w:r w:rsidRPr="00783BEE">
      <w:fldChar w:fldCharType="separate"/>
    </w:r>
    <w:r w:rsidR="008C6D11">
      <w:rPr>
        <w:noProof/>
      </w:rPr>
      <w:t>41</w:t>
    </w:r>
    <w:r w:rsidRPr="00783BE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9B" w:rsidRDefault="0084359B" w:rsidP="00C71F11">
      <w:pPr>
        <w:spacing w:after="0" w:line="240" w:lineRule="auto"/>
      </w:pPr>
      <w:r>
        <w:separator/>
      </w:r>
    </w:p>
    <w:p w:rsidR="0084359B" w:rsidRDefault="0084359B"/>
  </w:footnote>
  <w:footnote w:type="continuationSeparator" w:id="0">
    <w:p w:rsidR="0084359B" w:rsidRDefault="0084359B" w:rsidP="00C71F11">
      <w:pPr>
        <w:spacing w:after="0" w:line="240" w:lineRule="auto"/>
      </w:pPr>
      <w:r>
        <w:continuationSeparator/>
      </w:r>
    </w:p>
    <w:p w:rsidR="0084359B" w:rsidRDefault="0084359B"/>
  </w:footnote>
  <w:footnote w:type="continuationNotice" w:id="1">
    <w:p w:rsidR="0084359B" w:rsidRDefault="0084359B">
      <w:pPr>
        <w:spacing w:after="0" w:line="240" w:lineRule="auto"/>
      </w:pPr>
    </w:p>
    <w:p w:rsidR="0084359B" w:rsidRDefault="008435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048E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34A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4EF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20E4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14A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82B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ACC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D6E4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74D7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1A38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16393"/>
    <w:multiLevelType w:val="multilevel"/>
    <w:tmpl w:val="8B9C5D6A"/>
    <w:styleLink w:val="CAVListStyleBullets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54270D4"/>
    <w:multiLevelType w:val="hybridMultilevel"/>
    <w:tmpl w:val="818EB01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09065395"/>
    <w:multiLevelType w:val="hybridMultilevel"/>
    <w:tmpl w:val="8348D6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106B55"/>
    <w:multiLevelType w:val="hybridMultilevel"/>
    <w:tmpl w:val="B2641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445F47"/>
    <w:multiLevelType w:val="hybridMultilevel"/>
    <w:tmpl w:val="F880F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5A6114"/>
    <w:multiLevelType w:val="hybridMultilevel"/>
    <w:tmpl w:val="AE403FA6"/>
    <w:lvl w:ilvl="0" w:tplc="8F74EDB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8A74DF"/>
    <w:multiLevelType w:val="hybridMultilevel"/>
    <w:tmpl w:val="D6A06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EE46CD"/>
    <w:multiLevelType w:val="hybridMultilevel"/>
    <w:tmpl w:val="5F7CA888"/>
    <w:lvl w:ilvl="0" w:tplc="F8765A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F73B3E"/>
    <w:multiLevelType w:val="hybridMultilevel"/>
    <w:tmpl w:val="FDE49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495426"/>
    <w:multiLevelType w:val="hybridMultilevel"/>
    <w:tmpl w:val="1BB8D972"/>
    <w:lvl w:ilvl="0" w:tplc="0C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>
    <w:nsid w:val="22F30DF7"/>
    <w:multiLevelType w:val="hybridMultilevel"/>
    <w:tmpl w:val="F732B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B947FC"/>
    <w:multiLevelType w:val="multilevel"/>
    <w:tmpl w:val="A888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B3190C"/>
    <w:multiLevelType w:val="hybridMultilevel"/>
    <w:tmpl w:val="DF880314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D70CCF"/>
    <w:multiLevelType w:val="hybridMultilevel"/>
    <w:tmpl w:val="4EAEF642"/>
    <w:lvl w:ilvl="0" w:tplc="14E4BDA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2E13FF"/>
    <w:multiLevelType w:val="hybridMultilevel"/>
    <w:tmpl w:val="3EC21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2785C"/>
    <w:multiLevelType w:val="multilevel"/>
    <w:tmpl w:val="8B96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437DD1"/>
    <w:multiLevelType w:val="hybridMultilevel"/>
    <w:tmpl w:val="134A7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CE1F1A"/>
    <w:multiLevelType w:val="hybridMultilevel"/>
    <w:tmpl w:val="183E646A"/>
    <w:lvl w:ilvl="0" w:tplc="BC3CCCD8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AC733A"/>
    <w:multiLevelType w:val="hybridMultilevel"/>
    <w:tmpl w:val="B5D68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84191D"/>
    <w:multiLevelType w:val="hybridMultilevel"/>
    <w:tmpl w:val="46720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94059E"/>
    <w:multiLevelType w:val="hybridMultilevel"/>
    <w:tmpl w:val="7844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3E28E2"/>
    <w:multiLevelType w:val="hybridMultilevel"/>
    <w:tmpl w:val="9574F4EE"/>
    <w:lvl w:ilvl="0" w:tplc="7548AAB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014BF"/>
    <w:multiLevelType w:val="hybridMultilevel"/>
    <w:tmpl w:val="4C305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12922"/>
    <w:multiLevelType w:val="hybridMultilevel"/>
    <w:tmpl w:val="54B4D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A6CF6"/>
    <w:multiLevelType w:val="hybridMultilevel"/>
    <w:tmpl w:val="B6D45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FC02C0"/>
    <w:multiLevelType w:val="hybridMultilevel"/>
    <w:tmpl w:val="5058D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D13DC4"/>
    <w:multiLevelType w:val="hybridMultilevel"/>
    <w:tmpl w:val="AC7A3D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2"/>
  </w:num>
  <w:num w:numId="4">
    <w:abstractNumId w:val="23"/>
  </w:num>
  <w:num w:numId="5">
    <w:abstractNumId w:val="18"/>
  </w:num>
  <w:num w:numId="6">
    <w:abstractNumId w:val="19"/>
  </w:num>
  <w:num w:numId="7">
    <w:abstractNumId w:val="10"/>
  </w:num>
  <w:num w:numId="8">
    <w:abstractNumId w:val="24"/>
  </w:num>
  <w:num w:numId="9">
    <w:abstractNumId w:val="25"/>
  </w:num>
  <w:num w:numId="10">
    <w:abstractNumId w:val="20"/>
  </w:num>
  <w:num w:numId="11">
    <w:abstractNumId w:val="11"/>
  </w:num>
  <w:num w:numId="12">
    <w:abstractNumId w:val="27"/>
  </w:num>
  <w:num w:numId="13">
    <w:abstractNumId w:val="29"/>
  </w:num>
  <w:num w:numId="14">
    <w:abstractNumId w:val="21"/>
  </w:num>
  <w:num w:numId="15">
    <w:abstractNumId w:val="26"/>
  </w:num>
  <w:num w:numId="16">
    <w:abstractNumId w:val="17"/>
  </w:num>
  <w:num w:numId="17">
    <w:abstractNumId w:val="13"/>
  </w:num>
  <w:num w:numId="18">
    <w:abstractNumId w:val="15"/>
  </w:num>
  <w:num w:numId="19">
    <w:abstractNumId w:val="36"/>
  </w:num>
  <w:num w:numId="20">
    <w:abstractNumId w:val="30"/>
  </w:num>
  <w:num w:numId="21">
    <w:abstractNumId w:val="32"/>
  </w:num>
  <w:num w:numId="22">
    <w:abstractNumId w:val="33"/>
  </w:num>
  <w:num w:numId="23">
    <w:abstractNumId w:val="31"/>
  </w:num>
  <w:num w:numId="24">
    <w:abstractNumId w:val="16"/>
  </w:num>
  <w:num w:numId="25">
    <w:abstractNumId w:val="34"/>
  </w:num>
  <w:num w:numId="26">
    <w:abstractNumId w:val="35"/>
  </w:num>
  <w:num w:numId="27">
    <w:abstractNumId w:val="14"/>
  </w:num>
  <w:num w:numId="28">
    <w:abstractNumId w:val="9"/>
  </w:num>
  <w:num w:numId="29">
    <w:abstractNumId w:val="7"/>
  </w:num>
  <w:num w:numId="30">
    <w:abstractNumId w:val="8"/>
  </w:num>
  <w:num w:numId="31">
    <w:abstractNumId w:val="3"/>
  </w:num>
  <w:num w:numId="32">
    <w:abstractNumId w:val="8"/>
    <w:lvlOverride w:ilvl="0">
      <w:startOverride w:val="1"/>
    </w:lvlOverride>
  </w:num>
  <w:num w:numId="33">
    <w:abstractNumId w:val="6"/>
  </w:num>
  <w:num w:numId="34">
    <w:abstractNumId w:val="5"/>
  </w:num>
  <w:num w:numId="35">
    <w:abstractNumId w:val="4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stylePaneSortMethod w:val="0000"/>
  <w:defaultTabStop w:val="720"/>
  <w:characterSpacingControl w:val="doNotCompress"/>
  <w:hdrShapeDefaults>
    <o:shapedefaults v:ext="edit" spidmax="1536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80"/>
    <w:rsid w:val="000067F2"/>
    <w:rsid w:val="000113E0"/>
    <w:rsid w:val="00021DA6"/>
    <w:rsid w:val="0002752D"/>
    <w:rsid w:val="00030169"/>
    <w:rsid w:val="00031B1C"/>
    <w:rsid w:val="00035675"/>
    <w:rsid w:val="000359C2"/>
    <w:rsid w:val="00040AF8"/>
    <w:rsid w:val="00041B76"/>
    <w:rsid w:val="00042358"/>
    <w:rsid w:val="00045784"/>
    <w:rsid w:val="00052A73"/>
    <w:rsid w:val="00052AFF"/>
    <w:rsid w:val="00056D7F"/>
    <w:rsid w:val="00062049"/>
    <w:rsid w:val="00064594"/>
    <w:rsid w:val="0006613F"/>
    <w:rsid w:val="000662A2"/>
    <w:rsid w:val="00077DCC"/>
    <w:rsid w:val="00080476"/>
    <w:rsid w:val="00084F8C"/>
    <w:rsid w:val="00086AF2"/>
    <w:rsid w:val="00091597"/>
    <w:rsid w:val="000A16BF"/>
    <w:rsid w:val="000A4BC7"/>
    <w:rsid w:val="000A4D4B"/>
    <w:rsid w:val="000A74E4"/>
    <w:rsid w:val="000A7D79"/>
    <w:rsid w:val="000B7932"/>
    <w:rsid w:val="000C2B36"/>
    <w:rsid w:val="000C5AA2"/>
    <w:rsid w:val="000D0E83"/>
    <w:rsid w:val="000D3E79"/>
    <w:rsid w:val="000D42DF"/>
    <w:rsid w:val="000D4FAE"/>
    <w:rsid w:val="000E344B"/>
    <w:rsid w:val="000F5315"/>
    <w:rsid w:val="001035E3"/>
    <w:rsid w:val="0010370A"/>
    <w:rsid w:val="00104254"/>
    <w:rsid w:val="00107B62"/>
    <w:rsid w:val="00110D4C"/>
    <w:rsid w:val="00112400"/>
    <w:rsid w:val="00120E5A"/>
    <w:rsid w:val="00122E20"/>
    <w:rsid w:val="00122EB0"/>
    <w:rsid w:val="00134625"/>
    <w:rsid w:val="00134A2A"/>
    <w:rsid w:val="001369DC"/>
    <w:rsid w:val="0014134E"/>
    <w:rsid w:val="0014204E"/>
    <w:rsid w:val="0014272B"/>
    <w:rsid w:val="00142DE7"/>
    <w:rsid w:val="00143662"/>
    <w:rsid w:val="0014701D"/>
    <w:rsid w:val="001510E8"/>
    <w:rsid w:val="00151EF4"/>
    <w:rsid w:val="00155192"/>
    <w:rsid w:val="001556C0"/>
    <w:rsid w:val="00155B9A"/>
    <w:rsid w:val="00156239"/>
    <w:rsid w:val="00156617"/>
    <w:rsid w:val="00160E40"/>
    <w:rsid w:val="0016680E"/>
    <w:rsid w:val="00171D5F"/>
    <w:rsid w:val="00177DC1"/>
    <w:rsid w:val="001809C5"/>
    <w:rsid w:val="00181631"/>
    <w:rsid w:val="001864FB"/>
    <w:rsid w:val="001A1A0A"/>
    <w:rsid w:val="001A3474"/>
    <w:rsid w:val="001B12D8"/>
    <w:rsid w:val="001B2499"/>
    <w:rsid w:val="001B4898"/>
    <w:rsid w:val="001C0A36"/>
    <w:rsid w:val="001C410E"/>
    <w:rsid w:val="001C50E6"/>
    <w:rsid w:val="001C56C0"/>
    <w:rsid w:val="001D144A"/>
    <w:rsid w:val="001E0DD0"/>
    <w:rsid w:val="001E5B35"/>
    <w:rsid w:val="00201270"/>
    <w:rsid w:val="00201342"/>
    <w:rsid w:val="00204AE7"/>
    <w:rsid w:val="00215056"/>
    <w:rsid w:val="00217576"/>
    <w:rsid w:val="00226FBE"/>
    <w:rsid w:val="00232A4C"/>
    <w:rsid w:val="002334B6"/>
    <w:rsid w:val="0023482B"/>
    <w:rsid w:val="00244EF7"/>
    <w:rsid w:val="002457A3"/>
    <w:rsid w:val="0024584B"/>
    <w:rsid w:val="00256840"/>
    <w:rsid w:val="00271A02"/>
    <w:rsid w:val="00275C07"/>
    <w:rsid w:val="00275D03"/>
    <w:rsid w:val="0027662D"/>
    <w:rsid w:val="002776C0"/>
    <w:rsid w:val="00281B8A"/>
    <w:rsid w:val="002875FA"/>
    <w:rsid w:val="002876F2"/>
    <w:rsid w:val="00295CF5"/>
    <w:rsid w:val="002A0546"/>
    <w:rsid w:val="002A3CA6"/>
    <w:rsid w:val="002B3B90"/>
    <w:rsid w:val="002B74E5"/>
    <w:rsid w:val="002C3944"/>
    <w:rsid w:val="002C5076"/>
    <w:rsid w:val="002D316F"/>
    <w:rsid w:val="002D7EB3"/>
    <w:rsid w:val="002E4FF0"/>
    <w:rsid w:val="002F063F"/>
    <w:rsid w:val="002F48D7"/>
    <w:rsid w:val="002F5743"/>
    <w:rsid w:val="002F6DD5"/>
    <w:rsid w:val="00312562"/>
    <w:rsid w:val="00314ABC"/>
    <w:rsid w:val="003151CE"/>
    <w:rsid w:val="00315661"/>
    <w:rsid w:val="00320590"/>
    <w:rsid w:val="00320BE0"/>
    <w:rsid w:val="0032140C"/>
    <w:rsid w:val="00321A0C"/>
    <w:rsid w:val="00321B25"/>
    <w:rsid w:val="00323337"/>
    <w:rsid w:val="0032485B"/>
    <w:rsid w:val="00325C37"/>
    <w:rsid w:val="00332305"/>
    <w:rsid w:val="00332BF3"/>
    <w:rsid w:val="00333E76"/>
    <w:rsid w:val="003346A8"/>
    <w:rsid w:val="003369A3"/>
    <w:rsid w:val="003379FA"/>
    <w:rsid w:val="00342EAB"/>
    <w:rsid w:val="003544EC"/>
    <w:rsid w:val="00355028"/>
    <w:rsid w:val="003641AB"/>
    <w:rsid w:val="0036577F"/>
    <w:rsid w:val="00366166"/>
    <w:rsid w:val="003719B9"/>
    <w:rsid w:val="00372D46"/>
    <w:rsid w:val="00376E0E"/>
    <w:rsid w:val="003802F6"/>
    <w:rsid w:val="003833C8"/>
    <w:rsid w:val="0038367D"/>
    <w:rsid w:val="00383C48"/>
    <w:rsid w:val="00384747"/>
    <w:rsid w:val="003913BB"/>
    <w:rsid w:val="003932B1"/>
    <w:rsid w:val="003A2203"/>
    <w:rsid w:val="003A23B1"/>
    <w:rsid w:val="003A2F75"/>
    <w:rsid w:val="003B43FE"/>
    <w:rsid w:val="003B47C4"/>
    <w:rsid w:val="003B545A"/>
    <w:rsid w:val="003C5053"/>
    <w:rsid w:val="003C78F2"/>
    <w:rsid w:val="003D009B"/>
    <w:rsid w:val="003D3259"/>
    <w:rsid w:val="003D521F"/>
    <w:rsid w:val="003D666F"/>
    <w:rsid w:val="003E5E4C"/>
    <w:rsid w:val="003F183F"/>
    <w:rsid w:val="003F25B0"/>
    <w:rsid w:val="003F5D67"/>
    <w:rsid w:val="003F6265"/>
    <w:rsid w:val="00400AFE"/>
    <w:rsid w:val="00402906"/>
    <w:rsid w:val="00405DA7"/>
    <w:rsid w:val="004104CB"/>
    <w:rsid w:val="00410D44"/>
    <w:rsid w:val="00410EF4"/>
    <w:rsid w:val="004166EA"/>
    <w:rsid w:val="00416A25"/>
    <w:rsid w:val="004211EB"/>
    <w:rsid w:val="0042297C"/>
    <w:rsid w:val="00422C46"/>
    <w:rsid w:val="00430D03"/>
    <w:rsid w:val="00431A7C"/>
    <w:rsid w:val="00433A4A"/>
    <w:rsid w:val="00435045"/>
    <w:rsid w:val="00435C2C"/>
    <w:rsid w:val="00440488"/>
    <w:rsid w:val="00444135"/>
    <w:rsid w:val="00452669"/>
    <w:rsid w:val="00452C50"/>
    <w:rsid w:val="004555A8"/>
    <w:rsid w:val="00461D0C"/>
    <w:rsid w:val="00464373"/>
    <w:rsid w:val="004645C0"/>
    <w:rsid w:val="00464A7E"/>
    <w:rsid w:val="004657E1"/>
    <w:rsid w:val="0047465C"/>
    <w:rsid w:val="00476A12"/>
    <w:rsid w:val="0048011B"/>
    <w:rsid w:val="004804BA"/>
    <w:rsid w:val="004840FA"/>
    <w:rsid w:val="00484D0A"/>
    <w:rsid w:val="004851FB"/>
    <w:rsid w:val="00486872"/>
    <w:rsid w:val="00486A5D"/>
    <w:rsid w:val="00492B18"/>
    <w:rsid w:val="00496AB9"/>
    <w:rsid w:val="004A02E4"/>
    <w:rsid w:val="004A4969"/>
    <w:rsid w:val="004B411F"/>
    <w:rsid w:val="004B59DF"/>
    <w:rsid w:val="004B67E1"/>
    <w:rsid w:val="004B6CD0"/>
    <w:rsid w:val="004C0ADA"/>
    <w:rsid w:val="004C2D08"/>
    <w:rsid w:val="004C66BC"/>
    <w:rsid w:val="004D0490"/>
    <w:rsid w:val="004D0BA4"/>
    <w:rsid w:val="004D744A"/>
    <w:rsid w:val="004D7E60"/>
    <w:rsid w:val="004E05CC"/>
    <w:rsid w:val="004E4902"/>
    <w:rsid w:val="004F0321"/>
    <w:rsid w:val="004F061C"/>
    <w:rsid w:val="004F765E"/>
    <w:rsid w:val="005003AA"/>
    <w:rsid w:val="005020E1"/>
    <w:rsid w:val="005038A8"/>
    <w:rsid w:val="00506885"/>
    <w:rsid w:val="00513074"/>
    <w:rsid w:val="0051734E"/>
    <w:rsid w:val="00524553"/>
    <w:rsid w:val="00524BC8"/>
    <w:rsid w:val="00526DF1"/>
    <w:rsid w:val="00535227"/>
    <w:rsid w:val="005419C2"/>
    <w:rsid w:val="00542656"/>
    <w:rsid w:val="00543432"/>
    <w:rsid w:val="00552098"/>
    <w:rsid w:val="00552326"/>
    <w:rsid w:val="005567D4"/>
    <w:rsid w:val="00556DF5"/>
    <w:rsid w:val="005638A4"/>
    <w:rsid w:val="00564D6C"/>
    <w:rsid w:val="00570715"/>
    <w:rsid w:val="00570982"/>
    <w:rsid w:val="00573381"/>
    <w:rsid w:val="00575180"/>
    <w:rsid w:val="0058055D"/>
    <w:rsid w:val="00587380"/>
    <w:rsid w:val="00597C5A"/>
    <w:rsid w:val="005A6618"/>
    <w:rsid w:val="005B1D31"/>
    <w:rsid w:val="005B35AF"/>
    <w:rsid w:val="005C0C79"/>
    <w:rsid w:val="005C2B48"/>
    <w:rsid w:val="005C51B2"/>
    <w:rsid w:val="005C7DB4"/>
    <w:rsid w:val="005C7EDC"/>
    <w:rsid w:val="005D12A7"/>
    <w:rsid w:val="005D2771"/>
    <w:rsid w:val="005D5646"/>
    <w:rsid w:val="005E393E"/>
    <w:rsid w:val="005F13E6"/>
    <w:rsid w:val="005F1BCD"/>
    <w:rsid w:val="005F58AA"/>
    <w:rsid w:val="00604689"/>
    <w:rsid w:val="00605CF0"/>
    <w:rsid w:val="00607163"/>
    <w:rsid w:val="00607734"/>
    <w:rsid w:val="006136D4"/>
    <w:rsid w:val="00621D83"/>
    <w:rsid w:val="00624207"/>
    <w:rsid w:val="0062480A"/>
    <w:rsid w:val="00624CAA"/>
    <w:rsid w:val="00625180"/>
    <w:rsid w:val="00631074"/>
    <w:rsid w:val="0063411C"/>
    <w:rsid w:val="0063768F"/>
    <w:rsid w:val="0064116B"/>
    <w:rsid w:val="00644683"/>
    <w:rsid w:val="00646284"/>
    <w:rsid w:val="00646671"/>
    <w:rsid w:val="00647A02"/>
    <w:rsid w:val="006524E8"/>
    <w:rsid w:val="00653983"/>
    <w:rsid w:val="00654297"/>
    <w:rsid w:val="00654592"/>
    <w:rsid w:val="006546F2"/>
    <w:rsid w:val="00654C98"/>
    <w:rsid w:val="0066310A"/>
    <w:rsid w:val="00671F59"/>
    <w:rsid w:val="0067302D"/>
    <w:rsid w:val="00674866"/>
    <w:rsid w:val="00675216"/>
    <w:rsid w:val="00676450"/>
    <w:rsid w:val="00676836"/>
    <w:rsid w:val="00676BE9"/>
    <w:rsid w:val="0068108F"/>
    <w:rsid w:val="00682042"/>
    <w:rsid w:val="006832C1"/>
    <w:rsid w:val="006960B9"/>
    <w:rsid w:val="006A44B1"/>
    <w:rsid w:val="006B0F6A"/>
    <w:rsid w:val="006D76BE"/>
    <w:rsid w:val="006E113C"/>
    <w:rsid w:val="006E194B"/>
    <w:rsid w:val="006F57E8"/>
    <w:rsid w:val="006F608E"/>
    <w:rsid w:val="007174AB"/>
    <w:rsid w:val="00722D2C"/>
    <w:rsid w:val="0072626D"/>
    <w:rsid w:val="00731D68"/>
    <w:rsid w:val="00732553"/>
    <w:rsid w:val="007350A4"/>
    <w:rsid w:val="00735A3B"/>
    <w:rsid w:val="00742A5C"/>
    <w:rsid w:val="00743C19"/>
    <w:rsid w:val="00744281"/>
    <w:rsid w:val="00753B06"/>
    <w:rsid w:val="0075750A"/>
    <w:rsid w:val="0077304F"/>
    <w:rsid w:val="00777C8E"/>
    <w:rsid w:val="0078191F"/>
    <w:rsid w:val="00783BEE"/>
    <w:rsid w:val="00785126"/>
    <w:rsid w:val="00792F91"/>
    <w:rsid w:val="007935D2"/>
    <w:rsid w:val="00793BF9"/>
    <w:rsid w:val="007959A9"/>
    <w:rsid w:val="00797D7C"/>
    <w:rsid w:val="007A0FAA"/>
    <w:rsid w:val="007A2137"/>
    <w:rsid w:val="007A2663"/>
    <w:rsid w:val="007A3786"/>
    <w:rsid w:val="007A49A6"/>
    <w:rsid w:val="007A4B26"/>
    <w:rsid w:val="007A5331"/>
    <w:rsid w:val="007A655A"/>
    <w:rsid w:val="007A75A8"/>
    <w:rsid w:val="007B200E"/>
    <w:rsid w:val="007B6433"/>
    <w:rsid w:val="007B6E26"/>
    <w:rsid w:val="007C1EED"/>
    <w:rsid w:val="007D188A"/>
    <w:rsid w:val="007D39F7"/>
    <w:rsid w:val="007D59ED"/>
    <w:rsid w:val="007D750A"/>
    <w:rsid w:val="007E4229"/>
    <w:rsid w:val="007E454A"/>
    <w:rsid w:val="007F21DE"/>
    <w:rsid w:val="007F7301"/>
    <w:rsid w:val="00804AB6"/>
    <w:rsid w:val="00805CBE"/>
    <w:rsid w:val="008150FD"/>
    <w:rsid w:val="00817D14"/>
    <w:rsid w:val="008225EF"/>
    <w:rsid w:val="00834561"/>
    <w:rsid w:val="0083734C"/>
    <w:rsid w:val="0084359B"/>
    <w:rsid w:val="008570CA"/>
    <w:rsid w:val="0086119C"/>
    <w:rsid w:val="008621E5"/>
    <w:rsid w:val="00865C50"/>
    <w:rsid w:val="008661E1"/>
    <w:rsid w:val="00867443"/>
    <w:rsid w:val="0087028F"/>
    <w:rsid w:val="008734EB"/>
    <w:rsid w:val="008800C6"/>
    <w:rsid w:val="00883165"/>
    <w:rsid w:val="00896A7C"/>
    <w:rsid w:val="0089767F"/>
    <w:rsid w:val="008A134C"/>
    <w:rsid w:val="008A1B58"/>
    <w:rsid w:val="008A2567"/>
    <w:rsid w:val="008A5248"/>
    <w:rsid w:val="008A75EF"/>
    <w:rsid w:val="008B141D"/>
    <w:rsid w:val="008B1747"/>
    <w:rsid w:val="008C1BE0"/>
    <w:rsid w:val="008C3AD5"/>
    <w:rsid w:val="008C5A12"/>
    <w:rsid w:val="008C6D11"/>
    <w:rsid w:val="008E1660"/>
    <w:rsid w:val="008E44BD"/>
    <w:rsid w:val="008F2BD9"/>
    <w:rsid w:val="008F4AB1"/>
    <w:rsid w:val="00901F97"/>
    <w:rsid w:val="00902C22"/>
    <w:rsid w:val="009031C0"/>
    <w:rsid w:val="009055D9"/>
    <w:rsid w:val="0090722D"/>
    <w:rsid w:val="0091162E"/>
    <w:rsid w:val="00911E04"/>
    <w:rsid w:val="00914245"/>
    <w:rsid w:val="00916163"/>
    <w:rsid w:val="00921F95"/>
    <w:rsid w:val="00922A21"/>
    <w:rsid w:val="00923264"/>
    <w:rsid w:val="00930316"/>
    <w:rsid w:val="00941062"/>
    <w:rsid w:val="00942470"/>
    <w:rsid w:val="0094275C"/>
    <w:rsid w:val="0094409D"/>
    <w:rsid w:val="00955130"/>
    <w:rsid w:val="009569B2"/>
    <w:rsid w:val="00973A16"/>
    <w:rsid w:val="00973EC1"/>
    <w:rsid w:val="00974789"/>
    <w:rsid w:val="00986354"/>
    <w:rsid w:val="00986E1E"/>
    <w:rsid w:val="009913D8"/>
    <w:rsid w:val="00995B04"/>
    <w:rsid w:val="0099615E"/>
    <w:rsid w:val="009A28FC"/>
    <w:rsid w:val="009A58E3"/>
    <w:rsid w:val="009A5D08"/>
    <w:rsid w:val="009A7231"/>
    <w:rsid w:val="009B2409"/>
    <w:rsid w:val="009B302A"/>
    <w:rsid w:val="009B4066"/>
    <w:rsid w:val="009B4514"/>
    <w:rsid w:val="009B486B"/>
    <w:rsid w:val="009C1266"/>
    <w:rsid w:val="009C46FB"/>
    <w:rsid w:val="009C4C18"/>
    <w:rsid w:val="009D64E4"/>
    <w:rsid w:val="009E527F"/>
    <w:rsid w:val="009F40AB"/>
    <w:rsid w:val="009F69D8"/>
    <w:rsid w:val="009F76FB"/>
    <w:rsid w:val="009F79CB"/>
    <w:rsid w:val="00A01A33"/>
    <w:rsid w:val="00A03F43"/>
    <w:rsid w:val="00A0641C"/>
    <w:rsid w:val="00A10A1B"/>
    <w:rsid w:val="00A178C0"/>
    <w:rsid w:val="00A17D48"/>
    <w:rsid w:val="00A22F65"/>
    <w:rsid w:val="00A231D9"/>
    <w:rsid w:val="00A26139"/>
    <w:rsid w:val="00A30ADD"/>
    <w:rsid w:val="00A37095"/>
    <w:rsid w:val="00A3768B"/>
    <w:rsid w:val="00A4311B"/>
    <w:rsid w:val="00A433D9"/>
    <w:rsid w:val="00A446E5"/>
    <w:rsid w:val="00A46E9E"/>
    <w:rsid w:val="00A47141"/>
    <w:rsid w:val="00A509E4"/>
    <w:rsid w:val="00A55D56"/>
    <w:rsid w:val="00A560FA"/>
    <w:rsid w:val="00A60484"/>
    <w:rsid w:val="00A61C24"/>
    <w:rsid w:val="00A61DA5"/>
    <w:rsid w:val="00A61E43"/>
    <w:rsid w:val="00A6563E"/>
    <w:rsid w:val="00A660B5"/>
    <w:rsid w:val="00A66856"/>
    <w:rsid w:val="00A66F3D"/>
    <w:rsid w:val="00A73103"/>
    <w:rsid w:val="00A73820"/>
    <w:rsid w:val="00A762B1"/>
    <w:rsid w:val="00A765B2"/>
    <w:rsid w:val="00A76634"/>
    <w:rsid w:val="00A81648"/>
    <w:rsid w:val="00A82BDC"/>
    <w:rsid w:val="00A8331C"/>
    <w:rsid w:val="00A83F96"/>
    <w:rsid w:val="00A9006E"/>
    <w:rsid w:val="00A9379F"/>
    <w:rsid w:val="00A95B5B"/>
    <w:rsid w:val="00AA5C2C"/>
    <w:rsid w:val="00AB0C30"/>
    <w:rsid w:val="00AB5EBE"/>
    <w:rsid w:val="00AB604F"/>
    <w:rsid w:val="00AB72A6"/>
    <w:rsid w:val="00AC142D"/>
    <w:rsid w:val="00AC7C0D"/>
    <w:rsid w:val="00AD2B07"/>
    <w:rsid w:val="00AD429A"/>
    <w:rsid w:val="00AD49B7"/>
    <w:rsid w:val="00AF252C"/>
    <w:rsid w:val="00B00608"/>
    <w:rsid w:val="00B17387"/>
    <w:rsid w:val="00B20F92"/>
    <w:rsid w:val="00B34E68"/>
    <w:rsid w:val="00B35A06"/>
    <w:rsid w:val="00B45028"/>
    <w:rsid w:val="00B4776C"/>
    <w:rsid w:val="00B47AE6"/>
    <w:rsid w:val="00B5056D"/>
    <w:rsid w:val="00B5207C"/>
    <w:rsid w:val="00B61B3E"/>
    <w:rsid w:val="00B63D30"/>
    <w:rsid w:val="00B67745"/>
    <w:rsid w:val="00B71611"/>
    <w:rsid w:val="00B74A1F"/>
    <w:rsid w:val="00B8015C"/>
    <w:rsid w:val="00B840D0"/>
    <w:rsid w:val="00B92DA9"/>
    <w:rsid w:val="00BA1C6E"/>
    <w:rsid w:val="00BA5EC4"/>
    <w:rsid w:val="00BA73CD"/>
    <w:rsid w:val="00BC0C25"/>
    <w:rsid w:val="00BC1A18"/>
    <w:rsid w:val="00BC3086"/>
    <w:rsid w:val="00BC710E"/>
    <w:rsid w:val="00BD3E39"/>
    <w:rsid w:val="00BE2991"/>
    <w:rsid w:val="00BE38F4"/>
    <w:rsid w:val="00BF1C17"/>
    <w:rsid w:val="00BF1DDE"/>
    <w:rsid w:val="00BF2582"/>
    <w:rsid w:val="00BF3355"/>
    <w:rsid w:val="00BF4177"/>
    <w:rsid w:val="00BF4C8D"/>
    <w:rsid w:val="00C04AF5"/>
    <w:rsid w:val="00C076AD"/>
    <w:rsid w:val="00C1109D"/>
    <w:rsid w:val="00C119F0"/>
    <w:rsid w:val="00C14083"/>
    <w:rsid w:val="00C21F93"/>
    <w:rsid w:val="00C23DEB"/>
    <w:rsid w:val="00C24CCD"/>
    <w:rsid w:val="00C33158"/>
    <w:rsid w:val="00C343DC"/>
    <w:rsid w:val="00C344CE"/>
    <w:rsid w:val="00C4593F"/>
    <w:rsid w:val="00C459D9"/>
    <w:rsid w:val="00C47290"/>
    <w:rsid w:val="00C50534"/>
    <w:rsid w:val="00C55852"/>
    <w:rsid w:val="00C6201E"/>
    <w:rsid w:val="00C659AA"/>
    <w:rsid w:val="00C66D4D"/>
    <w:rsid w:val="00C71F11"/>
    <w:rsid w:val="00C77B2D"/>
    <w:rsid w:val="00C80444"/>
    <w:rsid w:val="00C84E51"/>
    <w:rsid w:val="00C90E80"/>
    <w:rsid w:val="00C931D0"/>
    <w:rsid w:val="00C968C2"/>
    <w:rsid w:val="00CA2659"/>
    <w:rsid w:val="00CA4CBC"/>
    <w:rsid w:val="00CA51C7"/>
    <w:rsid w:val="00CA6435"/>
    <w:rsid w:val="00CB56D1"/>
    <w:rsid w:val="00CB60E1"/>
    <w:rsid w:val="00CC0AD3"/>
    <w:rsid w:val="00CC2D56"/>
    <w:rsid w:val="00CC2DB9"/>
    <w:rsid w:val="00CC71B2"/>
    <w:rsid w:val="00CD3C2E"/>
    <w:rsid w:val="00CE0746"/>
    <w:rsid w:val="00CE2CE5"/>
    <w:rsid w:val="00CE2ED4"/>
    <w:rsid w:val="00CE79C3"/>
    <w:rsid w:val="00CE7A30"/>
    <w:rsid w:val="00CF0935"/>
    <w:rsid w:val="00CF1401"/>
    <w:rsid w:val="00CF4293"/>
    <w:rsid w:val="00CF66CA"/>
    <w:rsid w:val="00D0059A"/>
    <w:rsid w:val="00D0096D"/>
    <w:rsid w:val="00D03A6F"/>
    <w:rsid w:val="00D06633"/>
    <w:rsid w:val="00D074DB"/>
    <w:rsid w:val="00D0795D"/>
    <w:rsid w:val="00D13EEA"/>
    <w:rsid w:val="00D172EB"/>
    <w:rsid w:val="00D2163E"/>
    <w:rsid w:val="00D2321D"/>
    <w:rsid w:val="00D272EB"/>
    <w:rsid w:val="00D30C2C"/>
    <w:rsid w:val="00D366EA"/>
    <w:rsid w:val="00D3688B"/>
    <w:rsid w:val="00D524F2"/>
    <w:rsid w:val="00D54B9E"/>
    <w:rsid w:val="00D56F91"/>
    <w:rsid w:val="00D600AA"/>
    <w:rsid w:val="00D60893"/>
    <w:rsid w:val="00D86219"/>
    <w:rsid w:val="00D8797C"/>
    <w:rsid w:val="00D90A2F"/>
    <w:rsid w:val="00D933A2"/>
    <w:rsid w:val="00D9667B"/>
    <w:rsid w:val="00D967BB"/>
    <w:rsid w:val="00D97603"/>
    <w:rsid w:val="00DA1B8D"/>
    <w:rsid w:val="00DA3262"/>
    <w:rsid w:val="00DA3E9A"/>
    <w:rsid w:val="00DA685F"/>
    <w:rsid w:val="00DB2D0C"/>
    <w:rsid w:val="00DC4139"/>
    <w:rsid w:val="00DE084A"/>
    <w:rsid w:val="00DF0BE8"/>
    <w:rsid w:val="00DF586C"/>
    <w:rsid w:val="00E0180B"/>
    <w:rsid w:val="00E0216D"/>
    <w:rsid w:val="00E02D71"/>
    <w:rsid w:val="00E15E1B"/>
    <w:rsid w:val="00E20138"/>
    <w:rsid w:val="00E21774"/>
    <w:rsid w:val="00E22FCC"/>
    <w:rsid w:val="00E26D06"/>
    <w:rsid w:val="00E316E3"/>
    <w:rsid w:val="00E33D24"/>
    <w:rsid w:val="00E3430A"/>
    <w:rsid w:val="00E3598E"/>
    <w:rsid w:val="00E35F92"/>
    <w:rsid w:val="00E44B22"/>
    <w:rsid w:val="00E44BB1"/>
    <w:rsid w:val="00E5265B"/>
    <w:rsid w:val="00E52787"/>
    <w:rsid w:val="00E56F47"/>
    <w:rsid w:val="00E611C5"/>
    <w:rsid w:val="00E623E3"/>
    <w:rsid w:val="00E63928"/>
    <w:rsid w:val="00E64C56"/>
    <w:rsid w:val="00E72BDE"/>
    <w:rsid w:val="00E769DC"/>
    <w:rsid w:val="00E87BCB"/>
    <w:rsid w:val="00E953DB"/>
    <w:rsid w:val="00E96742"/>
    <w:rsid w:val="00EA01CD"/>
    <w:rsid w:val="00EA1DE2"/>
    <w:rsid w:val="00EA437D"/>
    <w:rsid w:val="00EA4A06"/>
    <w:rsid w:val="00EA541C"/>
    <w:rsid w:val="00EA58F3"/>
    <w:rsid w:val="00EA67A5"/>
    <w:rsid w:val="00EB1889"/>
    <w:rsid w:val="00EB465D"/>
    <w:rsid w:val="00EC5022"/>
    <w:rsid w:val="00EC5A1F"/>
    <w:rsid w:val="00ED133B"/>
    <w:rsid w:val="00ED345C"/>
    <w:rsid w:val="00EE29E7"/>
    <w:rsid w:val="00EE3875"/>
    <w:rsid w:val="00EF0311"/>
    <w:rsid w:val="00EF1095"/>
    <w:rsid w:val="00EF2417"/>
    <w:rsid w:val="00F001C0"/>
    <w:rsid w:val="00F03D10"/>
    <w:rsid w:val="00F04442"/>
    <w:rsid w:val="00F04806"/>
    <w:rsid w:val="00F23412"/>
    <w:rsid w:val="00F2784E"/>
    <w:rsid w:val="00F3485C"/>
    <w:rsid w:val="00F36802"/>
    <w:rsid w:val="00F4149E"/>
    <w:rsid w:val="00F41A61"/>
    <w:rsid w:val="00F420A4"/>
    <w:rsid w:val="00F421E8"/>
    <w:rsid w:val="00F55B08"/>
    <w:rsid w:val="00F55E4C"/>
    <w:rsid w:val="00F568B3"/>
    <w:rsid w:val="00F56DD5"/>
    <w:rsid w:val="00F657D2"/>
    <w:rsid w:val="00F663C9"/>
    <w:rsid w:val="00F71DC9"/>
    <w:rsid w:val="00F7724B"/>
    <w:rsid w:val="00F86F41"/>
    <w:rsid w:val="00F91196"/>
    <w:rsid w:val="00FA03AD"/>
    <w:rsid w:val="00FA1D02"/>
    <w:rsid w:val="00FA2FB5"/>
    <w:rsid w:val="00FB00B6"/>
    <w:rsid w:val="00FB38BE"/>
    <w:rsid w:val="00FB4DA0"/>
    <w:rsid w:val="00FB7AB9"/>
    <w:rsid w:val="00FC025D"/>
    <w:rsid w:val="00FC2CA1"/>
    <w:rsid w:val="00FC31F0"/>
    <w:rsid w:val="00FC5621"/>
    <w:rsid w:val="00FE08DA"/>
    <w:rsid w:val="00FE3D90"/>
    <w:rsid w:val="00FE7C21"/>
    <w:rsid w:val="00FF0EE1"/>
    <w:rsid w:val="00FF22A3"/>
    <w:rsid w:val="00FF30B8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List Number" w:semiHidden="0" w:unhideWhenUsed="0"/>
    <w:lsdException w:name="List Bullet 2" w:semiHidden="0" w:unhideWhenUsed="0"/>
    <w:lsdException w:name="List Number 2" w:unhideWhenUsed="0"/>
    <w:lsdException w:name="Title" w:uiPriority="98" w:unhideWhenUsed="0" w:qFormat="1"/>
    <w:lsdException w:name="Default Paragraph Font" w:uiPriority="98"/>
    <w:lsdException w:name="Subtitle" w:uiPriority="98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uiPriority="98" w:unhideWhenUsed="0" w:qFormat="1"/>
    <w:lsdException w:name="Intense Quote" w:uiPriority="98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 w:unhideWhenUsed="0" w:qFormat="1"/>
    <w:lsdException w:name="Intense Emphasis" w:uiPriority="98" w:unhideWhenUsed="0" w:qFormat="1"/>
    <w:lsdException w:name="Subtle Reference" w:uiPriority="98" w:unhideWhenUsed="0" w:qFormat="1"/>
    <w:lsdException w:name="Intense Reference" w:uiPriority="98" w:unhideWhenUsed="0" w:qFormat="1"/>
    <w:lsdException w:name="Book Title" w:uiPriority="98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47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049"/>
    <w:pPr>
      <w:jc w:val="center"/>
      <w:outlineLvl w:val="0"/>
    </w:pPr>
    <w:rPr>
      <w:rFonts w:ascii="Arial" w:hAnsi="Arial" w:cs="Arial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C22"/>
    <w:pPr>
      <w:keepNext/>
      <w:keepLines/>
      <w:pageBreakBefore/>
      <w:spacing w:after="400" w:line="240" w:lineRule="auto"/>
      <w:outlineLvl w:val="1"/>
    </w:pPr>
    <w:rPr>
      <w:rFonts w:ascii="Arial" w:eastAsia="Times New Roman" w:hAnsi="Arial"/>
      <w:bCs/>
      <w:iCs/>
      <w:sz w:val="4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6AD"/>
    <w:pPr>
      <w:keepNext/>
      <w:keepLines/>
      <w:spacing w:before="300" w:after="120" w:line="240" w:lineRule="auto"/>
      <w:outlineLvl w:val="2"/>
    </w:pPr>
    <w:rPr>
      <w:rFonts w:ascii="Arial" w:eastAsia="Times New Roman" w:hAnsi="Arial"/>
      <w:b/>
      <w:bCs/>
      <w:color w:val="0072CE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6AD"/>
    <w:pPr>
      <w:keepNext/>
      <w:keepLines/>
      <w:spacing w:before="300" w:after="120" w:line="240" w:lineRule="auto"/>
      <w:outlineLvl w:val="3"/>
    </w:pPr>
    <w:rPr>
      <w:rFonts w:ascii="Arial" w:eastAsia="Times New Roman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3A6F"/>
    <w:pPr>
      <w:keepNext/>
      <w:keepLines/>
      <w:spacing w:before="300" w:after="120" w:line="240" w:lineRule="auto"/>
      <w:outlineLvl w:val="4"/>
    </w:pPr>
    <w:rPr>
      <w:rFonts w:ascii="Arial" w:eastAsia="Times New Roman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3A6F"/>
    <w:pPr>
      <w:spacing w:before="240" w:after="60"/>
      <w:outlineLvl w:val="5"/>
    </w:pPr>
    <w:rPr>
      <w:rFonts w:ascii="Arial" w:eastAsia="Times New Roman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62049"/>
    <w:rPr>
      <w:rFonts w:ascii="Arial" w:hAnsi="Arial" w:cs="Arial"/>
      <w:sz w:val="48"/>
      <w:szCs w:val="48"/>
      <w:lang w:eastAsia="en-US"/>
    </w:rPr>
  </w:style>
  <w:style w:type="paragraph" w:customStyle="1" w:styleId="TableText">
    <w:name w:val="Table Text"/>
    <w:basedOn w:val="Normal"/>
    <w:uiPriority w:val="11"/>
    <w:qFormat/>
    <w:rsid w:val="00A178C0"/>
    <w:pPr>
      <w:spacing w:before="80" w:after="60" w:line="240" w:lineRule="auto"/>
    </w:pPr>
    <w:rPr>
      <w:rFonts w:ascii="Arial" w:hAnsi="Arial"/>
      <w:sz w:val="18"/>
    </w:rPr>
  </w:style>
  <w:style w:type="character" w:customStyle="1" w:styleId="Heading2Char">
    <w:name w:val="Heading 2 Char"/>
    <w:link w:val="Heading2"/>
    <w:uiPriority w:val="9"/>
    <w:rsid w:val="00902C22"/>
    <w:rPr>
      <w:rFonts w:ascii="Arial" w:eastAsia="Times New Roman" w:hAnsi="Arial"/>
      <w:bCs/>
      <w:iCs/>
      <w:sz w:val="44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C076AD"/>
    <w:rPr>
      <w:rFonts w:ascii="Arial" w:eastAsia="Times New Roman" w:hAnsi="Arial"/>
      <w:b/>
      <w:bCs/>
      <w:color w:val="0072CE"/>
      <w:sz w:val="30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22E20"/>
    <w:pPr>
      <w:tabs>
        <w:tab w:val="right" w:leader="dot" w:pos="9072"/>
      </w:tabs>
      <w:spacing w:before="200" w:after="80"/>
    </w:pPr>
    <w:rPr>
      <w:rFonts w:ascii="Arial" w:hAnsi="Arial"/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4B59DF"/>
    <w:pPr>
      <w:tabs>
        <w:tab w:val="right" w:leader="dot" w:pos="9072"/>
      </w:tabs>
      <w:spacing w:before="120" w:after="120" w:line="240" w:lineRule="auto"/>
    </w:pPr>
    <w:rPr>
      <w:rFonts w:ascii="Arial" w:hAnsi="Arial"/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C90E80"/>
    <w:pPr>
      <w:ind w:left="440"/>
    </w:pPr>
  </w:style>
  <w:style w:type="character" w:styleId="Hyperlink">
    <w:name w:val="Hyperlink"/>
    <w:uiPriority w:val="99"/>
    <w:unhideWhenUsed/>
    <w:rsid w:val="00C90E80"/>
    <w:rPr>
      <w:color w:val="0563C1"/>
      <w:u w:val="single"/>
    </w:rPr>
  </w:style>
  <w:style w:type="paragraph" w:styleId="BodyText">
    <w:name w:val="Body Text"/>
    <w:link w:val="BodyTextChar"/>
    <w:uiPriority w:val="99"/>
    <w:rsid w:val="004166EA"/>
    <w:pPr>
      <w:spacing w:before="160" w:after="160" w:line="312" w:lineRule="auto"/>
    </w:pPr>
    <w:rPr>
      <w:rFonts w:ascii="Arial" w:eastAsia="Times New Roman" w:hAnsi="Arial" w:cs="Arial"/>
      <w:szCs w:val="24"/>
      <w:lang w:eastAsia="en-US"/>
    </w:rPr>
  </w:style>
  <w:style w:type="character" w:customStyle="1" w:styleId="BodyTextChar">
    <w:name w:val="Body Text Char"/>
    <w:link w:val="BodyText"/>
    <w:uiPriority w:val="99"/>
    <w:rsid w:val="004166EA"/>
    <w:rPr>
      <w:rFonts w:ascii="Arial" w:eastAsia="Times New Roman" w:hAnsi="Arial" w:cs="Arial"/>
      <w:szCs w:val="24"/>
      <w:lang w:eastAsia="en-US"/>
    </w:rPr>
  </w:style>
  <w:style w:type="paragraph" w:customStyle="1" w:styleId="TableColHead">
    <w:name w:val="Table Col Head"/>
    <w:basedOn w:val="Normal"/>
    <w:uiPriority w:val="11"/>
    <w:qFormat/>
    <w:rsid w:val="00A178C0"/>
    <w:pPr>
      <w:spacing w:before="80" w:after="60" w:line="240" w:lineRule="auto"/>
    </w:pPr>
    <w:rPr>
      <w:rFonts w:ascii="Arial" w:hAnsi="Arial" w:cs="Arial"/>
      <w:b/>
      <w:color w:val="FFFFFF"/>
      <w:w w:val="110"/>
      <w:sz w:val="18"/>
      <w:szCs w:val="18"/>
    </w:rPr>
  </w:style>
  <w:style w:type="paragraph" w:customStyle="1" w:styleId="TableTextRight">
    <w:name w:val="Table Text Right"/>
    <w:basedOn w:val="TableText"/>
    <w:qFormat/>
    <w:rsid w:val="008C1BE0"/>
    <w:pPr>
      <w:jc w:val="right"/>
    </w:pPr>
  </w:style>
  <w:style w:type="table" w:styleId="TableGrid">
    <w:name w:val="Table Grid"/>
    <w:basedOn w:val="TableNormal"/>
    <w:uiPriority w:val="39"/>
    <w:rsid w:val="00914245"/>
    <w:tblPr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F4FB"/>
    </w:tcPr>
    <w:tblStylePr w:type="firstRow">
      <w:tblPr/>
      <w:tcPr>
        <w:tcBorders>
          <w:insideV w:val="single" w:sz="4" w:space="0" w:color="FFFFFF"/>
        </w:tcBorders>
        <w:shd w:val="clear" w:color="auto" w:fill="0072CE"/>
        <w:vAlign w:val="bottom"/>
      </w:tcPr>
    </w:tblStylePr>
  </w:style>
  <w:style w:type="paragraph" w:styleId="Header">
    <w:name w:val="header"/>
    <w:basedOn w:val="Normal"/>
    <w:link w:val="HeaderChar"/>
    <w:uiPriority w:val="99"/>
    <w:unhideWhenUsed/>
    <w:rsid w:val="00C71F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1F1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3BEE"/>
    <w:pPr>
      <w:tabs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783BEE"/>
    <w:rPr>
      <w:rFonts w:ascii="Arial" w:hAnsi="Arial"/>
      <w:sz w:val="18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3544EC"/>
    <w:pPr>
      <w:keepNext/>
      <w:keepLines/>
      <w:spacing w:before="300" w:after="120" w:line="240" w:lineRule="auto"/>
    </w:pPr>
    <w:rPr>
      <w:rFonts w:ascii="Arial" w:hAnsi="Arial" w:cs="Arial"/>
      <w:b/>
      <w:bCs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4F0321"/>
    <w:pPr>
      <w:spacing w:after="100"/>
      <w:ind w:left="660"/>
    </w:pPr>
    <w:rPr>
      <w:rFonts w:eastAsia="Times New Roman"/>
      <w:lang w:eastAsia="en-AU"/>
    </w:rPr>
  </w:style>
  <w:style w:type="paragraph" w:styleId="TOC5">
    <w:name w:val="toc 5"/>
    <w:basedOn w:val="Normal"/>
    <w:next w:val="Normal"/>
    <w:autoRedefine/>
    <w:uiPriority w:val="39"/>
    <w:semiHidden/>
    <w:rsid w:val="004F0321"/>
    <w:pPr>
      <w:spacing w:after="100"/>
      <w:ind w:left="880"/>
    </w:pPr>
    <w:rPr>
      <w:rFonts w:eastAsia="Times New Roman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4F0321"/>
    <w:pPr>
      <w:spacing w:after="100"/>
      <w:ind w:left="1100"/>
    </w:pPr>
    <w:rPr>
      <w:rFonts w:eastAsia="Times New Roman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4F0321"/>
    <w:pPr>
      <w:spacing w:after="100"/>
      <w:ind w:left="1320"/>
    </w:pPr>
    <w:rPr>
      <w:rFonts w:eastAsia="Times New Roman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4F0321"/>
    <w:pPr>
      <w:spacing w:after="100"/>
      <w:ind w:left="1540"/>
    </w:pPr>
    <w:rPr>
      <w:rFonts w:eastAsia="Times New Roman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4F0321"/>
    <w:pPr>
      <w:spacing w:after="100"/>
      <w:ind w:left="1760"/>
    </w:pPr>
    <w:rPr>
      <w:rFonts w:eastAsia="Times New Roman"/>
      <w:lang w:eastAsia="en-AU"/>
    </w:rPr>
  </w:style>
  <w:style w:type="paragraph" w:styleId="NoSpacing">
    <w:name w:val="No Spacing"/>
    <w:uiPriority w:val="98"/>
    <w:semiHidden/>
    <w:qFormat/>
    <w:rsid w:val="004F032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B74A1F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A26139"/>
    <w:pPr>
      <w:spacing w:after="200" w:line="276" w:lineRule="auto"/>
      <w:ind w:left="720"/>
      <w:contextualSpacing/>
    </w:pPr>
  </w:style>
  <w:style w:type="paragraph" w:customStyle="1" w:styleId="TableColHeadRight">
    <w:name w:val="Table Col Head Right"/>
    <w:basedOn w:val="TableColHead"/>
    <w:qFormat/>
    <w:rsid w:val="008C1BE0"/>
    <w:pPr>
      <w:jc w:val="right"/>
    </w:pPr>
  </w:style>
  <w:style w:type="paragraph" w:customStyle="1" w:styleId="TableTextBold">
    <w:name w:val="Table Text Bold"/>
    <w:basedOn w:val="TableText"/>
    <w:qFormat/>
    <w:rsid w:val="00CE2CE5"/>
    <w:rPr>
      <w:b/>
    </w:rPr>
  </w:style>
  <w:style w:type="paragraph" w:styleId="ListBullet2">
    <w:name w:val="List Bullet 2"/>
    <w:basedOn w:val="Normal"/>
    <w:uiPriority w:val="99"/>
    <w:rsid w:val="00A231D9"/>
    <w:pPr>
      <w:numPr>
        <w:numId w:val="29"/>
      </w:numPr>
      <w:contextualSpacing/>
    </w:pPr>
  </w:style>
  <w:style w:type="numbering" w:customStyle="1" w:styleId="CAVListStyleBullets">
    <w:name w:val="CAV List Style: Bullets"/>
    <w:uiPriority w:val="99"/>
    <w:rsid w:val="00C659AA"/>
    <w:pPr>
      <w:numPr>
        <w:numId w:val="7"/>
      </w:numPr>
    </w:pPr>
  </w:style>
  <w:style w:type="paragraph" w:styleId="BlockText">
    <w:name w:val="Block Text"/>
    <w:basedOn w:val="Normal"/>
    <w:semiHidden/>
    <w:rsid w:val="00C04AF5"/>
    <w:pPr>
      <w:spacing w:before="240" w:after="120" w:line="240" w:lineRule="auto"/>
      <w:ind w:left="1440" w:right="1440"/>
    </w:pPr>
    <w:rPr>
      <w:rFonts w:ascii="Arial" w:hAnsi="Arial" w:cs="Arial"/>
      <w:color w:val="FF0000"/>
      <w:u w:val="single"/>
      <w:lang w:eastAsia="en-AU"/>
    </w:rPr>
  </w:style>
  <w:style w:type="paragraph" w:customStyle="1" w:styleId="FooterLandscape">
    <w:name w:val="Footer Landscape"/>
    <w:basedOn w:val="Footer"/>
    <w:qFormat/>
    <w:rsid w:val="009F76FB"/>
    <w:pPr>
      <w:tabs>
        <w:tab w:val="clear" w:pos="9072"/>
        <w:tab w:val="right" w:pos="15706"/>
      </w:tabs>
    </w:pPr>
  </w:style>
  <w:style w:type="paragraph" w:styleId="FootnoteText">
    <w:name w:val="footnote text"/>
    <w:basedOn w:val="Normal"/>
    <w:link w:val="FootnoteTextChar"/>
    <w:uiPriority w:val="99"/>
    <w:rsid w:val="00F91196"/>
    <w:pPr>
      <w:spacing w:before="60" w:after="60" w:line="264" w:lineRule="auto"/>
      <w:ind w:left="340" w:hanging="340"/>
    </w:pPr>
    <w:rPr>
      <w:rFonts w:ascii="Arial" w:hAnsi="Arial" w:cs="Arial"/>
      <w:sz w:val="16"/>
      <w:szCs w:val="16"/>
    </w:rPr>
  </w:style>
  <w:style w:type="character" w:styleId="Emphasis">
    <w:name w:val="Emphasis"/>
    <w:uiPriority w:val="20"/>
    <w:qFormat/>
    <w:rsid w:val="00422C46"/>
    <w:rPr>
      <w:i/>
      <w:iCs/>
    </w:rPr>
  </w:style>
  <w:style w:type="character" w:styleId="Strong">
    <w:name w:val="Strong"/>
    <w:uiPriority w:val="22"/>
    <w:qFormat/>
    <w:rsid w:val="008A5248"/>
    <w:rPr>
      <w:b/>
      <w:bCs/>
    </w:rPr>
  </w:style>
  <w:style w:type="character" w:styleId="CommentReference">
    <w:name w:val="annotation reference"/>
    <w:uiPriority w:val="99"/>
    <w:semiHidden/>
    <w:unhideWhenUsed/>
    <w:rsid w:val="00E44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B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4B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B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4B2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4B22"/>
    <w:rPr>
      <w:rFonts w:ascii="Segoe UI" w:hAnsi="Segoe UI" w:cs="Segoe UI"/>
      <w:sz w:val="18"/>
      <w:szCs w:val="18"/>
      <w:lang w:eastAsia="en-US"/>
    </w:rPr>
  </w:style>
  <w:style w:type="character" w:customStyle="1" w:styleId="Heading4Char">
    <w:name w:val="Heading 4 Char"/>
    <w:link w:val="Heading4"/>
    <w:uiPriority w:val="9"/>
    <w:rsid w:val="00C076AD"/>
    <w:rPr>
      <w:rFonts w:ascii="Arial" w:eastAsia="Times New Roman" w:hAnsi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A73820"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rsid w:val="00F91196"/>
    <w:rPr>
      <w:rFonts w:ascii="Arial" w:hAnsi="Arial" w:cs="Arial"/>
      <w:sz w:val="16"/>
      <w:szCs w:val="16"/>
      <w:lang w:eastAsia="en-US"/>
    </w:rPr>
  </w:style>
  <w:style w:type="character" w:styleId="FootnoteReference">
    <w:name w:val="footnote reference"/>
    <w:uiPriority w:val="99"/>
    <w:rsid w:val="003D521F"/>
    <w:rPr>
      <w:vertAlign w:val="superscript"/>
    </w:rPr>
  </w:style>
  <w:style w:type="paragraph" w:customStyle="1" w:styleId="TableFootnote">
    <w:name w:val="Table Footnote"/>
    <w:basedOn w:val="TableText"/>
    <w:uiPriority w:val="99"/>
    <w:qFormat/>
    <w:rsid w:val="00FC2CA1"/>
    <w:pPr>
      <w:ind w:left="227" w:hanging="227"/>
    </w:pPr>
    <w:rPr>
      <w:sz w:val="16"/>
      <w:szCs w:val="16"/>
      <w:lang w:eastAsia="en-AU"/>
    </w:rPr>
  </w:style>
  <w:style w:type="paragraph" w:customStyle="1" w:styleId="BodyTextSmallSpace">
    <w:name w:val="Body Text Small Space"/>
    <w:basedOn w:val="BodyText"/>
    <w:qFormat/>
    <w:rsid w:val="005003AA"/>
    <w:pPr>
      <w:spacing w:after="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4207"/>
  </w:style>
  <w:style w:type="character" w:styleId="FollowedHyperlink">
    <w:name w:val="FollowedHyperlink"/>
    <w:uiPriority w:val="99"/>
    <w:semiHidden/>
    <w:unhideWhenUsed/>
    <w:rsid w:val="004F061C"/>
    <w:rPr>
      <w:color w:val="954F72"/>
      <w:u w:val="single"/>
    </w:rPr>
  </w:style>
  <w:style w:type="paragraph" w:customStyle="1" w:styleId="BodyTextSmallSpaceItalic">
    <w:name w:val="Body Text Small Space Italic"/>
    <w:basedOn w:val="BodyTextSmallSpace"/>
    <w:qFormat/>
    <w:rsid w:val="00EA58F3"/>
    <w:rPr>
      <w:i/>
    </w:rPr>
  </w:style>
  <w:style w:type="paragraph" w:styleId="ListBullet">
    <w:name w:val="List Bullet"/>
    <w:basedOn w:val="Normal"/>
    <w:uiPriority w:val="99"/>
    <w:rsid w:val="00A10A1B"/>
    <w:pPr>
      <w:numPr>
        <w:numId w:val="28"/>
      </w:numPr>
      <w:spacing w:after="40" w:line="312" w:lineRule="auto"/>
      <w:ind w:left="357" w:hanging="357"/>
    </w:pPr>
    <w:rPr>
      <w:rFonts w:ascii="Arial" w:hAnsi="Arial"/>
      <w:sz w:val="20"/>
    </w:rPr>
  </w:style>
  <w:style w:type="character" w:customStyle="1" w:styleId="Heading5Char">
    <w:name w:val="Heading 5 Char"/>
    <w:link w:val="Heading5"/>
    <w:uiPriority w:val="9"/>
    <w:rsid w:val="00D03A6F"/>
    <w:rPr>
      <w:rFonts w:ascii="Arial" w:eastAsia="Times New Roman" w:hAnsi="Arial"/>
      <w:b/>
      <w:bCs/>
      <w:iCs/>
      <w:sz w:val="22"/>
      <w:szCs w:val="26"/>
      <w:lang w:eastAsia="en-US"/>
    </w:rPr>
  </w:style>
  <w:style w:type="paragraph" w:customStyle="1" w:styleId="NoParagraphStyle">
    <w:name w:val="[No Paragraph Style]"/>
    <w:rsid w:val="00C344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US"/>
    </w:rPr>
  </w:style>
  <w:style w:type="paragraph" w:styleId="ListNumber">
    <w:name w:val="List Number"/>
    <w:basedOn w:val="Normal"/>
    <w:uiPriority w:val="99"/>
    <w:rsid w:val="00896A7C"/>
    <w:pPr>
      <w:numPr>
        <w:numId w:val="30"/>
      </w:numPr>
      <w:spacing w:line="312" w:lineRule="auto"/>
      <w:ind w:left="357" w:hanging="357"/>
      <w:contextualSpacing/>
    </w:pPr>
    <w:rPr>
      <w:rFonts w:ascii="Arial" w:hAnsi="Arial"/>
      <w:sz w:val="20"/>
    </w:rPr>
  </w:style>
  <w:style w:type="paragraph" w:customStyle="1" w:styleId="TOCHeading1">
    <w:name w:val="TOC Heading1"/>
    <w:basedOn w:val="Heading2"/>
    <w:qFormat/>
    <w:rsid w:val="00FF30B8"/>
  </w:style>
  <w:style w:type="character" w:customStyle="1" w:styleId="UnresolvedMention">
    <w:name w:val="Unresolved Mention"/>
    <w:uiPriority w:val="99"/>
    <w:semiHidden/>
    <w:unhideWhenUsed/>
    <w:rsid w:val="003B545A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uiPriority w:val="9"/>
    <w:rsid w:val="00D03A6F"/>
    <w:rPr>
      <w:rFonts w:ascii="Arial" w:eastAsia="Times New Roman" w:hAnsi="Arial"/>
      <w:b/>
      <w:bCs/>
      <w:szCs w:val="22"/>
      <w:lang w:eastAsia="en-US"/>
    </w:rPr>
  </w:style>
  <w:style w:type="paragraph" w:customStyle="1" w:styleId="BodyCopy">
    <w:name w:val="Body Copy"/>
    <w:basedOn w:val="NoParagraphStyle"/>
    <w:uiPriority w:val="99"/>
    <w:rsid w:val="00C344CE"/>
    <w:pPr>
      <w:suppressAutoHyphens/>
      <w:spacing w:after="142" w:line="270" w:lineRule="atLeast"/>
    </w:pPr>
    <w:rPr>
      <w:rFonts w:ascii="VIC-Regular" w:hAnsi="VIC-Regular" w:cs="VIC-Regular"/>
      <w:sz w:val="21"/>
      <w:szCs w:val="21"/>
      <w:lang w:val="en-GB"/>
    </w:rPr>
  </w:style>
  <w:style w:type="paragraph" w:customStyle="1" w:styleId="FigureInline">
    <w:name w:val="Figure Inline"/>
    <w:basedOn w:val="Normal"/>
    <w:uiPriority w:val="99"/>
    <w:rsid w:val="00D600AA"/>
    <w:pPr>
      <w:widowControl w:val="0"/>
      <w:suppressAutoHyphens/>
      <w:autoSpaceDE w:val="0"/>
      <w:autoSpaceDN w:val="0"/>
      <w:adjustRightInd w:val="0"/>
      <w:spacing w:after="142" w:line="288" w:lineRule="auto"/>
      <w:textAlignment w:val="center"/>
    </w:pPr>
    <w:rPr>
      <w:rFonts w:ascii="VIC-Regular" w:eastAsia="Times New Roman" w:hAnsi="VIC-Regular" w:cs="VIC-Regular"/>
      <w:color w:val="000000"/>
      <w:sz w:val="21"/>
      <w:szCs w:val="21"/>
      <w:lang w:val="en-GB" w:eastAsia="en-AU"/>
    </w:rPr>
  </w:style>
  <w:style w:type="character" w:customStyle="1" w:styleId="Superscript">
    <w:name w:val="Superscript"/>
    <w:uiPriority w:val="99"/>
    <w:rsid w:val="00D600AA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B2D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2Disclaimer">
    <w:name w:val="H2 Disclaimer"/>
    <w:basedOn w:val="BodyCopy"/>
    <w:uiPriority w:val="99"/>
    <w:rsid w:val="00492B18"/>
    <w:pPr>
      <w:widowControl/>
      <w:spacing w:before="85" w:after="57" w:line="200" w:lineRule="atLeast"/>
    </w:pPr>
    <w:rPr>
      <w:rFonts w:ascii="VIC-SemiBold" w:eastAsia="Calibri" w:hAnsi="VIC-SemiBold" w:cs="VIC-SemiBold"/>
      <w:b/>
      <w:bCs/>
      <w:sz w:val="17"/>
      <w:szCs w:val="17"/>
    </w:rPr>
  </w:style>
  <w:style w:type="paragraph" w:customStyle="1" w:styleId="DisclaimerBody">
    <w:name w:val="Disclaimer Body"/>
    <w:basedOn w:val="BodyCopy"/>
    <w:uiPriority w:val="99"/>
    <w:rsid w:val="00492B18"/>
    <w:pPr>
      <w:widowControl/>
      <w:spacing w:after="71" w:line="210" w:lineRule="atLeast"/>
    </w:pPr>
    <w:rPr>
      <w:rFonts w:eastAsia="Calibri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List Number" w:semiHidden="0" w:unhideWhenUsed="0"/>
    <w:lsdException w:name="List Bullet 2" w:semiHidden="0" w:unhideWhenUsed="0"/>
    <w:lsdException w:name="List Number 2" w:unhideWhenUsed="0"/>
    <w:lsdException w:name="Title" w:uiPriority="98" w:unhideWhenUsed="0" w:qFormat="1"/>
    <w:lsdException w:name="Default Paragraph Font" w:uiPriority="98"/>
    <w:lsdException w:name="Subtitle" w:uiPriority="98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uiPriority="98" w:unhideWhenUsed="0" w:qFormat="1"/>
    <w:lsdException w:name="Intense Quote" w:uiPriority="98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 w:unhideWhenUsed="0" w:qFormat="1"/>
    <w:lsdException w:name="Intense Emphasis" w:uiPriority="98" w:unhideWhenUsed="0" w:qFormat="1"/>
    <w:lsdException w:name="Subtle Reference" w:uiPriority="98" w:unhideWhenUsed="0" w:qFormat="1"/>
    <w:lsdException w:name="Intense Reference" w:uiPriority="98" w:unhideWhenUsed="0" w:qFormat="1"/>
    <w:lsdException w:name="Book Title" w:uiPriority="98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47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049"/>
    <w:pPr>
      <w:jc w:val="center"/>
      <w:outlineLvl w:val="0"/>
    </w:pPr>
    <w:rPr>
      <w:rFonts w:ascii="Arial" w:hAnsi="Arial" w:cs="Arial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C22"/>
    <w:pPr>
      <w:keepNext/>
      <w:keepLines/>
      <w:pageBreakBefore/>
      <w:spacing w:after="400" w:line="240" w:lineRule="auto"/>
      <w:outlineLvl w:val="1"/>
    </w:pPr>
    <w:rPr>
      <w:rFonts w:ascii="Arial" w:eastAsia="Times New Roman" w:hAnsi="Arial"/>
      <w:bCs/>
      <w:iCs/>
      <w:sz w:val="4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6AD"/>
    <w:pPr>
      <w:keepNext/>
      <w:keepLines/>
      <w:spacing w:before="300" w:after="120" w:line="240" w:lineRule="auto"/>
      <w:outlineLvl w:val="2"/>
    </w:pPr>
    <w:rPr>
      <w:rFonts w:ascii="Arial" w:eastAsia="Times New Roman" w:hAnsi="Arial"/>
      <w:b/>
      <w:bCs/>
      <w:color w:val="0072CE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6AD"/>
    <w:pPr>
      <w:keepNext/>
      <w:keepLines/>
      <w:spacing w:before="300" w:after="120" w:line="240" w:lineRule="auto"/>
      <w:outlineLvl w:val="3"/>
    </w:pPr>
    <w:rPr>
      <w:rFonts w:ascii="Arial" w:eastAsia="Times New Roman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3A6F"/>
    <w:pPr>
      <w:keepNext/>
      <w:keepLines/>
      <w:spacing w:before="300" w:after="120" w:line="240" w:lineRule="auto"/>
      <w:outlineLvl w:val="4"/>
    </w:pPr>
    <w:rPr>
      <w:rFonts w:ascii="Arial" w:eastAsia="Times New Roman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3A6F"/>
    <w:pPr>
      <w:spacing w:before="240" w:after="60"/>
      <w:outlineLvl w:val="5"/>
    </w:pPr>
    <w:rPr>
      <w:rFonts w:ascii="Arial" w:eastAsia="Times New Roman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62049"/>
    <w:rPr>
      <w:rFonts w:ascii="Arial" w:hAnsi="Arial" w:cs="Arial"/>
      <w:sz w:val="48"/>
      <w:szCs w:val="48"/>
      <w:lang w:eastAsia="en-US"/>
    </w:rPr>
  </w:style>
  <w:style w:type="paragraph" w:customStyle="1" w:styleId="TableText">
    <w:name w:val="Table Text"/>
    <w:basedOn w:val="Normal"/>
    <w:uiPriority w:val="11"/>
    <w:qFormat/>
    <w:rsid w:val="00A178C0"/>
    <w:pPr>
      <w:spacing w:before="80" w:after="60" w:line="240" w:lineRule="auto"/>
    </w:pPr>
    <w:rPr>
      <w:rFonts w:ascii="Arial" w:hAnsi="Arial"/>
      <w:sz w:val="18"/>
    </w:rPr>
  </w:style>
  <w:style w:type="character" w:customStyle="1" w:styleId="Heading2Char">
    <w:name w:val="Heading 2 Char"/>
    <w:link w:val="Heading2"/>
    <w:uiPriority w:val="9"/>
    <w:rsid w:val="00902C22"/>
    <w:rPr>
      <w:rFonts w:ascii="Arial" w:eastAsia="Times New Roman" w:hAnsi="Arial"/>
      <w:bCs/>
      <w:iCs/>
      <w:sz w:val="44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C076AD"/>
    <w:rPr>
      <w:rFonts w:ascii="Arial" w:eastAsia="Times New Roman" w:hAnsi="Arial"/>
      <w:b/>
      <w:bCs/>
      <w:color w:val="0072CE"/>
      <w:sz w:val="30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22E20"/>
    <w:pPr>
      <w:tabs>
        <w:tab w:val="right" w:leader="dot" w:pos="9072"/>
      </w:tabs>
      <w:spacing w:before="200" w:after="80"/>
    </w:pPr>
    <w:rPr>
      <w:rFonts w:ascii="Arial" w:hAnsi="Arial"/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4B59DF"/>
    <w:pPr>
      <w:tabs>
        <w:tab w:val="right" w:leader="dot" w:pos="9072"/>
      </w:tabs>
      <w:spacing w:before="120" w:after="120" w:line="240" w:lineRule="auto"/>
    </w:pPr>
    <w:rPr>
      <w:rFonts w:ascii="Arial" w:hAnsi="Arial"/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C90E80"/>
    <w:pPr>
      <w:ind w:left="440"/>
    </w:pPr>
  </w:style>
  <w:style w:type="character" w:styleId="Hyperlink">
    <w:name w:val="Hyperlink"/>
    <w:uiPriority w:val="99"/>
    <w:unhideWhenUsed/>
    <w:rsid w:val="00C90E80"/>
    <w:rPr>
      <w:color w:val="0563C1"/>
      <w:u w:val="single"/>
    </w:rPr>
  </w:style>
  <w:style w:type="paragraph" w:styleId="BodyText">
    <w:name w:val="Body Text"/>
    <w:link w:val="BodyTextChar"/>
    <w:uiPriority w:val="99"/>
    <w:rsid w:val="004166EA"/>
    <w:pPr>
      <w:spacing w:before="160" w:after="160" w:line="312" w:lineRule="auto"/>
    </w:pPr>
    <w:rPr>
      <w:rFonts w:ascii="Arial" w:eastAsia="Times New Roman" w:hAnsi="Arial" w:cs="Arial"/>
      <w:szCs w:val="24"/>
      <w:lang w:eastAsia="en-US"/>
    </w:rPr>
  </w:style>
  <w:style w:type="character" w:customStyle="1" w:styleId="BodyTextChar">
    <w:name w:val="Body Text Char"/>
    <w:link w:val="BodyText"/>
    <w:uiPriority w:val="99"/>
    <w:rsid w:val="004166EA"/>
    <w:rPr>
      <w:rFonts w:ascii="Arial" w:eastAsia="Times New Roman" w:hAnsi="Arial" w:cs="Arial"/>
      <w:szCs w:val="24"/>
      <w:lang w:eastAsia="en-US"/>
    </w:rPr>
  </w:style>
  <w:style w:type="paragraph" w:customStyle="1" w:styleId="TableColHead">
    <w:name w:val="Table Col Head"/>
    <w:basedOn w:val="Normal"/>
    <w:uiPriority w:val="11"/>
    <w:qFormat/>
    <w:rsid w:val="00A178C0"/>
    <w:pPr>
      <w:spacing w:before="80" w:after="60" w:line="240" w:lineRule="auto"/>
    </w:pPr>
    <w:rPr>
      <w:rFonts w:ascii="Arial" w:hAnsi="Arial" w:cs="Arial"/>
      <w:b/>
      <w:color w:val="FFFFFF"/>
      <w:w w:val="110"/>
      <w:sz w:val="18"/>
      <w:szCs w:val="18"/>
    </w:rPr>
  </w:style>
  <w:style w:type="paragraph" w:customStyle="1" w:styleId="TableTextRight">
    <w:name w:val="Table Text Right"/>
    <w:basedOn w:val="TableText"/>
    <w:qFormat/>
    <w:rsid w:val="008C1BE0"/>
    <w:pPr>
      <w:jc w:val="right"/>
    </w:pPr>
  </w:style>
  <w:style w:type="table" w:styleId="TableGrid">
    <w:name w:val="Table Grid"/>
    <w:basedOn w:val="TableNormal"/>
    <w:uiPriority w:val="39"/>
    <w:rsid w:val="00914245"/>
    <w:tblPr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F4FB"/>
    </w:tcPr>
    <w:tblStylePr w:type="firstRow">
      <w:tblPr/>
      <w:tcPr>
        <w:tcBorders>
          <w:insideV w:val="single" w:sz="4" w:space="0" w:color="FFFFFF"/>
        </w:tcBorders>
        <w:shd w:val="clear" w:color="auto" w:fill="0072CE"/>
        <w:vAlign w:val="bottom"/>
      </w:tcPr>
    </w:tblStylePr>
  </w:style>
  <w:style w:type="paragraph" w:styleId="Header">
    <w:name w:val="header"/>
    <w:basedOn w:val="Normal"/>
    <w:link w:val="HeaderChar"/>
    <w:uiPriority w:val="99"/>
    <w:unhideWhenUsed/>
    <w:rsid w:val="00C71F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1F1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3BEE"/>
    <w:pPr>
      <w:tabs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783BEE"/>
    <w:rPr>
      <w:rFonts w:ascii="Arial" w:hAnsi="Arial"/>
      <w:sz w:val="18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3544EC"/>
    <w:pPr>
      <w:keepNext/>
      <w:keepLines/>
      <w:spacing w:before="300" w:after="120" w:line="240" w:lineRule="auto"/>
    </w:pPr>
    <w:rPr>
      <w:rFonts w:ascii="Arial" w:hAnsi="Arial" w:cs="Arial"/>
      <w:b/>
      <w:bCs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4F0321"/>
    <w:pPr>
      <w:spacing w:after="100"/>
      <w:ind w:left="660"/>
    </w:pPr>
    <w:rPr>
      <w:rFonts w:eastAsia="Times New Roman"/>
      <w:lang w:eastAsia="en-AU"/>
    </w:rPr>
  </w:style>
  <w:style w:type="paragraph" w:styleId="TOC5">
    <w:name w:val="toc 5"/>
    <w:basedOn w:val="Normal"/>
    <w:next w:val="Normal"/>
    <w:autoRedefine/>
    <w:uiPriority w:val="39"/>
    <w:semiHidden/>
    <w:rsid w:val="004F0321"/>
    <w:pPr>
      <w:spacing w:after="100"/>
      <w:ind w:left="880"/>
    </w:pPr>
    <w:rPr>
      <w:rFonts w:eastAsia="Times New Roman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4F0321"/>
    <w:pPr>
      <w:spacing w:after="100"/>
      <w:ind w:left="1100"/>
    </w:pPr>
    <w:rPr>
      <w:rFonts w:eastAsia="Times New Roman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4F0321"/>
    <w:pPr>
      <w:spacing w:after="100"/>
      <w:ind w:left="1320"/>
    </w:pPr>
    <w:rPr>
      <w:rFonts w:eastAsia="Times New Roman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4F0321"/>
    <w:pPr>
      <w:spacing w:after="100"/>
      <w:ind w:left="1540"/>
    </w:pPr>
    <w:rPr>
      <w:rFonts w:eastAsia="Times New Roman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4F0321"/>
    <w:pPr>
      <w:spacing w:after="100"/>
      <w:ind w:left="1760"/>
    </w:pPr>
    <w:rPr>
      <w:rFonts w:eastAsia="Times New Roman"/>
      <w:lang w:eastAsia="en-AU"/>
    </w:rPr>
  </w:style>
  <w:style w:type="paragraph" w:styleId="NoSpacing">
    <w:name w:val="No Spacing"/>
    <w:uiPriority w:val="98"/>
    <w:semiHidden/>
    <w:qFormat/>
    <w:rsid w:val="004F032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B74A1F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A26139"/>
    <w:pPr>
      <w:spacing w:after="200" w:line="276" w:lineRule="auto"/>
      <w:ind w:left="720"/>
      <w:contextualSpacing/>
    </w:pPr>
  </w:style>
  <w:style w:type="paragraph" w:customStyle="1" w:styleId="TableColHeadRight">
    <w:name w:val="Table Col Head Right"/>
    <w:basedOn w:val="TableColHead"/>
    <w:qFormat/>
    <w:rsid w:val="008C1BE0"/>
    <w:pPr>
      <w:jc w:val="right"/>
    </w:pPr>
  </w:style>
  <w:style w:type="paragraph" w:customStyle="1" w:styleId="TableTextBold">
    <w:name w:val="Table Text Bold"/>
    <w:basedOn w:val="TableText"/>
    <w:qFormat/>
    <w:rsid w:val="00CE2CE5"/>
    <w:rPr>
      <w:b/>
    </w:rPr>
  </w:style>
  <w:style w:type="paragraph" w:styleId="ListBullet2">
    <w:name w:val="List Bullet 2"/>
    <w:basedOn w:val="Normal"/>
    <w:uiPriority w:val="99"/>
    <w:rsid w:val="00A231D9"/>
    <w:pPr>
      <w:numPr>
        <w:numId w:val="29"/>
      </w:numPr>
      <w:contextualSpacing/>
    </w:pPr>
  </w:style>
  <w:style w:type="numbering" w:customStyle="1" w:styleId="CAVListStyleBullets">
    <w:name w:val="CAV List Style: Bullets"/>
    <w:uiPriority w:val="99"/>
    <w:rsid w:val="00C659AA"/>
    <w:pPr>
      <w:numPr>
        <w:numId w:val="7"/>
      </w:numPr>
    </w:pPr>
  </w:style>
  <w:style w:type="paragraph" w:styleId="BlockText">
    <w:name w:val="Block Text"/>
    <w:basedOn w:val="Normal"/>
    <w:semiHidden/>
    <w:rsid w:val="00C04AF5"/>
    <w:pPr>
      <w:spacing w:before="240" w:after="120" w:line="240" w:lineRule="auto"/>
      <w:ind w:left="1440" w:right="1440"/>
    </w:pPr>
    <w:rPr>
      <w:rFonts w:ascii="Arial" w:hAnsi="Arial" w:cs="Arial"/>
      <w:color w:val="FF0000"/>
      <w:u w:val="single"/>
      <w:lang w:eastAsia="en-AU"/>
    </w:rPr>
  </w:style>
  <w:style w:type="paragraph" w:customStyle="1" w:styleId="FooterLandscape">
    <w:name w:val="Footer Landscape"/>
    <w:basedOn w:val="Footer"/>
    <w:qFormat/>
    <w:rsid w:val="009F76FB"/>
    <w:pPr>
      <w:tabs>
        <w:tab w:val="clear" w:pos="9072"/>
        <w:tab w:val="right" w:pos="15706"/>
      </w:tabs>
    </w:pPr>
  </w:style>
  <w:style w:type="paragraph" w:styleId="FootnoteText">
    <w:name w:val="footnote text"/>
    <w:basedOn w:val="Normal"/>
    <w:link w:val="FootnoteTextChar"/>
    <w:uiPriority w:val="99"/>
    <w:rsid w:val="00F91196"/>
    <w:pPr>
      <w:spacing w:before="60" w:after="60" w:line="264" w:lineRule="auto"/>
      <w:ind w:left="340" w:hanging="340"/>
    </w:pPr>
    <w:rPr>
      <w:rFonts w:ascii="Arial" w:hAnsi="Arial" w:cs="Arial"/>
      <w:sz w:val="16"/>
      <w:szCs w:val="16"/>
    </w:rPr>
  </w:style>
  <w:style w:type="character" w:styleId="Emphasis">
    <w:name w:val="Emphasis"/>
    <w:uiPriority w:val="20"/>
    <w:qFormat/>
    <w:rsid w:val="00422C46"/>
    <w:rPr>
      <w:i/>
      <w:iCs/>
    </w:rPr>
  </w:style>
  <w:style w:type="character" w:styleId="Strong">
    <w:name w:val="Strong"/>
    <w:uiPriority w:val="22"/>
    <w:qFormat/>
    <w:rsid w:val="008A5248"/>
    <w:rPr>
      <w:b/>
      <w:bCs/>
    </w:rPr>
  </w:style>
  <w:style w:type="character" w:styleId="CommentReference">
    <w:name w:val="annotation reference"/>
    <w:uiPriority w:val="99"/>
    <w:semiHidden/>
    <w:unhideWhenUsed/>
    <w:rsid w:val="00E44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B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4B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B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4B2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4B22"/>
    <w:rPr>
      <w:rFonts w:ascii="Segoe UI" w:hAnsi="Segoe UI" w:cs="Segoe UI"/>
      <w:sz w:val="18"/>
      <w:szCs w:val="18"/>
      <w:lang w:eastAsia="en-US"/>
    </w:rPr>
  </w:style>
  <w:style w:type="character" w:customStyle="1" w:styleId="Heading4Char">
    <w:name w:val="Heading 4 Char"/>
    <w:link w:val="Heading4"/>
    <w:uiPriority w:val="9"/>
    <w:rsid w:val="00C076AD"/>
    <w:rPr>
      <w:rFonts w:ascii="Arial" w:eastAsia="Times New Roman" w:hAnsi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A73820"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rsid w:val="00F91196"/>
    <w:rPr>
      <w:rFonts w:ascii="Arial" w:hAnsi="Arial" w:cs="Arial"/>
      <w:sz w:val="16"/>
      <w:szCs w:val="16"/>
      <w:lang w:eastAsia="en-US"/>
    </w:rPr>
  </w:style>
  <w:style w:type="character" w:styleId="FootnoteReference">
    <w:name w:val="footnote reference"/>
    <w:uiPriority w:val="99"/>
    <w:rsid w:val="003D521F"/>
    <w:rPr>
      <w:vertAlign w:val="superscript"/>
    </w:rPr>
  </w:style>
  <w:style w:type="paragraph" w:customStyle="1" w:styleId="TableFootnote">
    <w:name w:val="Table Footnote"/>
    <w:basedOn w:val="TableText"/>
    <w:uiPriority w:val="99"/>
    <w:qFormat/>
    <w:rsid w:val="00FC2CA1"/>
    <w:pPr>
      <w:ind w:left="227" w:hanging="227"/>
    </w:pPr>
    <w:rPr>
      <w:sz w:val="16"/>
      <w:szCs w:val="16"/>
      <w:lang w:eastAsia="en-AU"/>
    </w:rPr>
  </w:style>
  <w:style w:type="paragraph" w:customStyle="1" w:styleId="BodyTextSmallSpace">
    <w:name w:val="Body Text Small Space"/>
    <w:basedOn w:val="BodyText"/>
    <w:qFormat/>
    <w:rsid w:val="005003AA"/>
    <w:pPr>
      <w:spacing w:after="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4207"/>
  </w:style>
  <w:style w:type="character" w:styleId="FollowedHyperlink">
    <w:name w:val="FollowedHyperlink"/>
    <w:uiPriority w:val="99"/>
    <w:semiHidden/>
    <w:unhideWhenUsed/>
    <w:rsid w:val="004F061C"/>
    <w:rPr>
      <w:color w:val="954F72"/>
      <w:u w:val="single"/>
    </w:rPr>
  </w:style>
  <w:style w:type="paragraph" w:customStyle="1" w:styleId="BodyTextSmallSpaceItalic">
    <w:name w:val="Body Text Small Space Italic"/>
    <w:basedOn w:val="BodyTextSmallSpace"/>
    <w:qFormat/>
    <w:rsid w:val="00EA58F3"/>
    <w:rPr>
      <w:i/>
    </w:rPr>
  </w:style>
  <w:style w:type="paragraph" w:styleId="ListBullet">
    <w:name w:val="List Bullet"/>
    <w:basedOn w:val="Normal"/>
    <w:uiPriority w:val="99"/>
    <w:rsid w:val="00A10A1B"/>
    <w:pPr>
      <w:numPr>
        <w:numId w:val="28"/>
      </w:numPr>
      <w:spacing w:after="40" w:line="312" w:lineRule="auto"/>
      <w:ind w:left="357" w:hanging="357"/>
    </w:pPr>
    <w:rPr>
      <w:rFonts w:ascii="Arial" w:hAnsi="Arial"/>
      <w:sz w:val="20"/>
    </w:rPr>
  </w:style>
  <w:style w:type="character" w:customStyle="1" w:styleId="Heading5Char">
    <w:name w:val="Heading 5 Char"/>
    <w:link w:val="Heading5"/>
    <w:uiPriority w:val="9"/>
    <w:rsid w:val="00D03A6F"/>
    <w:rPr>
      <w:rFonts w:ascii="Arial" w:eastAsia="Times New Roman" w:hAnsi="Arial"/>
      <w:b/>
      <w:bCs/>
      <w:iCs/>
      <w:sz w:val="22"/>
      <w:szCs w:val="26"/>
      <w:lang w:eastAsia="en-US"/>
    </w:rPr>
  </w:style>
  <w:style w:type="paragraph" w:customStyle="1" w:styleId="NoParagraphStyle">
    <w:name w:val="[No Paragraph Style]"/>
    <w:rsid w:val="00C344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US"/>
    </w:rPr>
  </w:style>
  <w:style w:type="paragraph" w:styleId="ListNumber">
    <w:name w:val="List Number"/>
    <w:basedOn w:val="Normal"/>
    <w:uiPriority w:val="99"/>
    <w:rsid w:val="00896A7C"/>
    <w:pPr>
      <w:numPr>
        <w:numId w:val="30"/>
      </w:numPr>
      <w:spacing w:line="312" w:lineRule="auto"/>
      <w:ind w:left="357" w:hanging="357"/>
      <w:contextualSpacing/>
    </w:pPr>
    <w:rPr>
      <w:rFonts w:ascii="Arial" w:hAnsi="Arial"/>
      <w:sz w:val="20"/>
    </w:rPr>
  </w:style>
  <w:style w:type="paragraph" w:customStyle="1" w:styleId="TOCHeading1">
    <w:name w:val="TOC Heading1"/>
    <w:basedOn w:val="Heading2"/>
    <w:qFormat/>
    <w:rsid w:val="00FF30B8"/>
  </w:style>
  <w:style w:type="character" w:customStyle="1" w:styleId="UnresolvedMention">
    <w:name w:val="Unresolved Mention"/>
    <w:uiPriority w:val="99"/>
    <w:semiHidden/>
    <w:unhideWhenUsed/>
    <w:rsid w:val="003B545A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uiPriority w:val="9"/>
    <w:rsid w:val="00D03A6F"/>
    <w:rPr>
      <w:rFonts w:ascii="Arial" w:eastAsia="Times New Roman" w:hAnsi="Arial"/>
      <w:b/>
      <w:bCs/>
      <w:szCs w:val="22"/>
      <w:lang w:eastAsia="en-US"/>
    </w:rPr>
  </w:style>
  <w:style w:type="paragraph" w:customStyle="1" w:styleId="BodyCopy">
    <w:name w:val="Body Copy"/>
    <w:basedOn w:val="NoParagraphStyle"/>
    <w:uiPriority w:val="99"/>
    <w:rsid w:val="00C344CE"/>
    <w:pPr>
      <w:suppressAutoHyphens/>
      <w:spacing w:after="142" w:line="270" w:lineRule="atLeast"/>
    </w:pPr>
    <w:rPr>
      <w:rFonts w:ascii="VIC-Regular" w:hAnsi="VIC-Regular" w:cs="VIC-Regular"/>
      <w:sz w:val="21"/>
      <w:szCs w:val="21"/>
      <w:lang w:val="en-GB"/>
    </w:rPr>
  </w:style>
  <w:style w:type="paragraph" w:customStyle="1" w:styleId="FigureInline">
    <w:name w:val="Figure Inline"/>
    <w:basedOn w:val="Normal"/>
    <w:uiPriority w:val="99"/>
    <w:rsid w:val="00D600AA"/>
    <w:pPr>
      <w:widowControl w:val="0"/>
      <w:suppressAutoHyphens/>
      <w:autoSpaceDE w:val="0"/>
      <w:autoSpaceDN w:val="0"/>
      <w:adjustRightInd w:val="0"/>
      <w:spacing w:after="142" w:line="288" w:lineRule="auto"/>
      <w:textAlignment w:val="center"/>
    </w:pPr>
    <w:rPr>
      <w:rFonts w:ascii="VIC-Regular" w:eastAsia="Times New Roman" w:hAnsi="VIC-Regular" w:cs="VIC-Regular"/>
      <w:color w:val="000000"/>
      <w:sz w:val="21"/>
      <w:szCs w:val="21"/>
      <w:lang w:val="en-GB" w:eastAsia="en-AU"/>
    </w:rPr>
  </w:style>
  <w:style w:type="character" w:customStyle="1" w:styleId="Superscript">
    <w:name w:val="Superscript"/>
    <w:uiPriority w:val="99"/>
    <w:rsid w:val="00D600AA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B2D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2Disclaimer">
    <w:name w:val="H2 Disclaimer"/>
    <w:basedOn w:val="BodyCopy"/>
    <w:uiPriority w:val="99"/>
    <w:rsid w:val="00492B18"/>
    <w:pPr>
      <w:widowControl/>
      <w:spacing w:before="85" w:after="57" w:line="200" w:lineRule="atLeast"/>
    </w:pPr>
    <w:rPr>
      <w:rFonts w:ascii="VIC-SemiBold" w:eastAsia="Calibri" w:hAnsi="VIC-SemiBold" w:cs="VIC-SemiBold"/>
      <w:b/>
      <w:bCs/>
      <w:sz w:val="17"/>
      <w:szCs w:val="17"/>
    </w:rPr>
  </w:style>
  <w:style w:type="paragraph" w:customStyle="1" w:styleId="DisclaimerBody">
    <w:name w:val="Disclaimer Body"/>
    <w:basedOn w:val="BodyCopy"/>
    <w:uiPriority w:val="99"/>
    <w:rsid w:val="00492B18"/>
    <w:pPr>
      <w:widowControl/>
      <w:spacing w:after="71" w:line="210" w:lineRule="atLeast"/>
    </w:pPr>
    <w:rPr>
      <w:rFonts w:eastAsia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23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18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46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www.facebook.com/ConsumerAffairsVictoria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reativecommons.org/licenses/by/4.0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consumer.vic.gov.a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youtube.com/consumervi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https://twitter.com/consumervic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realestate.com.au" TargetMode="External"/><Relationship Id="rId22" Type="http://schemas.openxmlformats.org/officeDocument/2006/relationships/hyperlink" Target="https://www.consumer.v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6886-245D-4E6A-B05B-D04037526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FE845-B799-4BC4-B947-7C7CE63A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41</Pages>
  <Words>12116</Words>
  <Characters>69065</Characters>
  <Application>Microsoft Office Word</Application>
  <DocSecurity>0</DocSecurity>
  <Lines>575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Affairs Victoria Annual Report 2017-18</vt:lpstr>
    </vt:vector>
  </TitlesOfParts>
  <Company>Victorian Department of Justice and Regulation</Company>
  <LinksUpToDate>false</LinksUpToDate>
  <CharactersWithSpaces>81019</CharactersWithSpaces>
  <SharedDoc>false</SharedDoc>
  <HLinks>
    <vt:vector size="132" baseType="variant">
      <vt:variant>
        <vt:i4>3211309</vt:i4>
      </vt:variant>
      <vt:variant>
        <vt:i4>120</vt:i4>
      </vt:variant>
      <vt:variant>
        <vt:i4>0</vt:i4>
      </vt:variant>
      <vt:variant>
        <vt:i4>5</vt:i4>
      </vt:variant>
      <vt:variant>
        <vt:lpwstr>http://www.youtube.com/consumervic</vt:lpwstr>
      </vt:variant>
      <vt:variant>
        <vt:lpwstr/>
      </vt:variant>
      <vt:variant>
        <vt:i4>7536702</vt:i4>
      </vt:variant>
      <vt:variant>
        <vt:i4>117</vt:i4>
      </vt:variant>
      <vt:variant>
        <vt:i4>0</vt:i4>
      </vt:variant>
      <vt:variant>
        <vt:i4>5</vt:i4>
      </vt:variant>
      <vt:variant>
        <vt:lpwstr>https://twitter.com/consumervic</vt:lpwstr>
      </vt:variant>
      <vt:variant>
        <vt:lpwstr/>
      </vt:variant>
      <vt:variant>
        <vt:i4>4718659</vt:i4>
      </vt:variant>
      <vt:variant>
        <vt:i4>114</vt:i4>
      </vt:variant>
      <vt:variant>
        <vt:i4>0</vt:i4>
      </vt:variant>
      <vt:variant>
        <vt:i4>5</vt:i4>
      </vt:variant>
      <vt:variant>
        <vt:lpwstr>https://www.facebook.com/ConsumerAffairsVictoria</vt:lpwstr>
      </vt:variant>
      <vt:variant>
        <vt:lpwstr/>
      </vt:variant>
      <vt:variant>
        <vt:i4>65536</vt:i4>
      </vt:variant>
      <vt:variant>
        <vt:i4>111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_Toc524534097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_Toc524534096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_Toc524534095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_Toc524534094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_Toc524534093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_Toc524534092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_Toc524534091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_Toc524534090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_Toc524534089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_Toc524534088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_Toc524534087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_Toc524534086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_Toc524534085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_Toc524534084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_Toc524534083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_Toc524534082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_Toc524534081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_Toc524534080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Affairs Victoria Annual Report 2017-18</dc:title>
  <dc:creator>Consumer Affairs Victoria</dc:creator>
  <cp:lastModifiedBy>Robert Di Renzo</cp:lastModifiedBy>
  <cp:revision>14</cp:revision>
  <cp:lastPrinted>2018-09-19T04:46:00Z</cp:lastPrinted>
  <dcterms:created xsi:type="dcterms:W3CDTF">2018-09-19T03:37:00Z</dcterms:created>
  <dcterms:modified xsi:type="dcterms:W3CDTF">2018-09-19T05:02:00Z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