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9282" w14:textId="77777777" w:rsidR="00602362" w:rsidRDefault="00DE048A" w:rsidP="00DA2B53">
      <w:pPr>
        <w:pStyle w:val="Heading1"/>
      </w:pPr>
      <w:proofErr w:type="gramStart"/>
      <w:r>
        <w:t>Owners</w:t>
      </w:r>
      <w:proofErr w:type="gramEnd"/>
      <w:r>
        <w:t xml:space="preserve"> corporation b</w:t>
      </w:r>
      <w:r w:rsidR="00FC73C6" w:rsidRPr="00FC3D97">
        <w:t>allot instructions</w:t>
      </w:r>
    </w:p>
    <w:p w14:paraId="5E819283" w14:textId="77777777" w:rsidR="00FC73C6" w:rsidRDefault="00FC73C6" w:rsidP="00DA2B53">
      <w:pPr>
        <w:pStyle w:val="Heading2"/>
      </w:pPr>
      <w:r w:rsidRPr="00FC73C6">
        <w:t>How to vote</w:t>
      </w:r>
    </w:p>
    <w:p w14:paraId="5E819284" w14:textId="77777777" w:rsidR="00FC73C6" w:rsidRPr="00FC73C6" w:rsidRDefault="00FC73C6" w:rsidP="00FC73C6">
      <w:pPr>
        <w:pStyle w:val="ListBullet1"/>
      </w:pPr>
      <w:r w:rsidRPr="00FC73C6">
        <w:t>To vote in favour of the motion, mark the 'FOR' box</w:t>
      </w:r>
    </w:p>
    <w:p w14:paraId="5E819285" w14:textId="77777777" w:rsidR="00FC73C6" w:rsidRPr="00FC73C6" w:rsidRDefault="00FC73C6" w:rsidP="00FC73C6">
      <w:pPr>
        <w:pStyle w:val="ListBullet1"/>
      </w:pPr>
      <w:r w:rsidRPr="00FC73C6">
        <w:t>To vote against the motion, mark the 'AGAINST' box</w:t>
      </w:r>
    </w:p>
    <w:p w14:paraId="5E819286" w14:textId="77777777" w:rsidR="00FC73C6" w:rsidRPr="00FC73C6" w:rsidRDefault="00FC73C6" w:rsidP="00FC73C6">
      <w:pPr>
        <w:pStyle w:val="ListBullet1"/>
      </w:pPr>
      <w:r w:rsidRPr="00FC73C6">
        <w:t>If a cross is marked in the ‘FOR’ box, it will be a vote in favour of the motion</w:t>
      </w:r>
    </w:p>
    <w:p w14:paraId="5E819287" w14:textId="77777777" w:rsidR="00FC73C6" w:rsidRPr="00FC73C6" w:rsidRDefault="00FC73C6" w:rsidP="00FC73C6">
      <w:pPr>
        <w:pStyle w:val="ListBullet1"/>
      </w:pPr>
      <w:r w:rsidRPr="00FC73C6">
        <w:t>Sign or execute the ballot paper.</w:t>
      </w:r>
    </w:p>
    <w:p w14:paraId="5E819288" w14:textId="77777777" w:rsidR="00FC73C6" w:rsidRPr="00FC73C6" w:rsidRDefault="00FC73C6" w:rsidP="00FC73C6">
      <w:pPr>
        <w:pStyle w:val="ListBullet1"/>
      </w:pPr>
      <w:r w:rsidRPr="00FC73C6">
        <w:t>Write your lot number(s).</w:t>
      </w:r>
    </w:p>
    <w:p w14:paraId="5E819289" w14:textId="77777777" w:rsidR="00FC73C6" w:rsidRDefault="00FC73C6" w:rsidP="00DA2B53">
      <w:pPr>
        <w:pStyle w:val="Heading2"/>
      </w:pPr>
      <w:r w:rsidRPr="00FC73C6">
        <w:t>Return of ballot paper</w:t>
      </w:r>
    </w:p>
    <w:p w14:paraId="5E81928A" w14:textId="77777777" w:rsidR="00FC73C6" w:rsidRDefault="00DA2B53" w:rsidP="00FC73C6">
      <w:pPr>
        <w:pStyle w:val="BodyText1"/>
      </w:pPr>
      <w:r>
        <w:t>Please return the b</w:t>
      </w:r>
      <w:r w:rsidR="00FC73C6" w:rsidRPr="00FC73C6">
        <w:t xml:space="preserve">allot </w:t>
      </w:r>
      <w:r>
        <w:t>p</w:t>
      </w:r>
      <w:r w:rsidR="00FC73C6" w:rsidRPr="00FC73C6">
        <w:t>aper by:</w:t>
      </w:r>
    </w:p>
    <w:tbl>
      <w:tblPr>
        <w:tblStyle w:val="Table"/>
        <w:tblW w:w="0" w:type="auto"/>
        <w:tblLook w:val="01E0" w:firstRow="1" w:lastRow="1" w:firstColumn="1" w:lastColumn="1" w:noHBand="0" w:noVBand="0"/>
      </w:tblPr>
      <w:tblGrid>
        <w:gridCol w:w="3635"/>
        <w:gridCol w:w="6559"/>
      </w:tblGrid>
      <w:tr w:rsidR="00DA2B53" w14:paraId="5E81928D" w14:textId="77777777" w:rsidTr="00DA2B53">
        <w:tc>
          <w:tcPr>
            <w:tcW w:w="3708" w:type="dxa"/>
          </w:tcPr>
          <w:p w14:paraId="5E81928B" w14:textId="77777777" w:rsidR="00DA2B53" w:rsidRDefault="00DA2B53" w:rsidP="00FC73C6">
            <w:pPr>
              <w:pStyle w:val="BodyText1"/>
            </w:pPr>
            <w:r>
              <w:t>Time</w:t>
            </w:r>
          </w:p>
        </w:tc>
        <w:tc>
          <w:tcPr>
            <w:tcW w:w="6712" w:type="dxa"/>
          </w:tcPr>
          <w:p w14:paraId="5E81928C" w14:textId="77777777" w:rsidR="00DA2B53" w:rsidRDefault="00DA2B53" w:rsidP="00FC73C6">
            <w:pPr>
              <w:pStyle w:val="BodyText1"/>
            </w:pPr>
          </w:p>
        </w:tc>
      </w:tr>
      <w:tr w:rsidR="00DA2B53" w14:paraId="5E819290" w14:textId="77777777" w:rsidTr="00DA2B53">
        <w:tc>
          <w:tcPr>
            <w:tcW w:w="3708" w:type="dxa"/>
          </w:tcPr>
          <w:p w14:paraId="5E81928E" w14:textId="77777777" w:rsidR="00DA2B53" w:rsidRDefault="00DA2B53" w:rsidP="00FC73C6">
            <w:pPr>
              <w:pStyle w:val="BodyText1"/>
            </w:pPr>
            <w:r>
              <w:t>Date</w:t>
            </w:r>
          </w:p>
        </w:tc>
        <w:tc>
          <w:tcPr>
            <w:tcW w:w="6712" w:type="dxa"/>
          </w:tcPr>
          <w:p w14:paraId="5E81928F" w14:textId="77777777" w:rsidR="00DA2B53" w:rsidRDefault="00DA2B53" w:rsidP="00FC73C6">
            <w:pPr>
              <w:pStyle w:val="BodyText1"/>
            </w:pPr>
          </w:p>
        </w:tc>
      </w:tr>
    </w:tbl>
    <w:p w14:paraId="5E819291" w14:textId="77777777" w:rsidR="00FC73C6" w:rsidRDefault="00FC73C6" w:rsidP="00FC73C6">
      <w:pPr>
        <w:pStyle w:val="BodyText1"/>
      </w:pPr>
      <w:r w:rsidRPr="00FC73C6">
        <w:t>To:</w:t>
      </w:r>
    </w:p>
    <w:tbl>
      <w:tblPr>
        <w:tblStyle w:val="Table"/>
        <w:tblW w:w="0" w:type="auto"/>
        <w:tblLook w:val="01E0" w:firstRow="1" w:lastRow="1" w:firstColumn="1" w:lastColumn="1" w:noHBand="0" w:noVBand="0"/>
      </w:tblPr>
      <w:tblGrid>
        <w:gridCol w:w="3645"/>
        <w:gridCol w:w="6549"/>
      </w:tblGrid>
      <w:tr w:rsidR="00DA2B53" w14:paraId="5E819294" w14:textId="77777777" w:rsidTr="00DA2B53">
        <w:tc>
          <w:tcPr>
            <w:tcW w:w="3708" w:type="dxa"/>
          </w:tcPr>
          <w:p w14:paraId="5E819292" w14:textId="77777777" w:rsidR="00DA2B53" w:rsidRDefault="00DA2B53" w:rsidP="00DA2B53">
            <w:pPr>
              <w:pStyle w:val="BodyText1"/>
            </w:pPr>
            <w:r>
              <w:t>Name</w:t>
            </w:r>
          </w:p>
        </w:tc>
        <w:tc>
          <w:tcPr>
            <w:tcW w:w="6712" w:type="dxa"/>
          </w:tcPr>
          <w:p w14:paraId="5E819293" w14:textId="77777777" w:rsidR="00DA2B53" w:rsidRDefault="00DA2B53" w:rsidP="00DA2B53">
            <w:pPr>
              <w:pStyle w:val="BodyText1"/>
            </w:pPr>
          </w:p>
        </w:tc>
      </w:tr>
      <w:tr w:rsidR="00DA2B53" w14:paraId="5E819297" w14:textId="77777777" w:rsidTr="00DA2B53">
        <w:tc>
          <w:tcPr>
            <w:tcW w:w="3708" w:type="dxa"/>
          </w:tcPr>
          <w:p w14:paraId="5E819295" w14:textId="77777777" w:rsidR="00DA2B53" w:rsidRDefault="00DA2B53" w:rsidP="00DA2B53">
            <w:pPr>
              <w:pStyle w:val="BodyText1"/>
            </w:pPr>
            <w:r w:rsidRPr="00FC73C6">
              <w:t xml:space="preserve">Secretary of </w:t>
            </w:r>
            <w:proofErr w:type="gramStart"/>
            <w:r>
              <w:t>o</w:t>
            </w:r>
            <w:r w:rsidRPr="00FC73C6">
              <w:t>wners</w:t>
            </w:r>
            <w:proofErr w:type="gramEnd"/>
            <w:r w:rsidRPr="00FC73C6">
              <w:t xml:space="preserve"> </w:t>
            </w:r>
            <w:r>
              <w:t>c</w:t>
            </w:r>
            <w:r w:rsidRPr="00FC73C6">
              <w:t xml:space="preserve">orporation </w:t>
            </w:r>
            <w:r>
              <w:t>number</w:t>
            </w:r>
          </w:p>
        </w:tc>
        <w:tc>
          <w:tcPr>
            <w:tcW w:w="6712" w:type="dxa"/>
          </w:tcPr>
          <w:p w14:paraId="5E819296" w14:textId="77777777" w:rsidR="00DA2B53" w:rsidRDefault="00DA2B53" w:rsidP="00DA2B53">
            <w:pPr>
              <w:pStyle w:val="BodyText1"/>
            </w:pPr>
          </w:p>
        </w:tc>
      </w:tr>
      <w:tr w:rsidR="00DA2B53" w14:paraId="5E81929A" w14:textId="77777777" w:rsidTr="00DA2B53">
        <w:tc>
          <w:tcPr>
            <w:tcW w:w="3708" w:type="dxa"/>
          </w:tcPr>
          <w:p w14:paraId="5E819298" w14:textId="77777777" w:rsidR="00DA2B53" w:rsidRPr="00FC73C6" w:rsidRDefault="00DA2B53" w:rsidP="00DA2B53">
            <w:pPr>
              <w:pStyle w:val="BodyText1"/>
            </w:pPr>
            <w:r>
              <w:t>Address</w:t>
            </w:r>
          </w:p>
        </w:tc>
        <w:tc>
          <w:tcPr>
            <w:tcW w:w="6712" w:type="dxa"/>
          </w:tcPr>
          <w:p w14:paraId="5E819299" w14:textId="77777777" w:rsidR="00DA2B53" w:rsidRDefault="00DA2B53" w:rsidP="00DA2B53">
            <w:pPr>
              <w:pStyle w:val="BodyText1"/>
            </w:pPr>
          </w:p>
        </w:tc>
      </w:tr>
      <w:tr w:rsidR="00DA2B53" w14:paraId="5E81929D" w14:textId="77777777" w:rsidTr="00DA2B53">
        <w:tc>
          <w:tcPr>
            <w:tcW w:w="3708" w:type="dxa"/>
          </w:tcPr>
          <w:p w14:paraId="5E81929B" w14:textId="77777777" w:rsidR="00DA2B53" w:rsidRDefault="00DA2B53" w:rsidP="00DA2B53">
            <w:pPr>
              <w:pStyle w:val="BodyText1"/>
            </w:pPr>
            <w:r>
              <w:t>Fax</w:t>
            </w:r>
          </w:p>
        </w:tc>
        <w:tc>
          <w:tcPr>
            <w:tcW w:w="6712" w:type="dxa"/>
          </w:tcPr>
          <w:p w14:paraId="5E81929C" w14:textId="77777777" w:rsidR="00DA2B53" w:rsidRDefault="00DA2B53" w:rsidP="00DA2B53">
            <w:pPr>
              <w:pStyle w:val="BodyText1"/>
            </w:pPr>
          </w:p>
        </w:tc>
      </w:tr>
      <w:tr w:rsidR="00DA2B53" w14:paraId="5E8192A0" w14:textId="77777777" w:rsidTr="00DA2B53">
        <w:tc>
          <w:tcPr>
            <w:tcW w:w="3708" w:type="dxa"/>
          </w:tcPr>
          <w:p w14:paraId="5E81929E" w14:textId="77777777" w:rsidR="00DA2B53" w:rsidRDefault="00DA2B53" w:rsidP="00DA2B53">
            <w:pPr>
              <w:pStyle w:val="BodyText1"/>
            </w:pPr>
            <w:r>
              <w:t>Email</w:t>
            </w:r>
          </w:p>
        </w:tc>
        <w:tc>
          <w:tcPr>
            <w:tcW w:w="6712" w:type="dxa"/>
          </w:tcPr>
          <w:p w14:paraId="5E81929F" w14:textId="77777777" w:rsidR="00DA2B53" w:rsidRDefault="00DA2B53" w:rsidP="00DA2B53">
            <w:pPr>
              <w:pStyle w:val="BodyText1"/>
            </w:pPr>
          </w:p>
        </w:tc>
      </w:tr>
    </w:tbl>
    <w:p w14:paraId="5E8192A1" w14:textId="77777777" w:rsidR="0054334B" w:rsidRPr="0054334B" w:rsidRDefault="0054334B" w:rsidP="00DA2B53">
      <w:pPr>
        <w:pStyle w:val="Heading2"/>
      </w:pPr>
      <w:r w:rsidRPr="0054334B">
        <w:t>Purpose of the ballot</w:t>
      </w:r>
    </w:p>
    <w:tbl>
      <w:tblPr>
        <w:tblStyle w:val="Table"/>
        <w:tblW w:w="0" w:type="auto"/>
        <w:tblLook w:val="01E0" w:firstRow="1" w:lastRow="1" w:firstColumn="1" w:lastColumn="1" w:noHBand="0" w:noVBand="0"/>
      </w:tblPr>
      <w:tblGrid>
        <w:gridCol w:w="3645"/>
        <w:gridCol w:w="6549"/>
      </w:tblGrid>
      <w:tr w:rsidR="00DA2B53" w14:paraId="5E8192A4" w14:textId="77777777" w:rsidTr="00DA2B53">
        <w:tc>
          <w:tcPr>
            <w:tcW w:w="3708" w:type="dxa"/>
          </w:tcPr>
          <w:p w14:paraId="5E8192A2" w14:textId="77777777" w:rsidR="00DA2B53" w:rsidRDefault="00DA2B53" w:rsidP="00100A9E">
            <w:pPr>
              <w:pStyle w:val="BodyText1"/>
            </w:pPr>
            <w:r w:rsidRPr="00553EF0">
              <w:t xml:space="preserve">The ballot is required to enable the </w:t>
            </w:r>
            <w:proofErr w:type="gramStart"/>
            <w:r w:rsidRPr="00553EF0">
              <w:t>owners</w:t>
            </w:r>
            <w:proofErr w:type="gramEnd"/>
            <w:r w:rsidRPr="00553EF0">
              <w:t xml:space="preserve"> corp</w:t>
            </w:r>
            <w:r>
              <w:t xml:space="preserve">oration to </w:t>
            </w:r>
            <w:proofErr w:type="gramStart"/>
            <w:r>
              <w:t>make a decision</w:t>
            </w:r>
            <w:proofErr w:type="gramEnd"/>
            <w:r>
              <w:t xml:space="preserve"> on</w:t>
            </w:r>
          </w:p>
        </w:tc>
        <w:tc>
          <w:tcPr>
            <w:tcW w:w="6712" w:type="dxa"/>
          </w:tcPr>
          <w:p w14:paraId="5E8192A3" w14:textId="77777777" w:rsidR="00DA2B53" w:rsidRDefault="00DA2B53" w:rsidP="00DA2B53">
            <w:pPr>
              <w:pStyle w:val="BodyText1"/>
            </w:pPr>
          </w:p>
        </w:tc>
      </w:tr>
    </w:tbl>
    <w:p w14:paraId="5E8192A5" w14:textId="77777777" w:rsidR="003A6ED7" w:rsidRPr="003A6ED7" w:rsidRDefault="003A6ED7" w:rsidP="00100A9E">
      <w:pPr>
        <w:pStyle w:val="BodyText1"/>
      </w:pPr>
      <w:r w:rsidRPr="003A6ED7">
        <w:t>Therefore, your vote is needed.</w:t>
      </w:r>
    </w:p>
    <w:p w14:paraId="5E8192A6" w14:textId="77777777" w:rsidR="003A6ED7" w:rsidRDefault="003A6ED7" w:rsidP="00DA2B53">
      <w:pPr>
        <w:pStyle w:val="Heading2"/>
      </w:pPr>
      <w:r w:rsidRPr="003A6ED7">
        <w:t>Types of resolutions</w:t>
      </w:r>
    </w:p>
    <w:p w14:paraId="5E8192A7" w14:textId="77777777" w:rsidR="003A6ED7" w:rsidRPr="003A6ED7" w:rsidRDefault="003A6ED7" w:rsidP="003A6ED7">
      <w:pPr>
        <w:pStyle w:val="ListBullet1"/>
      </w:pPr>
      <w:r w:rsidRPr="003A6ED7">
        <w:t>A unanimous resolution requires 100% of all lot entitlements.</w:t>
      </w:r>
    </w:p>
    <w:p w14:paraId="5E8192A8" w14:textId="77777777" w:rsidR="003A6ED7" w:rsidRPr="003A6ED7" w:rsidRDefault="003A6ED7" w:rsidP="003A6ED7">
      <w:pPr>
        <w:pStyle w:val="ListBullet1"/>
      </w:pPr>
      <w:r w:rsidRPr="003A6ED7">
        <w:t>A special resolution requires 75% of lot owners or their proxies or representing 75% of lot entitlements of all the lots. If a special resolution is voted by at least 50% of all the lot entitlements in favour and no more than 25% against, it is an interim special resolution.</w:t>
      </w:r>
    </w:p>
    <w:p w14:paraId="5E8192A9" w14:textId="77777777" w:rsidR="003A6ED7" w:rsidRPr="003A6ED7" w:rsidRDefault="003A6ED7" w:rsidP="003A6ED7">
      <w:pPr>
        <w:pStyle w:val="ListBullet1"/>
      </w:pPr>
      <w:r w:rsidRPr="003A6ED7">
        <w:t>An interim special resolution requires a notice to be sent to all lot owners within 14 days and can only be acted on after 29 days. If the secretary receives a petition by more than 25% of lot owners against an interim special resolution within 29 days of the meeting or ballot, then the interim special resolution fails.</w:t>
      </w:r>
    </w:p>
    <w:p w14:paraId="5E8192AA" w14:textId="77777777" w:rsidR="003A6ED7" w:rsidRPr="003A6ED7" w:rsidRDefault="003A6ED7" w:rsidP="003A6ED7">
      <w:pPr>
        <w:pStyle w:val="ListBullet1"/>
      </w:pPr>
      <w:r w:rsidRPr="003A6ED7">
        <w:t>An ordinary resolution requires at least 50% of all lot entitlements voting in favour.</w:t>
      </w:r>
    </w:p>
    <w:p w14:paraId="5E8192AB" w14:textId="77777777" w:rsidR="003A6ED7" w:rsidRPr="00553EF0" w:rsidRDefault="003A6ED7" w:rsidP="00DA2B53">
      <w:pPr>
        <w:pStyle w:val="Heading2"/>
      </w:pPr>
      <w:r w:rsidRPr="00553EF0">
        <w:lastRenderedPageBreak/>
        <w:t>Counting of ballot papers of the lot owners</w:t>
      </w:r>
    </w:p>
    <w:p w14:paraId="5E8192AC" w14:textId="77777777" w:rsidR="003A6ED7" w:rsidRPr="003A6ED7" w:rsidRDefault="003A6ED7" w:rsidP="003A6ED7">
      <w:pPr>
        <w:pStyle w:val="ListBullet1"/>
      </w:pPr>
      <w:r w:rsidRPr="003A6ED7">
        <w:t xml:space="preserve">The committee has the power to decide at its sole discretion </w:t>
      </w:r>
      <w:proofErr w:type="gramStart"/>
      <w:r w:rsidRPr="003A6ED7">
        <w:t>whether or not</w:t>
      </w:r>
      <w:proofErr w:type="gramEnd"/>
      <w:r w:rsidRPr="003A6ED7">
        <w:t>:</w:t>
      </w:r>
    </w:p>
    <w:p w14:paraId="5E8192AD" w14:textId="77777777" w:rsidR="003A6ED7" w:rsidRPr="003A6ED7" w:rsidRDefault="003A6ED7" w:rsidP="003A6ED7">
      <w:pPr>
        <w:pStyle w:val="ListBullet1"/>
      </w:pPr>
      <w:r w:rsidRPr="003A6ED7">
        <w:t>A voting paper or any necessary supporting document has been received before or after the closing time of the ballot.</w:t>
      </w:r>
    </w:p>
    <w:p w14:paraId="5E8192AE" w14:textId="77777777" w:rsidR="003A6ED7" w:rsidRPr="003A6ED7" w:rsidRDefault="003A6ED7" w:rsidP="003A6ED7">
      <w:pPr>
        <w:pStyle w:val="ListBullet1"/>
      </w:pPr>
      <w:r w:rsidRPr="003A6ED7">
        <w:t>A proxy is valid or invalid.</w:t>
      </w:r>
    </w:p>
    <w:p w14:paraId="5E8192AF" w14:textId="77777777" w:rsidR="003A6ED7" w:rsidRPr="003A6ED7" w:rsidRDefault="003A6ED7" w:rsidP="003A6ED7">
      <w:pPr>
        <w:pStyle w:val="ListBullet1"/>
      </w:pPr>
      <w:r w:rsidRPr="003A6ED7">
        <w:t xml:space="preserve">A power of attorney has been validly executed or the powers given to the attorney by the donor of the power extend to voting at this postal ballot of the </w:t>
      </w:r>
      <w:proofErr w:type="gramStart"/>
      <w:r w:rsidRPr="003A6ED7">
        <w:t>owners</w:t>
      </w:r>
      <w:proofErr w:type="gramEnd"/>
      <w:r w:rsidRPr="003A6ED7">
        <w:t xml:space="preserve"> corporation.</w:t>
      </w:r>
    </w:p>
    <w:p w14:paraId="5E8192B0" w14:textId="77777777" w:rsidR="003A6ED7" w:rsidRPr="003A6ED7" w:rsidRDefault="003A6ED7" w:rsidP="003A6ED7">
      <w:pPr>
        <w:pStyle w:val="ListBullet1"/>
      </w:pPr>
      <w:r w:rsidRPr="003A6ED7">
        <w:t>A company representative has been validly appointed.</w:t>
      </w:r>
    </w:p>
    <w:p w14:paraId="5E8192B1" w14:textId="77777777" w:rsidR="003A6ED7" w:rsidRPr="003A6ED7" w:rsidRDefault="003A6ED7" w:rsidP="003A6ED7">
      <w:pPr>
        <w:pStyle w:val="ListBullet1"/>
      </w:pPr>
      <w:r w:rsidRPr="003A6ED7">
        <w:t>A certified copy of a power of Attorney provides the existence of the power of attorney.</w:t>
      </w:r>
    </w:p>
    <w:p w14:paraId="5E8192B2" w14:textId="77777777" w:rsidR="003A6ED7" w:rsidRPr="003A6ED7" w:rsidRDefault="003A6ED7" w:rsidP="003A6ED7">
      <w:pPr>
        <w:pStyle w:val="ListBullet1"/>
      </w:pPr>
      <w:r w:rsidRPr="003A6ED7">
        <w:t>A voting paper is formal or informal.</w:t>
      </w:r>
    </w:p>
    <w:p w14:paraId="5E8192B3" w14:textId="77777777" w:rsidR="003A6ED7" w:rsidRPr="003A6ED7" w:rsidRDefault="003A6ED7" w:rsidP="003A6ED7">
      <w:pPr>
        <w:pStyle w:val="ListBullet1"/>
      </w:pPr>
      <w:proofErr w:type="gramStart"/>
      <w:r w:rsidRPr="003A6ED7">
        <w:t>In the event that</w:t>
      </w:r>
      <w:proofErr w:type="gramEnd"/>
      <w:r w:rsidRPr="003A6ED7">
        <w:t xml:space="preserve"> the required number of votes or lot entitlements has not been achieved, the decision will be an interim decision and a </w:t>
      </w:r>
      <w:proofErr w:type="gramStart"/>
      <w:r w:rsidRPr="003A6ED7">
        <w:t>notice</w:t>
      </w:r>
      <w:proofErr w:type="gramEnd"/>
      <w:r w:rsidRPr="003A6ED7">
        <w:t xml:space="preserve"> and minutes of the meeting will be sent to the lot owners or members. The decision can only be acted on after 29 days if no petition has been received.</w:t>
      </w:r>
    </w:p>
    <w:p w14:paraId="5E8192B4" w14:textId="77777777" w:rsidR="003A6ED7" w:rsidRPr="003A6ED7" w:rsidRDefault="003A6ED7" w:rsidP="003A6ED7">
      <w:pPr>
        <w:pStyle w:val="ListBullet1"/>
      </w:pPr>
      <w:proofErr w:type="gramStart"/>
      <w:r w:rsidRPr="003A6ED7">
        <w:t>In the event that</w:t>
      </w:r>
      <w:proofErr w:type="gramEnd"/>
      <w:r w:rsidRPr="003A6ED7">
        <w:t xml:space="preserve"> there is an equality of votes after the required votes have been obtained, the chairperson who is a </w:t>
      </w:r>
      <w:proofErr w:type="gramStart"/>
      <w:r w:rsidRPr="003A6ED7">
        <w:t>lot</w:t>
      </w:r>
      <w:proofErr w:type="gramEnd"/>
      <w:r w:rsidRPr="003A6ED7">
        <w:t xml:space="preserve"> owner or proxy of a </w:t>
      </w:r>
      <w:proofErr w:type="gramStart"/>
      <w:r w:rsidRPr="003A6ED7">
        <w:t>lot</w:t>
      </w:r>
      <w:proofErr w:type="gramEnd"/>
      <w:r w:rsidRPr="003A6ED7">
        <w:t xml:space="preserve"> owner, will have the second or casting vote.</w:t>
      </w:r>
    </w:p>
    <w:p w14:paraId="5E8192B5" w14:textId="77777777" w:rsidR="003A6ED7" w:rsidRPr="00553EF0" w:rsidRDefault="003A6ED7" w:rsidP="00DA2B53">
      <w:pPr>
        <w:pStyle w:val="Heading2"/>
      </w:pPr>
      <w:r w:rsidRPr="00553EF0">
        <w:t>Evidence of the right to vote</w:t>
      </w:r>
    </w:p>
    <w:p w14:paraId="5E8192B6" w14:textId="77777777" w:rsidR="003A6ED7" w:rsidRPr="00553EF0" w:rsidRDefault="003A6ED7" w:rsidP="003A6ED7">
      <w:pPr>
        <w:pStyle w:val="ListBullet1"/>
      </w:pPr>
      <w:r w:rsidRPr="00553EF0">
        <w:t>Each lot owner shall be required to sign his or her ballot paper.</w:t>
      </w:r>
    </w:p>
    <w:p w14:paraId="5E8192B7" w14:textId="77777777" w:rsidR="003A6ED7" w:rsidRPr="00553EF0" w:rsidRDefault="003A6ED7" w:rsidP="003A6ED7">
      <w:pPr>
        <w:pStyle w:val="ListBullet1"/>
      </w:pPr>
      <w:r w:rsidRPr="00553EF0">
        <w:t xml:space="preserve">If you intend to vote by proxy or by power of attorney or by an authorised company representative, the proxy form must be </w:t>
      </w:r>
      <w:proofErr w:type="gramStart"/>
      <w:r w:rsidRPr="00553EF0">
        <w:t>completed</w:t>
      </w:r>
      <w:proofErr w:type="gramEnd"/>
      <w:r w:rsidRPr="00553EF0">
        <w:t xml:space="preserve"> and a copy of the Power of Attorney and the appointment of company representative must be enclosed with the voting paper.</w:t>
      </w:r>
    </w:p>
    <w:p w14:paraId="5E8192B8" w14:textId="77777777" w:rsidR="003A6ED7" w:rsidRPr="00553EF0" w:rsidRDefault="003A6ED7" w:rsidP="003A6ED7">
      <w:pPr>
        <w:pStyle w:val="ListBullet1"/>
      </w:pPr>
      <w:r w:rsidRPr="00553EF0">
        <w:t>Where a company is registered as the owners or part owner of a lot, the company seal must be affixed to the voting paper and witnessed by an authorised person unless the company votes by proxy, by an attorney or authorised representative.</w:t>
      </w:r>
    </w:p>
    <w:p w14:paraId="5E8192B9" w14:textId="77777777" w:rsidR="003A6ED7" w:rsidRPr="00553EF0" w:rsidRDefault="003A6ED7" w:rsidP="003A6ED7">
      <w:pPr>
        <w:pStyle w:val="ListBullet1"/>
      </w:pPr>
      <w:r w:rsidRPr="00553EF0">
        <w:t>Where two or more persons or companies are registered as the owners of a lot, those persons or companies must all sign or execute the voting paper or vote by proxy by an attorney, or in the case of a company, by an authorised representative, jointly appointed by them or who may be one of them.</w:t>
      </w:r>
    </w:p>
    <w:p w14:paraId="5E8192BA" w14:textId="77777777" w:rsidR="003A6ED7" w:rsidRPr="00553EF0" w:rsidRDefault="003A6ED7" w:rsidP="003A6ED7">
      <w:pPr>
        <w:pStyle w:val="ListBullet1"/>
      </w:pPr>
      <w:r w:rsidRPr="00553EF0">
        <w:t>Where the successive interests in a lot, a vote can only be exercised only by the party or parties registered as the owner or owners.</w:t>
      </w:r>
    </w:p>
    <w:p w14:paraId="5E8192BB" w14:textId="77777777" w:rsidR="003A6ED7" w:rsidRPr="003A6ED7" w:rsidRDefault="003A6ED7" w:rsidP="00DA2B53">
      <w:pPr>
        <w:pStyle w:val="Heading2"/>
      </w:pPr>
      <w:r w:rsidRPr="003A6ED7">
        <w:t>Voting</w:t>
      </w:r>
    </w:p>
    <w:p w14:paraId="5E8192BC" w14:textId="77777777" w:rsidR="003A6ED7" w:rsidRPr="003A6ED7" w:rsidRDefault="003A6ED7" w:rsidP="003A6ED7">
      <w:pPr>
        <w:pStyle w:val="ListBullet1"/>
      </w:pPr>
      <w:r w:rsidRPr="003A6ED7">
        <w:t>Complete the voting paper “yes” or “no” in the box.</w:t>
      </w:r>
    </w:p>
    <w:p w14:paraId="5E8192BD" w14:textId="77777777" w:rsidR="003A6ED7" w:rsidRPr="003A6ED7" w:rsidRDefault="003A6ED7" w:rsidP="003A6ED7">
      <w:pPr>
        <w:pStyle w:val="ListBullet1"/>
      </w:pPr>
      <w:r w:rsidRPr="003A6ED7">
        <w:t>Sign or execute the voting paper.</w:t>
      </w:r>
    </w:p>
    <w:p w14:paraId="5E8192BE" w14:textId="77777777" w:rsidR="003A6ED7" w:rsidRPr="003A6ED7" w:rsidRDefault="003A6ED7" w:rsidP="003A6ED7">
      <w:pPr>
        <w:pStyle w:val="ListBullet1"/>
      </w:pPr>
      <w:r w:rsidRPr="003A6ED7">
        <w:t xml:space="preserve">Attach any relevant document such as the completed proxy form, certified copy of the power of attorney or appointment of </w:t>
      </w:r>
      <w:proofErr w:type="gramStart"/>
      <w:r w:rsidRPr="003A6ED7">
        <w:t>a</w:t>
      </w:r>
      <w:proofErr w:type="gramEnd"/>
      <w:r w:rsidRPr="003A6ED7">
        <w:t xml:space="preserve"> authorised company representative.</w:t>
      </w:r>
    </w:p>
    <w:p w14:paraId="5E8192BF" w14:textId="77777777" w:rsidR="003A6ED7" w:rsidRPr="003A6ED7" w:rsidRDefault="003A6ED7" w:rsidP="003A6ED7">
      <w:pPr>
        <w:pStyle w:val="ListBullet1"/>
      </w:pPr>
      <w:r w:rsidRPr="003A6ED7">
        <w:t xml:space="preserve">Place the voting paper and relevant documents inside the </w:t>
      </w:r>
      <w:proofErr w:type="spellStart"/>
      <w:r w:rsidRPr="003A6ED7">
        <w:t>self addressed</w:t>
      </w:r>
      <w:proofErr w:type="spellEnd"/>
      <w:r w:rsidRPr="003A6ED7">
        <w:t xml:space="preserve"> envelope and post to the secretary by the closing time of the postal ballot, OR</w:t>
      </w:r>
    </w:p>
    <w:p w14:paraId="5E8192C0" w14:textId="77777777" w:rsidR="003A6ED7" w:rsidRPr="003A6ED7" w:rsidRDefault="003A6ED7" w:rsidP="003A6ED7">
      <w:pPr>
        <w:pStyle w:val="ListBullet1"/>
      </w:pPr>
      <w:r w:rsidRPr="003A6ED7">
        <w:t>Fax the completed voting paper and relevant documents to the secretary by the closing time of the postal ballot, OR</w:t>
      </w:r>
    </w:p>
    <w:p w14:paraId="5E8192C1" w14:textId="77777777" w:rsidR="003A6ED7" w:rsidRPr="003A6ED7" w:rsidRDefault="003A6ED7" w:rsidP="003A6ED7">
      <w:pPr>
        <w:pStyle w:val="ListBullet1"/>
      </w:pPr>
      <w:r w:rsidRPr="003A6ED7">
        <w:t>Scan and email the completed voting paper and relevant documents to the secretary by the closing time of the postal ballot.</w:t>
      </w:r>
    </w:p>
    <w:p w14:paraId="5E8192C2" w14:textId="77777777" w:rsidR="003A6ED7" w:rsidRDefault="003A6ED7" w:rsidP="003A6ED7">
      <w:pPr>
        <w:pStyle w:val="ListBullet1"/>
      </w:pPr>
      <w:r w:rsidRPr="003A6ED7">
        <w:t>Any voting paper received by the secretary after the closing time of the postal ballot will be informal regardless of the time of posting or the manner of delivery.</w:t>
      </w:r>
    </w:p>
    <w:p w14:paraId="5E8192C3" w14:textId="77777777" w:rsidR="00825783" w:rsidRPr="003A6ED7" w:rsidRDefault="00825783" w:rsidP="00825783">
      <w:pPr>
        <w:pStyle w:val="BodyText1"/>
      </w:pPr>
      <w:r>
        <w:t xml:space="preserve">More information is available in the </w:t>
      </w:r>
      <w:hyperlink r:id="rId7" w:history="1">
        <w:r w:rsidRPr="00292859">
          <w:rPr>
            <w:rStyle w:val="Hyperlink"/>
          </w:rPr>
          <w:t xml:space="preserve">Owners </w:t>
        </w:r>
        <w:proofErr w:type="gramStart"/>
        <w:r w:rsidRPr="00292859">
          <w:rPr>
            <w:rStyle w:val="Hyperlink"/>
          </w:rPr>
          <w:t>corporation</w:t>
        </w:r>
        <w:r>
          <w:rPr>
            <w:rStyle w:val="Hyperlink"/>
          </w:rPr>
          <w:t>s</w:t>
        </w:r>
        <w:proofErr w:type="gramEnd"/>
        <w:r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</w:t>
      </w:r>
    </w:p>
    <w:sectPr w:rsidR="00825783" w:rsidRPr="003A6ED7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92C6" w14:textId="77777777" w:rsidR="000139F3" w:rsidRDefault="000139F3">
      <w:r>
        <w:separator/>
      </w:r>
    </w:p>
  </w:endnote>
  <w:endnote w:type="continuationSeparator" w:id="0">
    <w:p w14:paraId="5E8192C7" w14:textId="77777777" w:rsidR="000139F3" w:rsidRDefault="0001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2C0D" w14:textId="77777777" w:rsidR="006A3CDC" w:rsidRDefault="006A3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92C8" w14:textId="77777777" w:rsidR="000139F3" w:rsidRPr="000139F3" w:rsidRDefault="000139F3" w:rsidP="00295C51">
    <w:pPr>
      <w:pStyle w:val="Footer"/>
      <w:tabs>
        <w:tab w:val="clear" w:pos="5387"/>
        <w:tab w:val="clear" w:pos="9639"/>
        <w:tab w:val="center" w:pos="5040"/>
      </w:tabs>
    </w:pPr>
    <w:r w:rsidRPr="000139F3">
      <w:rPr>
        <w:sz w:val="18"/>
        <w:szCs w:val="18"/>
      </w:rPr>
      <w:tab/>
      <w:t xml:space="preserve">Page </w:t>
    </w:r>
    <w:r w:rsidRPr="000139F3">
      <w:rPr>
        <w:bCs/>
        <w:sz w:val="18"/>
        <w:szCs w:val="18"/>
      </w:rPr>
      <w:fldChar w:fldCharType="begin"/>
    </w:r>
    <w:r w:rsidRPr="000139F3">
      <w:rPr>
        <w:bCs/>
        <w:sz w:val="18"/>
        <w:szCs w:val="18"/>
      </w:rPr>
      <w:instrText xml:space="preserve"> PAGE </w:instrText>
    </w:r>
    <w:r w:rsidRPr="000139F3">
      <w:rPr>
        <w:bCs/>
        <w:sz w:val="18"/>
        <w:szCs w:val="18"/>
      </w:rPr>
      <w:fldChar w:fldCharType="separate"/>
    </w:r>
    <w:r w:rsidR="006D4AE4">
      <w:rPr>
        <w:bCs/>
        <w:noProof/>
        <w:sz w:val="18"/>
        <w:szCs w:val="18"/>
      </w:rPr>
      <w:t>1</w:t>
    </w:r>
    <w:r w:rsidRPr="000139F3">
      <w:rPr>
        <w:bCs/>
        <w:sz w:val="18"/>
        <w:szCs w:val="18"/>
      </w:rPr>
      <w:fldChar w:fldCharType="end"/>
    </w:r>
    <w:r w:rsidRPr="000139F3">
      <w:rPr>
        <w:sz w:val="18"/>
        <w:szCs w:val="18"/>
      </w:rPr>
      <w:t xml:space="preserve"> of </w:t>
    </w:r>
    <w:r w:rsidRPr="000139F3">
      <w:rPr>
        <w:bCs/>
        <w:sz w:val="18"/>
        <w:szCs w:val="18"/>
      </w:rPr>
      <w:fldChar w:fldCharType="begin"/>
    </w:r>
    <w:r w:rsidRPr="000139F3">
      <w:rPr>
        <w:bCs/>
        <w:sz w:val="18"/>
        <w:szCs w:val="18"/>
      </w:rPr>
      <w:instrText xml:space="preserve"> NUMPAGES  </w:instrText>
    </w:r>
    <w:r w:rsidRPr="000139F3">
      <w:rPr>
        <w:bCs/>
        <w:sz w:val="18"/>
        <w:szCs w:val="18"/>
      </w:rPr>
      <w:fldChar w:fldCharType="separate"/>
    </w:r>
    <w:r w:rsidR="006D4AE4">
      <w:rPr>
        <w:bCs/>
        <w:noProof/>
        <w:sz w:val="18"/>
        <w:szCs w:val="18"/>
      </w:rPr>
      <w:t>1</w:t>
    </w:r>
    <w:r w:rsidRPr="000139F3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5D83" w14:textId="77777777" w:rsidR="006A3CDC" w:rsidRDefault="006A3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92C4" w14:textId="77777777" w:rsidR="000139F3" w:rsidRDefault="000139F3">
      <w:r>
        <w:separator/>
      </w:r>
    </w:p>
  </w:footnote>
  <w:footnote w:type="continuationSeparator" w:id="0">
    <w:p w14:paraId="5E8192C5" w14:textId="77777777" w:rsidR="000139F3" w:rsidRDefault="0001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/>
      </w:rPr>
    </w:lvl>
  </w:abstractNum>
  <w:abstractNum w:abstractNumId="11" w15:restartNumberingAfterBreak="0">
    <w:nsid w:val="033706A8"/>
    <w:multiLevelType w:val="multilevel"/>
    <w:tmpl w:val="88DE5822"/>
    <w:numStyleLink w:val="Bulleted"/>
  </w:abstractNum>
  <w:abstractNum w:abstractNumId="12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1F1946"/>
    <w:multiLevelType w:val="multilevel"/>
    <w:tmpl w:val="88DE5822"/>
    <w:numStyleLink w:val="StyleOutlinenumbered"/>
  </w:abstractNum>
  <w:abstractNum w:abstractNumId="15" w15:restartNumberingAfterBreak="0">
    <w:nsid w:val="16A735F8"/>
    <w:multiLevelType w:val="hybridMultilevel"/>
    <w:tmpl w:val="60D080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1398C"/>
    <w:multiLevelType w:val="hybridMultilevel"/>
    <w:tmpl w:val="04E6453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66DD0"/>
    <w:multiLevelType w:val="hybridMultilevel"/>
    <w:tmpl w:val="2B769B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261B89"/>
    <w:multiLevelType w:val="hybridMultilevel"/>
    <w:tmpl w:val="0E6E06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13092"/>
    <w:multiLevelType w:val="hybridMultilevel"/>
    <w:tmpl w:val="2EFCEB2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EA0985"/>
    <w:multiLevelType w:val="multilevel"/>
    <w:tmpl w:val="B2342AC6"/>
    <w:styleLink w:val="StyleNumbered20ptBold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bCs/>
        <w:sz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881CA6"/>
    <w:multiLevelType w:val="hybridMultilevel"/>
    <w:tmpl w:val="76C608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424CE"/>
    <w:multiLevelType w:val="hybridMultilevel"/>
    <w:tmpl w:val="6BCCFCD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E1AEC"/>
    <w:multiLevelType w:val="multilevel"/>
    <w:tmpl w:val="88DE5822"/>
    <w:numStyleLink w:val="Bulleted"/>
  </w:abstractNum>
  <w:abstractNum w:abstractNumId="28" w15:restartNumberingAfterBreak="0">
    <w:nsid w:val="7B8E5214"/>
    <w:multiLevelType w:val="hybridMultilevel"/>
    <w:tmpl w:val="FB8CDA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51080"/>
    <w:multiLevelType w:val="multilevel"/>
    <w:tmpl w:val="B2342AC6"/>
    <w:numStyleLink w:val="StyleNumbered20ptBold"/>
  </w:abstractNum>
  <w:num w:numId="1" w16cid:durableId="915823062">
    <w:abstractNumId w:val="19"/>
  </w:num>
  <w:num w:numId="2" w16cid:durableId="1158500450">
    <w:abstractNumId w:val="27"/>
  </w:num>
  <w:num w:numId="3" w16cid:durableId="319581841">
    <w:abstractNumId w:val="27"/>
  </w:num>
  <w:num w:numId="4" w16cid:durableId="489756377">
    <w:abstractNumId w:val="26"/>
  </w:num>
  <w:num w:numId="5" w16cid:durableId="975837177">
    <w:abstractNumId w:val="17"/>
  </w:num>
  <w:num w:numId="6" w16cid:durableId="594096176">
    <w:abstractNumId w:val="11"/>
  </w:num>
  <w:num w:numId="7" w16cid:durableId="2142073741">
    <w:abstractNumId w:val="14"/>
  </w:num>
  <w:num w:numId="8" w16cid:durableId="1163666684">
    <w:abstractNumId w:val="12"/>
  </w:num>
  <w:num w:numId="9" w16cid:durableId="1766341624">
    <w:abstractNumId w:val="25"/>
  </w:num>
  <w:num w:numId="10" w16cid:durableId="1729305782">
    <w:abstractNumId w:val="9"/>
  </w:num>
  <w:num w:numId="11" w16cid:durableId="133111625">
    <w:abstractNumId w:val="7"/>
  </w:num>
  <w:num w:numId="12" w16cid:durableId="945161521">
    <w:abstractNumId w:val="6"/>
  </w:num>
  <w:num w:numId="13" w16cid:durableId="256332298">
    <w:abstractNumId w:val="5"/>
  </w:num>
  <w:num w:numId="14" w16cid:durableId="354770988">
    <w:abstractNumId w:val="4"/>
  </w:num>
  <w:num w:numId="15" w16cid:durableId="1478719328">
    <w:abstractNumId w:val="8"/>
  </w:num>
  <w:num w:numId="16" w16cid:durableId="1594824781">
    <w:abstractNumId w:val="3"/>
  </w:num>
  <w:num w:numId="17" w16cid:durableId="937563808">
    <w:abstractNumId w:val="2"/>
  </w:num>
  <w:num w:numId="18" w16cid:durableId="80491616">
    <w:abstractNumId w:val="1"/>
  </w:num>
  <w:num w:numId="19" w16cid:durableId="353968967">
    <w:abstractNumId w:val="0"/>
  </w:num>
  <w:num w:numId="20" w16cid:durableId="259726892">
    <w:abstractNumId w:val="3"/>
    <w:lvlOverride w:ilvl="0">
      <w:startOverride w:val="1"/>
    </w:lvlOverride>
  </w:num>
  <w:num w:numId="21" w16cid:durableId="1020007733">
    <w:abstractNumId w:val="13"/>
  </w:num>
  <w:num w:numId="22" w16cid:durableId="1336029243">
    <w:abstractNumId w:val="21"/>
  </w:num>
  <w:num w:numId="23" w16cid:durableId="1606617035">
    <w:abstractNumId w:val="15"/>
  </w:num>
  <w:num w:numId="24" w16cid:durableId="474564399">
    <w:abstractNumId w:val="23"/>
  </w:num>
  <w:num w:numId="25" w16cid:durableId="1403603881">
    <w:abstractNumId w:val="10"/>
  </w:num>
  <w:num w:numId="26" w16cid:durableId="777413089">
    <w:abstractNumId w:val="16"/>
  </w:num>
  <w:num w:numId="27" w16cid:durableId="269707747">
    <w:abstractNumId w:val="28"/>
  </w:num>
  <w:num w:numId="28" w16cid:durableId="1614360095">
    <w:abstractNumId w:val="18"/>
  </w:num>
  <w:num w:numId="29" w16cid:durableId="940920016">
    <w:abstractNumId w:val="24"/>
  </w:num>
  <w:num w:numId="30" w16cid:durableId="46078065">
    <w:abstractNumId w:val="20"/>
  </w:num>
  <w:num w:numId="31" w16cid:durableId="297688529">
    <w:abstractNumId w:val="29"/>
  </w:num>
  <w:num w:numId="32" w16cid:durableId="6788925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139F3"/>
    <w:rsid w:val="00046307"/>
    <w:rsid w:val="000542AD"/>
    <w:rsid w:val="0005581F"/>
    <w:rsid w:val="000A05C2"/>
    <w:rsid w:val="000A280C"/>
    <w:rsid w:val="000C620E"/>
    <w:rsid w:val="000D780B"/>
    <w:rsid w:val="00100A9E"/>
    <w:rsid w:val="001116E9"/>
    <w:rsid w:val="00117BA3"/>
    <w:rsid w:val="00121599"/>
    <w:rsid w:val="00134668"/>
    <w:rsid w:val="00145CDB"/>
    <w:rsid w:val="0016060A"/>
    <w:rsid w:val="001630F3"/>
    <w:rsid w:val="00185BEB"/>
    <w:rsid w:val="001C2A54"/>
    <w:rsid w:val="001E2177"/>
    <w:rsid w:val="001F2652"/>
    <w:rsid w:val="00202BE0"/>
    <w:rsid w:val="0020362C"/>
    <w:rsid w:val="00220917"/>
    <w:rsid w:val="002645FC"/>
    <w:rsid w:val="002749A3"/>
    <w:rsid w:val="00275B66"/>
    <w:rsid w:val="002778E8"/>
    <w:rsid w:val="00295C51"/>
    <w:rsid w:val="002C7148"/>
    <w:rsid w:val="002D51D9"/>
    <w:rsid w:val="002F64C1"/>
    <w:rsid w:val="00316463"/>
    <w:rsid w:val="00330CC8"/>
    <w:rsid w:val="003407F8"/>
    <w:rsid w:val="00353DC2"/>
    <w:rsid w:val="00375E18"/>
    <w:rsid w:val="00396AC2"/>
    <w:rsid w:val="003A2AC9"/>
    <w:rsid w:val="003A6ED7"/>
    <w:rsid w:val="003C03A6"/>
    <w:rsid w:val="003C2C28"/>
    <w:rsid w:val="004057D0"/>
    <w:rsid w:val="0041515A"/>
    <w:rsid w:val="00436138"/>
    <w:rsid w:val="004639CE"/>
    <w:rsid w:val="00467FB0"/>
    <w:rsid w:val="00483049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2D11"/>
    <w:rsid w:val="005268B2"/>
    <w:rsid w:val="00537FF8"/>
    <w:rsid w:val="0054334B"/>
    <w:rsid w:val="00547023"/>
    <w:rsid w:val="00552BA8"/>
    <w:rsid w:val="00577C25"/>
    <w:rsid w:val="00587D1A"/>
    <w:rsid w:val="00591D58"/>
    <w:rsid w:val="005B02D1"/>
    <w:rsid w:val="005C4D70"/>
    <w:rsid w:val="005C71EE"/>
    <w:rsid w:val="005D58A5"/>
    <w:rsid w:val="00602362"/>
    <w:rsid w:val="0064293E"/>
    <w:rsid w:val="00670DB8"/>
    <w:rsid w:val="00683199"/>
    <w:rsid w:val="006844C6"/>
    <w:rsid w:val="006A3CDC"/>
    <w:rsid w:val="006B6EB5"/>
    <w:rsid w:val="006D11AD"/>
    <w:rsid w:val="006D44B0"/>
    <w:rsid w:val="006D4AE4"/>
    <w:rsid w:val="006D6AFD"/>
    <w:rsid w:val="006E3FC4"/>
    <w:rsid w:val="006E556F"/>
    <w:rsid w:val="006F098C"/>
    <w:rsid w:val="006F2D93"/>
    <w:rsid w:val="006F6AF1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C0316"/>
    <w:rsid w:val="00800C16"/>
    <w:rsid w:val="008137A7"/>
    <w:rsid w:val="00816BA5"/>
    <w:rsid w:val="00825783"/>
    <w:rsid w:val="00842E31"/>
    <w:rsid w:val="00844437"/>
    <w:rsid w:val="00853741"/>
    <w:rsid w:val="00867B76"/>
    <w:rsid w:val="00872B40"/>
    <w:rsid w:val="0087469B"/>
    <w:rsid w:val="008A4172"/>
    <w:rsid w:val="008A5C9C"/>
    <w:rsid w:val="008C1BAC"/>
    <w:rsid w:val="0091169D"/>
    <w:rsid w:val="00913492"/>
    <w:rsid w:val="00914F87"/>
    <w:rsid w:val="009173AE"/>
    <w:rsid w:val="009432AE"/>
    <w:rsid w:val="00962391"/>
    <w:rsid w:val="009646FE"/>
    <w:rsid w:val="009975DB"/>
    <w:rsid w:val="009A1F33"/>
    <w:rsid w:val="009A6CF6"/>
    <w:rsid w:val="009C1215"/>
    <w:rsid w:val="009D1EF5"/>
    <w:rsid w:val="009F4AF3"/>
    <w:rsid w:val="00A022C3"/>
    <w:rsid w:val="00A1765A"/>
    <w:rsid w:val="00A31FC9"/>
    <w:rsid w:val="00A66A43"/>
    <w:rsid w:val="00A82530"/>
    <w:rsid w:val="00A86594"/>
    <w:rsid w:val="00AA43C3"/>
    <w:rsid w:val="00B13AF4"/>
    <w:rsid w:val="00B17450"/>
    <w:rsid w:val="00B21294"/>
    <w:rsid w:val="00B24E44"/>
    <w:rsid w:val="00B452FA"/>
    <w:rsid w:val="00B8378D"/>
    <w:rsid w:val="00B95039"/>
    <w:rsid w:val="00BA1DF7"/>
    <w:rsid w:val="00BC7567"/>
    <w:rsid w:val="00BE2F89"/>
    <w:rsid w:val="00C20671"/>
    <w:rsid w:val="00C226AA"/>
    <w:rsid w:val="00C24ACF"/>
    <w:rsid w:val="00C63CFD"/>
    <w:rsid w:val="00C64C5E"/>
    <w:rsid w:val="00CB002E"/>
    <w:rsid w:val="00CB6769"/>
    <w:rsid w:val="00CC55AA"/>
    <w:rsid w:val="00CE400B"/>
    <w:rsid w:val="00CF2E0A"/>
    <w:rsid w:val="00D202B2"/>
    <w:rsid w:val="00D21C7F"/>
    <w:rsid w:val="00D32C92"/>
    <w:rsid w:val="00D3321C"/>
    <w:rsid w:val="00D60211"/>
    <w:rsid w:val="00D67575"/>
    <w:rsid w:val="00DA2B53"/>
    <w:rsid w:val="00DC0DDF"/>
    <w:rsid w:val="00DD1BB2"/>
    <w:rsid w:val="00DE048A"/>
    <w:rsid w:val="00DE0DEF"/>
    <w:rsid w:val="00E04793"/>
    <w:rsid w:val="00E27DDD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E22A7"/>
    <w:rsid w:val="00EF6050"/>
    <w:rsid w:val="00F16A8F"/>
    <w:rsid w:val="00F30BF8"/>
    <w:rsid w:val="00F33875"/>
    <w:rsid w:val="00FA20FA"/>
    <w:rsid w:val="00FC73C6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E819282"/>
  <w15:chartTrackingRefBased/>
  <w15:docId w15:val="{D8E26304-9104-42AD-935D-171F37B0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8C1BAC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paragraph" w:customStyle="1" w:styleId="DOJbullet2">
    <w:name w:val="DOJ_bullet 2"/>
    <w:basedOn w:val="Normal"/>
    <w:rsid w:val="003A6ED7"/>
    <w:pPr>
      <w:widowControl w:val="0"/>
      <w:numPr>
        <w:numId w:val="2"/>
      </w:numPr>
      <w:suppressAutoHyphens/>
      <w:spacing w:before="120" w:after="0"/>
      <w:ind w:left="0" w:firstLine="0"/>
    </w:pPr>
    <w:rPr>
      <w:rFonts w:ascii="Times" w:eastAsia="Times" w:hAnsi="Times"/>
      <w:color w:val="1F568F"/>
      <w:sz w:val="32"/>
      <w:szCs w:val="20"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  <w:style w:type="numbering" w:customStyle="1" w:styleId="StyleNumbered20ptBold">
    <w:name w:val="Style Numbered 20 pt Bold"/>
    <w:basedOn w:val="NoList"/>
    <w:rsid w:val="00DA2B53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3753</Characters>
  <Application>Microsoft Office Word</Application>
  <DocSecurity>0</DocSecurity>
  <Lines>197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 corporation ballot instructions</vt:lpstr>
    </vt:vector>
  </TitlesOfParts>
  <Company>Department of Justice</Company>
  <LinksUpToDate>false</LinksUpToDate>
  <CharactersWithSpaces>4400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 corporation ballot instructions</dc:title>
  <dc:subject>Owners corporations</dc:subject>
  <dc:creator>Consumer Affairs Victoria</dc:creator>
  <cp:keywords/>
  <cp:lastModifiedBy>David M Darragh (DGS)</cp:lastModifiedBy>
  <cp:revision>2</cp:revision>
  <cp:lastPrinted>2013-03-15T02:29:00Z</cp:lastPrinted>
  <dcterms:created xsi:type="dcterms:W3CDTF">2026-04-16T05:13:00Z</dcterms:created>
  <dcterms:modified xsi:type="dcterms:W3CDTF">2026-04-16T05:13:00Z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2026-04-16T05:13:18Z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e3af2511-fd02-44b4-a594-857447b8a69a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