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5A" w:rsidRDefault="00E74EB7" w:rsidP="006364F4">
      <w:pPr>
        <w:pStyle w:val="Heading1"/>
      </w:pPr>
      <w:bookmarkStart w:id="0" w:name="_GoBack"/>
      <w:bookmarkEnd w:id="0"/>
      <w:r>
        <w:t>Invitation for Expressions of Interest</w:t>
      </w:r>
    </w:p>
    <w:p w:rsidR="00E74EB7" w:rsidRPr="00E74EB7" w:rsidRDefault="00E74EB7" w:rsidP="00E74EB7">
      <w:pPr>
        <w:pStyle w:val="BodyText"/>
        <w:rPr>
          <w:b/>
        </w:rPr>
      </w:pPr>
      <w:bookmarkStart w:id="1" w:name="_Toc351967758"/>
      <w:r w:rsidRPr="00E74EB7">
        <w:rPr>
          <w:b/>
        </w:rPr>
        <w:t>Victorian Property Fund Grants Program: Environmentally Sustainable Housing Funding Round 2017-18</w:t>
      </w:r>
    </w:p>
    <w:p w:rsidR="001C0E5A" w:rsidRDefault="001C0E5A" w:rsidP="00F774E7">
      <w:pPr>
        <w:pStyle w:val="Heading2"/>
      </w:pPr>
      <w:bookmarkStart w:id="2" w:name="_Toc505688529"/>
      <w:r>
        <w:t>Contents</w:t>
      </w:r>
      <w:bookmarkEnd w:id="1"/>
      <w:bookmarkEnd w:id="2"/>
    </w:p>
    <w:p w:rsidR="00E2004A" w:rsidRDefault="005D3C44">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\h \z \t "Heading 2,1,Heading 3,2" </w:instrText>
      </w:r>
      <w:r>
        <w:rPr>
          <w:b w:val="0"/>
        </w:rPr>
        <w:fldChar w:fldCharType="separate"/>
      </w:r>
      <w:hyperlink w:anchor="_Toc505688529" w:history="1">
        <w:r w:rsidR="00E2004A" w:rsidRPr="00D10388">
          <w:rPr>
            <w:rStyle w:val="Hyperlink"/>
          </w:rPr>
          <w:t>Contents</w:t>
        </w:r>
        <w:r w:rsidR="00E2004A">
          <w:rPr>
            <w:webHidden/>
          </w:rPr>
          <w:tab/>
        </w:r>
        <w:r w:rsidR="00E2004A">
          <w:rPr>
            <w:webHidden/>
          </w:rPr>
          <w:fldChar w:fldCharType="begin"/>
        </w:r>
        <w:r w:rsidR="00E2004A">
          <w:rPr>
            <w:webHidden/>
          </w:rPr>
          <w:instrText xml:space="preserve"> PAGEREF _Toc505688529 \h </w:instrText>
        </w:r>
        <w:r w:rsidR="00E2004A">
          <w:rPr>
            <w:webHidden/>
          </w:rPr>
        </w:r>
        <w:r w:rsidR="00E2004A">
          <w:rPr>
            <w:webHidden/>
          </w:rPr>
          <w:fldChar w:fldCharType="separate"/>
        </w:r>
        <w:r w:rsidR="00E2004A">
          <w:rPr>
            <w:webHidden/>
          </w:rPr>
          <w:t>1</w:t>
        </w:r>
        <w:r w:rsidR="00E2004A">
          <w:rPr>
            <w:webHidden/>
          </w:rPr>
          <w:fldChar w:fldCharType="end"/>
        </w:r>
      </w:hyperlink>
    </w:p>
    <w:p w:rsidR="00E2004A" w:rsidRDefault="00EB7CE7">
      <w:pPr>
        <w:pStyle w:val="TOC1"/>
        <w:rPr>
          <w:rFonts w:asciiTheme="minorHAnsi" w:eastAsiaTheme="minorEastAsia" w:hAnsiTheme="minorHAnsi" w:cstheme="minorBidi"/>
          <w:b w:val="0"/>
          <w:sz w:val="22"/>
          <w:szCs w:val="22"/>
          <w:lang w:eastAsia="en-AU"/>
        </w:rPr>
      </w:pPr>
      <w:hyperlink w:anchor="_Toc505688530" w:history="1">
        <w:r w:rsidR="00E2004A" w:rsidRPr="00D10388">
          <w:rPr>
            <w:rStyle w:val="Hyperlink"/>
          </w:rPr>
          <w:t>Overview</w:t>
        </w:r>
        <w:r w:rsidR="00E2004A">
          <w:rPr>
            <w:webHidden/>
          </w:rPr>
          <w:tab/>
        </w:r>
        <w:r w:rsidR="00E2004A">
          <w:rPr>
            <w:webHidden/>
          </w:rPr>
          <w:fldChar w:fldCharType="begin"/>
        </w:r>
        <w:r w:rsidR="00E2004A">
          <w:rPr>
            <w:webHidden/>
          </w:rPr>
          <w:instrText xml:space="preserve"> PAGEREF _Toc505688530 \h </w:instrText>
        </w:r>
        <w:r w:rsidR="00E2004A">
          <w:rPr>
            <w:webHidden/>
          </w:rPr>
        </w:r>
        <w:r w:rsidR="00E2004A">
          <w:rPr>
            <w:webHidden/>
          </w:rPr>
          <w:fldChar w:fldCharType="separate"/>
        </w:r>
        <w:r w:rsidR="00E2004A">
          <w:rPr>
            <w:webHidden/>
          </w:rPr>
          <w:t>1</w:t>
        </w:r>
        <w:r w:rsidR="00E2004A">
          <w:rPr>
            <w:webHidden/>
          </w:rPr>
          <w:fldChar w:fldCharType="end"/>
        </w:r>
      </w:hyperlink>
    </w:p>
    <w:p w:rsidR="00E2004A" w:rsidRDefault="00EB7CE7">
      <w:pPr>
        <w:pStyle w:val="TOC1"/>
        <w:rPr>
          <w:rFonts w:asciiTheme="minorHAnsi" w:eastAsiaTheme="minorEastAsia" w:hAnsiTheme="minorHAnsi" w:cstheme="minorBidi"/>
          <w:b w:val="0"/>
          <w:sz w:val="22"/>
          <w:szCs w:val="22"/>
          <w:lang w:eastAsia="en-AU"/>
        </w:rPr>
      </w:pPr>
      <w:hyperlink w:anchor="_Toc505688531" w:history="1">
        <w:r w:rsidR="00E2004A" w:rsidRPr="00D10388">
          <w:rPr>
            <w:rStyle w:val="Hyperlink"/>
          </w:rPr>
          <w:t>Background</w:t>
        </w:r>
        <w:r w:rsidR="00E2004A">
          <w:rPr>
            <w:webHidden/>
          </w:rPr>
          <w:tab/>
        </w:r>
        <w:r w:rsidR="00E2004A">
          <w:rPr>
            <w:webHidden/>
          </w:rPr>
          <w:fldChar w:fldCharType="begin"/>
        </w:r>
        <w:r w:rsidR="00E2004A">
          <w:rPr>
            <w:webHidden/>
          </w:rPr>
          <w:instrText xml:space="preserve"> PAGEREF _Toc505688531 \h </w:instrText>
        </w:r>
        <w:r w:rsidR="00E2004A">
          <w:rPr>
            <w:webHidden/>
          </w:rPr>
        </w:r>
        <w:r w:rsidR="00E2004A">
          <w:rPr>
            <w:webHidden/>
          </w:rPr>
          <w:fldChar w:fldCharType="separate"/>
        </w:r>
        <w:r w:rsidR="00E2004A">
          <w:rPr>
            <w:webHidden/>
          </w:rPr>
          <w:t>2</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32" w:history="1">
        <w:r w:rsidR="00E2004A" w:rsidRPr="00D10388">
          <w:rPr>
            <w:rStyle w:val="Hyperlink"/>
          </w:rPr>
          <w:t>Victorian Property Fund Grants Program</w:t>
        </w:r>
        <w:r w:rsidR="00E2004A">
          <w:rPr>
            <w:webHidden/>
          </w:rPr>
          <w:tab/>
        </w:r>
        <w:r w:rsidR="00E2004A">
          <w:rPr>
            <w:webHidden/>
          </w:rPr>
          <w:fldChar w:fldCharType="begin"/>
        </w:r>
        <w:r w:rsidR="00E2004A">
          <w:rPr>
            <w:webHidden/>
          </w:rPr>
          <w:instrText xml:space="preserve"> PAGEREF _Toc505688532 \h </w:instrText>
        </w:r>
        <w:r w:rsidR="00E2004A">
          <w:rPr>
            <w:webHidden/>
          </w:rPr>
        </w:r>
        <w:r w:rsidR="00E2004A">
          <w:rPr>
            <w:webHidden/>
          </w:rPr>
          <w:fldChar w:fldCharType="separate"/>
        </w:r>
        <w:r w:rsidR="00E2004A">
          <w:rPr>
            <w:webHidden/>
          </w:rPr>
          <w:t>2</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33" w:history="1">
        <w:r w:rsidR="00E2004A" w:rsidRPr="00D10388">
          <w:rPr>
            <w:rStyle w:val="Hyperlink"/>
          </w:rPr>
          <w:t>Purpose of funding energy improvements to social housing</w:t>
        </w:r>
        <w:r w:rsidR="00E2004A">
          <w:rPr>
            <w:webHidden/>
          </w:rPr>
          <w:tab/>
        </w:r>
        <w:r w:rsidR="00E2004A">
          <w:rPr>
            <w:webHidden/>
          </w:rPr>
          <w:fldChar w:fldCharType="begin"/>
        </w:r>
        <w:r w:rsidR="00E2004A">
          <w:rPr>
            <w:webHidden/>
          </w:rPr>
          <w:instrText xml:space="preserve"> PAGEREF _Toc505688533 \h </w:instrText>
        </w:r>
        <w:r w:rsidR="00E2004A">
          <w:rPr>
            <w:webHidden/>
          </w:rPr>
        </w:r>
        <w:r w:rsidR="00E2004A">
          <w:rPr>
            <w:webHidden/>
          </w:rPr>
          <w:fldChar w:fldCharType="separate"/>
        </w:r>
        <w:r w:rsidR="00E2004A">
          <w:rPr>
            <w:webHidden/>
          </w:rPr>
          <w:t>2</w:t>
        </w:r>
        <w:r w:rsidR="00E2004A">
          <w:rPr>
            <w:webHidden/>
          </w:rPr>
          <w:fldChar w:fldCharType="end"/>
        </w:r>
      </w:hyperlink>
    </w:p>
    <w:p w:rsidR="00E2004A" w:rsidRDefault="00EB7CE7">
      <w:pPr>
        <w:pStyle w:val="TOC1"/>
        <w:rPr>
          <w:rFonts w:asciiTheme="minorHAnsi" w:eastAsiaTheme="minorEastAsia" w:hAnsiTheme="minorHAnsi" w:cstheme="minorBidi"/>
          <w:b w:val="0"/>
          <w:sz w:val="22"/>
          <w:szCs w:val="22"/>
          <w:lang w:eastAsia="en-AU"/>
        </w:rPr>
      </w:pPr>
      <w:hyperlink w:anchor="_Toc505688534" w:history="1">
        <w:r w:rsidR="00E2004A" w:rsidRPr="00D10388">
          <w:rPr>
            <w:rStyle w:val="Hyperlink"/>
          </w:rPr>
          <w:t>Funding opportunity</w:t>
        </w:r>
        <w:r w:rsidR="00E2004A">
          <w:rPr>
            <w:webHidden/>
          </w:rPr>
          <w:tab/>
        </w:r>
        <w:r w:rsidR="00E2004A">
          <w:rPr>
            <w:webHidden/>
          </w:rPr>
          <w:fldChar w:fldCharType="begin"/>
        </w:r>
        <w:r w:rsidR="00E2004A">
          <w:rPr>
            <w:webHidden/>
          </w:rPr>
          <w:instrText xml:space="preserve"> PAGEREF _Toc505688534 \h </w:instrText>
        </w:r>
        <w:r w:rsidR="00E2004A">
          <w:rPr>
            <w:webHidden/>
          </w:rPr>
        </w:r>
        <w:r w:rsidR="00E2004A">
          <w:rPr>
            <w:webHidden/>
          </w:rPr>
          <w:fldChar w:fldCharType="separate"/>
        </w:r>
        <w:r w:rsidR="00E2004A">
          <w:rPr>
            <w:webHidden/>
          </w:rPr>
          <w:t>2</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35" w:history="1">
        <w:r w:rsidR="00E2004A" w:rsidRPr="00D10388">
          <w:rPr>
            <w:rStyle w:val="Hyperlink"/>
          </w:rPr>
          <w:t>Who is eligible to participate?</w:t>
        </w:r>
        <w:r w:rsidR="00E2004A">
          <w:rPr>
            <w:webHidden/>
          </w:rPr>
          <w:tab/>
        </w:r>
        <w:r w:rsidR="00E2004A">
          <w:rPr>
            <w:webHidden/>
          </w:rPr>
          <w:fldChar w:fldCharType="begin"/>
        </w:r>
        <w:r w:rsidR="00E2004A">
          <w:rPr>
            <w:webHidden/>
          </w:rPr>
          <w:instrText xml:space="preserve"> PAGEREF _Toc505688535 \h </w:instrText>
        </w:r>
        <w:r w:rsidR="00E2004A">
          <w:rPr>
            <w:webHidden/>
          </w:rPr>
        </w:r>
        <w:r w:rsidR="00E2004A">
          <w:rPr>
            <w:webHidden/>
          </w:rPr>
          <w:fldChar w:fldCharType="separate"/>
        </w:r>
        <w:r w:rsidR="00E2004A">
          <w:rPr>
            <w:webHidden/>
          </w:rPr>
          <w:t>3</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36" w:history="1">
        <w:r w:rsidR="00E2004A" w:rsidRPr="00D10388">
          <w:rPr>
            <w:rStyle w:val="Hyperlink"/>
          </w:rPr>
          <w:t>What will be funded?</w:t>
        </w:r>
        <w:r w:rsidR="00E2004A">
          <w:rPr>
            <w:webHidden/>
          </w:rPr>
          <w:tab/>
        </w:r>
        <w:r w:rsidR="00E2004A">
          <w:rPr>
            <w:webHidden/>
          </w:rPr>
          <w:fldChar w:fldCharType="begin"/>
        </w:r>
        <w:r w:rsidR="00E2004A">
          <w:rPr>
            <w:webHidden/>
          </w:rPr>
          <w:instrText xml:space="preserve"> PAGEREF _Toc505688536 \h </w:instrText>
        </w:r>
        <w:r w:rsidR="00E2004A">
          <w:rPr>
            <w:webHidden/>
          </w:rPr>
        </w:r>
        <w:r w:rsidR="00E2004A">
          <w:rPr>
            <w:webHidden/>
          </w:rPr>
          <w:fldChar w:fldCharType="separate"/>
        </w:r>
        <w:r w:rsidR="00E2004A">
          <w:rPr>
            <w:webHidden/>
          </w:rPr>
          <w:t>4</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37" w:history="1">
        <w:r w:rsidR="00E2004A" w:rsidRPr="00D10388">
          <w:rPr>
            <w:rStyle w:val="Hyperlink"/>
          </w:rPr>
          <w:t>What will not be funded?</w:t>
        </w:r>
        <w:r w:rsidR="00E2004A">
          <w:rPr>
            <w:webHidden/>
          </w:rPr>
          <w:tab/>
        </w:r>
        <w:r w:rsidR="00E2004A">
          <w:rPr>
            <w:webHidden/>
          </w:rPr>
          <w:fldChar w:fldCharType="begin"/>
        </w:r>
        <w:r w:rsidR="00E2004A">
          <w:rPr>
            <w:webHidden/>
          </w:rPr>
          <w:instrText xml:space="preserve"> PAGEREF _Toc505688537 \h </w:instrText>
        </w:r>
        <w:r w:rsidR="00E2004A">
          <w:rPr>
            <w:webHidden/>
          </w:rPr>
        </w:r>
        <w:r w:rsidR="00E2004A">
          <w:rPr>
            <w:webHidden/>
          </w:rPr>
          <w:fldChar w:fldCharType="separate"/>
        </w:r>
        <w:r w:rsidR="00E2004A">
          <w:rPr>
            <w:webHidden/>
          </w:rPr>
          <w:t>4</w:t>
        </w:r>
        <w:r w:rsidR="00E2004A">
          <w:rPr>
            <w:webHidden/>
          </w:rPr>
          <w:fldChar w:fldCharType="end"/>
        </w:r>
      </w:hyperlink>
    </w:p>
    <w:p w:rsidR="00E2004A" w:rsidRDefault="00EB7CE7">
      <w:pPr>
        <w:pStyle w:val="TOC1"/>
        <w:rPr>
          <w:rFonts w:asciiTheme="minorHAnsi" w:eastAsiaTheme="minorEastAsia" w:hAnsiTheme="minorHAnsi" w:cstheme="minorBidi"/>
          <w:b w:val="0"/>
          <w:sz w:val="22"/>
          <w:szCs w:val="22"/>
          <w:lang w:eastAsia="en-AU"/>
        </w:rPr>
      </w:pPr>
      <w:hyperlink w:anchor="_Toc505688538" w:history="1">
        <w:r w:rsidR="00E2004A" w:rsidRPr="00D10388">
          <w:rPr>
            <w:rStyle w:val="Hyperlink"/>
          </w:rPr>
          <w:t>Risks and responsibilities</w:t>
        </w:r>
        <w:r w:rsidR="00E2004A">
          <w:rPr>
            <w:webHidden/>
          </w:rPr>
          <w:tab/>
        </w:r>
        <w:r w:rsidR="00E2004A">
          <w:rPr>
            <w:webHidden/>
          </w:rPr>
          <w:fldChar w:fldCharType="begin"/>
        </w:r>
        <w:r w:rsidR="00E2004A">
          <w:rPr>
            <w:webHidden/>
          </w:rPr>
          <w:instrText xml:space="preserve"> PAGEREF _Toc505688538 \h </w:instrText>
        </w:r>
        <w:r w:rsidR="00E2004A">
          <w:rPr>
            <w:webHidden/>
          </w:rPr>
        </w:r>
        <w:r w:rsidR="00E2004A">
          <w:rPr>
            <w:webHidden/>
          </w:rPr>
          <w:fldChar w:fldCharType="separate"/>
        </w:r>
        <w:r w:rsidR="00E2004A">
          <w:rPr>
            <w:webHidden/>
          </w:rPr>
          <w:t>4</w:t>
        </w:r>
        <w:r w:rsidR="00E2004A">
          <w:rPr>
            <w:webHidden/>
          </w:rPr>
          <w:fldChar w:fldCharType="end"/>
        </w:r>
      </w:hyperlink>
    </w:p>
    <w:p w:rsidR="00E2004A" w:rsidRDefault="00EB7CE7">
      <w:pPr>
        <w:pStyle w:val="TOC1"/>
        <w:rPr>
          <w:rFonts w:asciiTheme="minorHAnsi" w:eastAsiaTheme="minorEastAsia" w:hAnsiTheme="minorHAnsi" w:cstheme="minorBidi"/>
          <w:b w:val="0"/>
          <w:sz w:val="22"/>
          <w:szCs w:val="22"/>
          <w:lang w:eastAsia="en-AU"/>
        </w:rPr>
      </w:pPr>
      <w:hyperlink w:anchor="_Toc505688539" w:history="1">
        <w:r w:rsidR="00E2004A" w:rsidRPr="00D10388">
          <w:rPr>
            <w:rStyle w:val="Hyperlink"/>
          </w:rPr>
          <w:t>EOI response information requirements</w:t>
        </w:r>
        <w:r w:rsidR="00E2004A">
          <w:rPr>
            <w:webHidden/>
          </w:rPr>
          <w:tab/>
        </w:r>
        <w:r w:rsidR="00E2004A">
          <w:rPr>
            <w:webHidden/>
          </w:rPr>
          <w:fldChar w:fldCharType="begin"/>
        </w:r>
        <w:r w:rsidR="00E2004A">
          <w:rPr>
            <w:webHidden/>
          </w:rPr>
          <w:instrText xml:space="preserve"> PAGEREF _Toc505688539 \h </w:instrText>
        </w:r>
        <w:r w:rsidR="00E2004A">
          <w:rPr>
            <w:webHidden/>
          </w:rPr>
        </w:r>
        <w:r w:rsidR="00E2004A">
          <w:rPr>
            <w:webHidden/>
          </w:rPr>
          <w:fldChar w:fldCharType="separate"/>
        </w:r>
        <w:r w:rsidR="00E2004A">
          <w:rPr>
            <w:webHidden/>
          </w:rPr>
          <w:t>5</w:t>
        </w:r>
        <w:r w:rsidR="00E2004A">
          <w:rPr>
            <w:webHidden/>
          </w:rPr>
          <w:fldChar w:fldCharType="end"/>
        </w:r>
      </w:hyperlink>
    </w:p>
    <w:p w:rsidR="00E2004A" w:rsidRDefault="00EB7CE7">
      <w:pPr>
        <w:pStyle w:val="TOC1"/>
        <w:rPr>
          <w:rFonts w:asciiTheme="minorHAnsi" w:eastAsiaTheme="minorEastAsia" w:hAnsiTheme="minorHAnsi" w:cstheme="minorBidi"/>
          <w:b w:val="0"/>
          <w:sz w:val="22"/>
          <w:szCs w:val="22"/>
          <w:lang w:eastAsia="en-AU"/>
        </w:rPr>
      </w:pPr>
      <w:hyperlink w:anchor="_Toc505688540" w:history="1">
        <w:r w:rsidR="00E2004A" w:rsidRPr="00D10388">
          <w:rPr>
            <w:rStyle w:val="Hyperlink"/>
          </w:rPr>
          <w:t xml:space="preserve">Response </w:t>
        </w:r>
        <w:r w:rsidR="00E2004A" w:rsidRPr="00D10388">
          <w:rPr>
            <w:rStyle w:val="Hyperlink"/>
            <w:lang w:val="en-GB"/>
          </w:rPr>
          <w:t>evaluation process and criteria</w:t>
        </w:r>
        <w:r w:rsidR="00E2004A">
          <w:rPr>
            <w:webHidden/>
          </w:rPr>
          <w:tab/>
        </w:r>
        <w:r w:rsidR="00E2004A">
          <w:rPr>
            <w:webHidden/>
          </w:rPr>
          <w:fldChar w:fldCharType="begin"/>
        </w:r>
        <w:r w:rsidR="00E2004A">
          <w:rPr>
            <w:webHidden/>
          </w:rPr>
          <w:instrText xml:space="preserve"> PAGEREF _Toc505688540 \h </w:instrText>
        </w:r>
        <w:r w:rsidR="00E2004A">
          <w:rPr>
            <w:webHidden/>
          </w:rPr>
        </w:r>
        <w:r w:rsidR="00E2004A">
          <w:rPr>
            <w:webHidden/>
          </w:rPr>
          <w:fldChar w:fldCharType="separate"/>
        </w:r>
        <w:r w:rsidR="00E2004A">
          <w:rPr>
            <w:webHidden/>
          </w:rPr>
          <w:t>6</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41" w:history="1">
        <w:r w:rsidR="00E2004A" w:rsidRPr="00D10388">
          <w:rPr>
            <w:rStyle w:val="Hyperlink"/>
          </w:rPr>
          <w:t>Mandatory criteria</w:t>
        </w:r>
        <w:r w:rsidR="00E2004A">
          <w:rPr>
            <w:webHidden/>
          </w:rPr>
          <w:tab/>
        </w:r>
        <w:r w:rsidR="00E2004A">
          <w:rPr>
            <w:webHidden/>
          </w:rPr>
          <w:fldChar w:fldCharType="begin"/>
        </w:r>
        <w:r w:rsidR="00E2004A">
          <w:rPr>
            <w:webHidden/>
          </w:rPr>
          <w:instrText xml:space="preserve"> PAGEREF _Toc505688541 \h </w:instrText>
        </w:r>
        <w:r w:rsidR="00E2004A">
          <w:rPr>
            <w:webHidden/>
          </w:rPr>
        </w:r>
        <w:r w:rsidR="00E2004A">
          <w:rPr>
            <w:webHidden/>
          </w:rPr>
          <w:fldChar w:fldCharType="separate"/>
        </w:r>
        <w:r w:rsidR="00E2004A">
          <w:rPr>
            <w:webHidden/>
          </w:rPr>
          <w:t>6</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42" w:history="1">
        <w:r w:rsidR="00E2004A" w:rsidRPr="00D10388">
          <w:rPr>
            <w:rStyle w:val="Hyperlink"/>
          </w:rPr>
          <w:t>Comparative criteria (weighted)</w:t>
        </w:r>
        <w:r w:rsidR="00E2004A">
          <w:rPr>
            <w:webHidden/>
          </w:rPr>
          <w:tab/>
        </w:r>
        <w:r w:rsidR="00E2004A">
          <w:rPr>
            <w:webHidden/>
          </w:rPr>
          <w:fldChar w:fldCharType="begin"/>
        </w:r>
        <w:r w:rsidR="00E2004A">
          <w:rPr>
            <w:webHidden/>
          </w:rPr>
          <w:instrText xml:space="preserve"> PAGEREF _Toc505688542 \h </w:instrText>
        </w:r>
        <w:r w:rsidR="00E2004A">
          <w:rPr>
            <w:webHidden/>
          </w:rPr>
        </w:r>
        <w:r w:rsidR="00E2004A">
          <w:rPr>
            <w:webHidden/>
          </w:rPr>
          <w:fldChar w:fldCharType="separate"/>
        </w:r>
        <w:r w:rsidR="00E2004A">
          <w:rPr>
            <w:webHidden/>
          </w:rPr>
          <w:t>6</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43" w:history="1">
        <w:r w:rsidR="00E2004A" w:rsidRPr="00D10388">
          <w:rPr>
            <w:rStyle w:val="Hyperlink"/>
          </w:rPr>
          <w:t>Other considerations</w:t>
        </w:r>
        <w:r w:rsidR="00E2004A">
          <w:rPr>
            <w:webHidden/>
          </w:rPr>
          <w:tab/>
        </w:r>
        <w:r w:rsidR="00E2004A">
          <w:rPr>
            <w:webHidden/>
          </w:rPr>
          <w:fldChar w:fldCharType="begin"/>
        </w:r>
        <w:r w:rsidR="00E2004A">
          <w:rPr>
            <w:webHidden/>
          </w:rPr>
          <w:instrText xml:space="preserve"> PAGEREF _Toc505688543 \h </w:instrText>
        </w:r>
        <w:r w:rsidR="00E2004A">
          <w:rPr>
            <w:webHidden/>
          </w:rPr>
        </w:r>
        <w:r w:rsidR="00E2004A">
          <w:rPr>
            <w:webHidden/>
          </w:rPr>
          <w:fldChar w:fldCharType="separate"/>
        </w:r>
        <w:r w:rsidR="00E2004A">
          <w:rPr>
            <w:webHidden/>
          </w:rPr>
          <w:t>7</w:t>
        </w:r>
        <w:r w:rsidR="00E2004A">
          <w:rPr>
            <w:webHidden/>
          </w:rPr>
          <w:fldChar w:fldCharType="end"/>
        </w:r>
      </w:hyperlink>
    </w:p>
    <w:p w:rsidR="00E2004A" w:rsidRDefault="00EB7CE7">
      <w:pPr>
        <w:pStyle w:val="TOC1"/>
        <w:rPr>
          <w:rFonts w:asciiTheme="minorHAnsi" w:eastAsiaTheme="minorEastAsia" w:hAnsiTheme="minorHAnsi" w:cstheme="minorBidi"/>
          <w:b w:val="0"/>
          <w:sz w:val="22"/>
          <w:szCs w:val="22"/>
          <w:lang w:eastAsia="en-AU"/>
        </w:rPr>
      </w:pPr>
      <w:hyperlink w:anchor="_Toc505688544" w:history="1">
        <w:r w:rsidR="00E2004A" w:rsidRPr="00D10388">
          <w:rPr>
            <w:rStyle w:val="Hyperlink"/>
          </w:rPr>
          <w:t>Response documentation and submission process</w:t>
        </w:r>
        <w:r w:rsidR="00E2004A">
          <w:rPr>
            <w:webHidden/>
          </w:rPr>
          <w:tab/>
        </w:r>
        <w:r w:rsidR="00E2004A">
          <w:rPr>
            <w:webHidden/>
          </w:rPr>
          <w:fldChar w:fldCharType="begin"/>
        </w:r>
        <w:r w:rsidR="00E2004A">
          <w:rPr>
            <w:webHidden/>
          </w:rPr>
          <w:instrText xml:space="preserve"> PAGEREF _Toc505688544 \h </w:instrText>
        </w:r>
        <w:r w:rsidR="00E2004A">
          <w:rPr>
            <w:webHidden/>
          </w:rPr>
        </w:r>
        <w:r w:rsidR="00E2004A">
          <w:rPr>
            <w:webHidden/>
          </w:rPr>
          <w:fldChar w:fldCharType="separate"/>
        </w:r>
        <w:r w:rsidR="00E2004A">
          <w:rPr>
            <w:webHidden/>
          </w:rPr>
          <w:t>8</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45" w:history="1">
        <w:r w:rsidR="00E2004A" w:rsidRPr="00D10388">
          <w:rPr>
            <w:rStyle w:val="Hyperlink"/>
          </w:rPr>
          <w:t>Table 1 – Response submission requirements</w:t>
        </w:r>
        <w:r w:rsidR="00E2004A">
          <w:rPr>
            <w:webHidden/>
          </w:rPr>
          <w:tab/>
        </w:r>
        <w:r w:rsidR="00E2004A">
          <w:rPr>
            <w:webHidden/>
          </w:rPr>
          <w:fldChar w:fldCharType="begin"/>
        </w:r>
        <w:r w:rsidR="00E2004A">
          <w:rPr>
            <w:webHidden/>
          </w:rPr>
          <w:instrText xml:space="preserve"> PAGEREF _Toc505688545 \h </w:instrText>
        </w:r>
        <w:r w:rsidR="00E2004A">
          <w:rPr>
            <w:webHidden/>
          </w:rPr>
        </w:r>
        <w:r w:rsidR="00E2004A">
          <w:rPr>
            <w:webHidden/>
          </w:rPr>
          <w:fldChar w:fldCharType="separate"/>
        </w:r>
        <w:r w:rsidR="00E2004A">
          <w:rPr>
            <w:webHidden/>
          </w:rPr>
          <w:t>8</w:t>
        </w:r>
        <w:r w:rsidR="00E2004A">
          <w:rPr>
            <w:webHidden/>
          </w:rPr>
          <w:fldChar w:fldCharType="end"/>
        </w:r>
      </w:hyperlink>
    </w:p>
    <w:p w:rsidR="00E2004A" w:rsidRDefault="00EB7CE7">
      <w:pPr>
        <w:pStyle w:val="TOC2"/>
        <w:rPr>
          <w:rFonts w:asciiTheme="minorHAnsi" w:eastAsiaTheme="minorEastAsia" w:hAnsiTheme="minorHAnsi" w:cstheme="minorBidi"/>
          <w:sz w:val="22"/>
          <w:szCs w:val="22"/>
          <w:lang w:eastAsia="en-AU"/>
        </w:rPr>
      </w:pPr>
      <w:hyperlink w:anchor="_Toc505688546" w:history="1">
        <w:r w:rsidR="00E2004A" w:rsidRPr="00D10388">
          <w:rPr>
            <w:rStyle w:val="Hyperlink"/>
          </w:rPr>
          <w:t>Table 2 – Indicative key dates</w:t>
        </w:r>
        <w:r w:rsidR="00E2004A">
          <w:rPr>
            <w:webHidden/>
          </w:rPr>
          <w:tab/>
        </w:r>
        <w:r w:rsidR="00E2004A">
          <w:rPr>
            <w:webHidden/>
          </w:rPr>
          <w:fldChar w:fldCharType="begin"/>
        </w:r>
        <w:r w:rsidR="00E2004A">
          <w:rPr>
            <w:webHidden/>
          </w:rPr>
          <w:instrText xml:space="preserve"> PAGEREF _Toc505688546 \h </w:instrText>
        </w:r>
        <w:r w:rsidR="00E2004A">
          <w:rPr>
            <w:webHidden/>
          </w:rPr>
        </w:r>
        <w:r w:rsidR="00E2004A">
          <w:rPr>
            <w:webHidden/>
          </w:rPr>
          <w:fldChar w:fldCharType="separate"/>
        </w:r>
        <w:r w:rsidR="00E2004A">
          <w:rPr>
            <w:webHidden/>
          </w:rPr>
          <w:t>8</w:t>
        </w:r>
        <w:r w:rsidR="00E2004A">
          <w:rPr>
            <w:webHidden/>
          </w:rPr>
          <w:fldChar w:fldCharType="end"/>
        </w:r>
      </w:hyperlink>
    </w:p>
    <w:p w:rsidR="00E2004A" w:rsidRDefault="00EB7CE7">
      <w:pPr>
        <w:pStyle w:val="TOC1"/>
        <w:rPr>
          <w:rFonts w:asciiTheme="minorHAnsi" w:eastAsiaTheme="minorEastAsia" w:hAnsiTheme="minorHAnsi" w:cstheme="minorBidi"/>
          <w:b w:val="0"/>
          <w:sz w:val="22"/>
          <w:szCs w:val="22"/>
          <w:lang w:eastAsia="en-AU"/>
        </w:rPr>
      </w:pPr>
      <w:hyperlink w:anchor="_Toc505688547" w:history="1">
        <w:r w:rsidR="00E2004A" w:rsidRPr="00D10388">
          <w:rPr>
            <w:rStyle w:val="Hyperlink"/>
          </w:rPr>
          <w:t>Project implementation</w:t>
        </w:r>
        <w:r w:rsidR="00E2004A">
          <w:rPr>
            <w:webHidden/>
          </w:rPr>
          <w:tab/>
        </w:r>
        <w:r w:rsidR="00E2004A">
          <w:rPr>
            <w:webHidden/>
          </w:rPr>
          <w:fldChar w:fldCharType="begin"/>
        </w:r>
        <w:r w:rsidR="00E2004A">
          <w:rPr>
            <w:webHidden/>
          </w:rPr>
          <w:instrText xml:space="preserve"> PAGEREF _Toc505688547 \h </w:instrText>
        </w:r>
        <w:r w:rsidR="00E2004A">
          <w:rPr>
            <w:webHidden/>
          </w:rPr>
        </w:r>
        <w:r w:rsidR="00E2004A">
          <w:rPr>
            <w:webHidden/>
          </w:rPr>
          <w:fldChar w:fldCharType="separate"/>
        </w:r>
        <w:r w:rsidR="00E2004A">
          <w:rPr>
            <w:webHidden/>
          </w:rPr>
          <w:t>9</w:t>
        </w:r>
        <w:r w:rsidR="00E2004A">
          <w:rPr>
            <w:webHidden/>
          </w:rPr>
          <w:fldChar w:fldCharType="end"/>
        </w:r>
      </w:hyperlink>
    </w:p>
    <w:p w:rsidR="001C0E5A" w:rsidRPr="009F5AAF" w:rsidRDefault="005D3C44" w:rsidP="00FE2AA4">
      <w:pPr>
        <w:pStyle w:val="TOC1"/>
      </w:pPr>
      <w:r>
        <w:rPr>
          <w:b w:val="0"/>
        </w:rPr>
        <w:fldChar w:fldCharType="end"/>
      </w:r>
    </w:p>
    <w:p w:rsidR="00DB7F30" w:rsidRDefault="00E74EB7" w:rsidP="00F774E7">
      <w:pPr>
        <w:pStyle w:val="Heading2"/>
      </w:pPr>
      <w:bookmarkStart w:id="3" w:name="_Toc505688530"/>
      <w:r>
        <w:t>Overview</w:t>
      </w:r>
      <w:bookmarkEnd w:id="3"/>
    </w:p>
    <w:p w:rsidR="00E74EB7" w:rsidRPr="00E74EB7" w:rsidRDefault="00E74EB7" w:rsidP="00E74EB7">
      <w:pPr>
        <w:pStyle w:val="BodyText"/>
      </w:pPr>
      <w:r w:rsidRPr="00E74EB7">
        <w:t xml:space="preserve">Consumer Affairs Victoria (CAV) invites expressions of interest (EOI) to the Victorian Property Fund (VPF) Grants Program Environmentally Sustainable Housing Funding Round 2017-18 (the Program) from Registered Housing Agencies (RHAs) to carry out energy efficiency improvements to their existing Victorian social housing stock. </w:t>
      </w:r>
    </w:p>
    <w:p w:rsidR="00E74EB7" w:rsidRPr="00E74EB7" w:rsidRDefault="00E74EB7" w:rsidP="00E74EB7">
      <w:pPr>
        <w:pStyle w:val="BodyText"/>
      </w:pPr>
      <w:r w:rsidRPr="00E74EB7">
        <w:t>Eligible RHAs are invited to respond with details of their proposed energy efficiency improvement projects, the expected benefits arising from the improvements (both the energy and non-energy benefits if applicable), the business case for investment (including estimated payback periods), and the amount they are willing to contribute towards the works.</w:t>
      </w:r>
    </w:p>
    <w:p w:rsidR="00E74EB7" w:rsidRPr="00E74EB7" w:rsidRDefault="00E74EB7" w:rsidP="00E74EB7">
      <w:pPr>
        <w:pStyle w:val="BodyText"/>
      </w:pPr>
      <w:r w:rsidRPr="00E74EB7">
        <w:t>EOI responses will be assessed with a view to shortlisting a number of favoured proposals. Those RHAs with shortlisted responses may be provided with feedback, and CAV reserves the right to negotiate variations to proposals. At CAV’s sole discretion, some shortlisted RHAs may then be invited to formally apply for a grant from the Victorian Property Fund (VPF) to assist the RHA implement the improvements. The provision of any grant funding is conditional on the Minister for Consumer Affairs (the Minister) awarding a VPF grant following the formal grant application process.</w:t>
      </w:r>
    </w:p>
    <w:p w:rsidR="00E74EB7" w:rsidRPr="00E74EB7" w:rsidRDefault="00E74EB7" w:rsidP="00E74EB7">
      <w:pPr>
        <w:pStyle w:val="BodyText"/>
      </w:pPr>
      <w:r w:rsidRPr="00E74EB7">
        <w:lastRenderedPageBreak/>
        <w:t xml:space="preserve">Program outcomes and learnings may be captured in case studies to be made available to the Victorian community housing sector for education and information purposes.   </w:t>
      </w:r>
    </w:p>
    <w:p w:rsidR="00E74EB7" w:rsidRPr="00E74EB7" w:rsidRDefault="00E74EB7" w:rsidP="00E74EB7">
      <w:pPr>
        <w:pStyle w:val="BodyText"/>
      </w:pPr>
      <w:r w:rsidRPr="00E74EB7">
        <w:t xml:space="preserve">Responses to the Invitation for Expressions of Interest are due by the EOI closing date: </w:t>
      </w:r>
      <w:r w:rsidRPr="00E74EB7">
        <w:rPr>
          <w:iCs/>
        </w:rPr>
        <w:t>5</w:t>
      </w:r>
      <w:r w:rsidR="009D08E1">
        <w:rPr>
          <w:iCs/>
        </w:rPr>
        <w:t>:00</w:t>
      </w:r>
      <w:r w:rsidRPr="00E74EB7">
        <w:rPr>
          <w:iCs/>
        </w:rPr>
        <w:t>pm</w:t>
      </w:r>
      <w:r w:rsidR="009D08E1">
        <w:rPr>
          <w:iCs/>
        </w:rPr>
        <w:t>,</w:t>
      </w:r>
      <w:r w:rsidRPr="00E74EB7">
        <w:rPr>
          <w:iCs/>
        </w:rPr>
        <w:t xml:space="preserve"> Friday 23 March </w:t>
      </w:r>
      <w:r w:rsidRPr="00E74EB7">
        <w:t>2018.</w:t>
      </w:r>
    </w:p>
    <w:p w:rsidR="00D365D9" w:rsidRDefault="00E74EB7" w:rsidP="00E74EB7">
      <w:pPr>
        <w:pStyle w:val="Heading2"/>
      </w:pPr>
      <w:bookmarkStart w:id="4" w:name="_Toc505688531"/>
      <w:bookmarkStart w:id="5" w:name="_Toc351967761"/>
      <w:r>
        <w:t>Background</w:t>
      </w:r>
      <w:bookmarkEnd w:id="4"/>
    </w:p>
    <w:p w:rsidR="00E74EB7" w:rsidRPr="00E74EB7" w:rsidRDefault="00E74EB7" w:rsidP="00E74EB7">
      <w:pPr>
        <w:pStyle w:val="Heading3"/>
      </w:pPr>
      <w:bookmarkStart w:id="6" w:name="_Toc505688532"/>
      <w:r w:rsidRPr="00E74EB7">
        <w:t>Victorian Property Fund Grants Program</w:t>
      </w:r>
      <w:bookmarkEnd w:id="6"/>
    </w:p>
    <w:p w:rsidR="00E74EB7" w:rsidRPr="00E74EB7" w:rsidRDefault="00E74EB7" w:rsidP="00E74EB7">
      <w:pPr>
        <w:pStyle w:val="BodyText"/>
      </w:pPr>
      <w:r w:rsidRPr="00E74EB7">
        <w:t xml:space="preserve">Section 76(3)(h)(i) of the </w:t>
      </w:r>
      <w:r w:rsidRPr="00E74EB7">
        <w:rPr>
          <w:i/>
        </w:rPr>
        <w:t>Estate Agents Act 1980</w:t>
      </w:r>
      <w:r w:rsidRPr="00E74EB7">
        <w:t xml:space="preserve"> (the Act) enables the Minister to make grants from the VPF for “projects regarding the development of environmentally sustainable housing”.</w:t>
      </w:r>
    </w:p>
    <w:p w:rsidR="00E74EB7" w:rsidRPr="00E74EB7" w:rsidRDefault="00E74EB7" w:rsidP="00E74EB7">
      <w:pPr>
        <w:pStyle w:val="BodyText"/>
      </w:pPr>
      <w:r w:rsidRPr="00E74EB7">
        <w:t xml:space="preserve">CAV is responsible for administering the VPF grants program, which includes identifying opportunities to fund proposals that meet Government priorities, inviting and evaluating applications, making recommendations regarding proposals to the Minister, and managing the grants awarded. For more information on the VPF grants program, see the CAV website </w:t>
      </w:r>
      <w:hyperlink r:id="rId8" w:history="1">
        <w:r w:rsidRPr="00E74EB7">
          <w:rPr>
            <w:rStyle w:val="Hyperlink"/>
          </w:rPr>
          <w:t>www.consumer.vic.gov.au/grants</w:t>
        </w:r>
      </w:hyperlink>
      <w:r w:rsidRPr="00E74EB7">
        <w:t xml:space="preserve"> </w:t>
      </w:r>
    </w:p>
    <w:p w:rsidR="00E74EB7" w:rsidRPr="00E74EB7" w:rsidRDefault="00E74EB7" w:rsidP="00E74EB7">
      <w:pPr>
        <w:pStyle w:val="Heading3"/>
      </w:pPr>
      <w:bookmarkStart w:id="7" w:name="_Toc505688533"/>
      <w:r w:rsidRPr="00E74EB7">
        <w:t>Purpose of funding energy improvements to social housing</w:t>
      </w:r>
      <w:bookmarkEnd w:id="7"/>
    </w:p>
    <w:p w:rsidR="00E74EB7" w:rsidRPr="00E74EB7" w:rsidRDefault="00E74EB7" w:rsidP="00E74EB7">
      <w:pPr>
        <w:pStyle w:val="BodyText"/>
      </w:pPr>
      <w:r w:rsidRPr="00E74EB7">
        <w:t xml:space="preserve">The Victorian Government is committed to improving the environmental sustainability of Victoria’s social housing to help reduce greenhouse gas emissions, lower utility bills for RHAs or low income tenants, and improve the thermal comfort of social housing. Improving the energy and thermal efficiency of low income housing can deliver not only environmental benefits, but also social equity and welfare benefits. </w:t>
      </w:r>
    </w:p>
    <w:p w:rsidR="00E74EB7" w:rsidRPr="00E74EB7" w:rsidRDefault="00E74EB7" w:rsidP="00E74EB7">
      <w:pPr>
        <w:pStyle w:val="BodyText"/>
      </w:pPr>
      <w:r w:rsidRPr="00E74EB7">
        <w:t>Recent technological advancements and price reductions in solar panels and battery storage mean that investing in solar systems and complementary energy efficiency technology such as heat pumps and LED lighting can not only pay for itself but also deliver significant financial savings by reducing future electricity bills. The business case for investment is expected to continue to improve as electricity prices rise, and the technology becomes cheaper and more efficient.</w:t>
      </w:r>
    </w:p>
    <w:p w:rsidR="00E74EB7" w:rsidRPr="00E74EB7" w:rsidRDefault="00E74EB7" w:rsidP="00E74EB7">
      <w:pPr>
        <w:pStyle w:val="BodyText"/>
      </w:pPr>
      <w:r w:rsidRPr="00E74EB7">
        <w:t xml:space="preserve">Co-funding the implementation of energy efficiency improvements by RHAs will help to demonstrate the investment business case, and build sector knowledge about the energy saving opportunities arising across a range of social housing types. It can also help build sector skills and capacity to assess buildings, analyse business cases and carry out improvements. </w:t>
      </w:r>
    </w:p>
    <w:p w:rsidR="00E74EB7" w:rsidRDefault="00E74EB7" w:rsidP="00E74EB7">
      <w:pPr>
        <w:pStyle w:val="BodyText"/>
      </w:pPr>
      <w:r w:rsidRPr="00E74EB7">
        <w:t xml:space="preserve">These objectives support government priorities outlined in a range of policies including the </w:t>
      </w:r>
      <w:r w:rsidRPr="00E74EB7">
        <w:rPr>
          <w:i/>
        </w:rPr>
        <w:t>Energy Efficiency and Productivity Strategy</w:t>
      </w:r>
      <w:r w:rsidRPr="00E74EB7">
        <w:t xml:space="preserve">, </w:t>
      </w:r>
      <w:r w:rsidRPr="00E74EB7">
        <w:rPr>
          <w:i/>
        </w:rPr>
        <w:t>Victoria’s Renewable Energy Roadmap</w:t>
      </w:r>
      <w:r w:rsidRPr="00E74EB7">
        <w:t xml:space="preserve"> and </w:t>
      </w:r>
      <w:r w:rsidRPr="00E74EB7">
        <w:rPr>
          <w:i/>
        </w:rPr>
        <w:t>Victoria’s Climate Change Adaption Plan 2017-20</w:t>
      </w:r>
      <w:r w:rsidRPr="00E74EB7">
        <w:t>.</w:t>
      </w:r>
    </w:p>
    <w:p w:rsidR="000452B6" w:rsidRPr="000452B6" w:rsidRDefault="000452B6" w:rsidP="000452B6">
      <w:pPr>
        <w:pStyle w:val="Heading2"/>
      </w:pPr>
      <w:bookmarkStart w:id="8" w:name="_Toc498069349"/>
      <w:bookmarkStart w:id="9" w:name="_Toc505688534"/>
      <w:r w:rsidRPr="000452B6">
        <w:t>Funding opportunity</w:t>
      </w:r>
      <w:bookmarkEnd w:id="8"/>
      <w:bookmarkEnd w:id="9"/>
    </w:p>
    <w:p w:rsidR="000452B6" w:rsidRPr="000452B6" w:rsidRDefault="000452B6" w:rsidP="000452B6">
      <w:pPr>
        <w:pStyle w:val="BodyText"/>
      </w:pPr>
      <w:r w:rsidRPr="000452B6">
        <w:t>Up to $1.5 million from the VPF grants budget is reserved over two years (2017-18 and 2018-19) to support RHAs carry out projects to improve the energy efficiency of social housing.</w:t>
      </w:r>
    </w:p>
    <w:p w:rsidR="000452B6" w:rsidRPr="000452B6" w:rsidRDefault="000452B6" w:rsidP="000452B6">
      <w:pPr>
        <w:pStyle w:val="BodyText"/>
      </w:pPr>
      <w:r w:rsidRPr="000452B6">
        <w:t>The funding application process involves two stages: an initial EOI process, followed by a formal grant application process (by invitation only). The provision of any funding is subject to the Minister awarding a formal VPF grant.</w:t>
      </w:r>
    </w:p>
    <w:p w:rsidR="000452B6" w:rsidRPr="000452B6" w:rsidRDefault="000452B6" w:rsidP="000452B6">
      <w:pPr>
        <w:pStyle w:val="BodyText"/>
      </w:pPr>
      <w:r w:rsidRPr="000452B6">
        <w:t>Expressions of interest are invited from eligible RHAs that:</w:t>
      </w:r>
    </w:p>
    <w:p w:rsidR="000452B6" w:rsidRPr="000452B6" w:rsidRDefault="000452B6" w:rsidP="000452B6">
      <w:pPr>
        <w:pStyle w:val="BodyText"/>
        <w:numPr>
          <w:ilvl w:val="0"/>
          <w:numId w:val="23"/>
        </w:numPr>
      </w:pPr>
      <w:r w:rsidRPr="000452B6">
        <w:lastRenderedPageBreak/>
        <w:t>have had the energy efficiency of the unit/s or building/s in question assessed by a demonstrably qualified energy efficiency assessor</w:t>
      </w:r>
      <w:r w:rsidRPr="000452B6">
        <w:rPr>
          <w:vertAlign w:val="superscript"/>
        </w:rPr>
        <w:footnoteReference w:id="1"/>
      </w:r>
      <w:r w:rsidRPr="000452B6">
        <w:t xml:space="preserve"> or Victorian Government department or agency. The assessor must have produced a report that supports the energy efficiency improvements proposed in the RHA’s funding proposal; and</w:t>
      </w:r>
    </w:p>
    <w:p w:rsidR="000452B6" w:rsidRPr="000452B6" w:rsidRDefault="000452B6" w:rsidP="000452B6">
      <w:pPr>
        <w:pStyle w:val="BodyText"/>
        <w:numPr>
          <w:ilvl w:val="0"/>
          <w:numId w:val="23"/>
        </w:numPr>
      </w:pPr>
      <w:r w:rsidRPr="000452B6">
        <w:t xml:space="preserve">are willing to contribute more than half the total project costs (&gt;50%). </w:t>
      </w:r>
    </w:p>
    <w:p w:rsidR="000452B6" w:rsidRPr="000452B6" w:rsidRDefault="000452B6" w:rsidP="000452B6">
      <w:pPr>
        <w:pStyle w:val="BodyText"/>
      </w:pPr>
      <w:r w:rsidRPr="000452B6">
        <w:t>The primary purpose of the VPF funding contribution is to assist the RHAs meet the cost of purchasing and installing the recommended energy efficiency improvements. Although CAV is prepared to support a reasonable allowance for internal project administration costs (e.g. 10-15% of the total project budget), proposals with administration expenses exceeding 20% of the total budget are unlikely to be viewed favourably.</w:t>
      </w:r>
    </w:p>
    <w:p w:rsidR="000452B6" w:rsidRPr="000452B6" w:rsidRDefault="000452B6" w:rsidP="000452B6">
      <w:pPr>
        <w:pStyle w:val="BodyText"/>
      </w:pPr>
      <w:r w:rsidRPr="000452B6">
        <w:t xml:space="preserve">The Program will not contribute towards the RHA’s out-of-pocket costs to obtain energy efficiency assessments and reports. </w:t>
      </w:r>
    </w:p>
    <w:p w:rsidR="000452B6" w:rsidRPr="000452B6" w:rsidRDefault="000452B6" w:rsidP="000452B6">
      <w:pPr>
        <w:pStyle w:val="BodyText"/>
      </w:pPr>
      <w:r w:rsidRPr="000452B6">
        <w:t xml:space="preserve">Depending on the response rate, not all RHAs that submit a response to the Invitation for EOI will be shortlisted and invited to apply for a grant. In general, proposals where the RHA offers to meet a greater proportion of project costs will be viewed more favourably. </w:t>
      </w:r>
    </w:p>
    <w:p w:rsidR="000452B6" w:rsidRPr="000452B6" w:rsidRDefault="000452B6" w:rsidP="000452B6">
      <w:pPr>
        <w:pStyle w:val="BodyText"/>
      </w:pPr>
      <w:r w:rsidRPr="000452B6">
        <w:t xml:space="preserve">Respondents are encouraged to explore other financial incentives that are available through other federal or state energy efficiency upgrade programs or schemes including the Victorian Government’s Victorian Energy Upgrades (VEU) Scheme. For more information see </w:t>
      </w:r>
      <w:hyperlink r:id="rId9" w:history="1">
        <w:r w:rsidR="00642050" w:rsidRPr="00C36C6C">
          <w:rPr>
            <w:rStyle w:val="Hyperlink"/>
          </w:rPr>
          <w:t>https://www.veet.vic.gov.au/Public/Public.aspx?id=Home</w:t>
        </w:r>
      </w:hyperlink>
    </w:p>
    <w:p w:rsidR="000452B6" w:rsidRPr="00511A1F" w:rsidRDefault="000452B6" w:rsidP="00511A1F">
      <w:pPr>
        <w:pStyle w:val="Heading3"/>
      </w:pPr>
      <w:bookmarkStart w:id="10" w:name="_Toc505688535"/>
      <w:r w:rsidRPr="00511A1F">
        <w:t>Who is eligible to participate?</w:t>
      </w:r>
      <w:bookmarkEnd w:id="10"/>
    </w:p>
    <w:p w:rsidR="000452B6" w:rsidRPr="000452B6" w:rsidRDefault="000452B6" w:rsidP="000452B6">
      <w:pPr>
        <w:pStyle w:val="BodyText"/>
      </w:pPr>
      <w:r w:rsidRPr="000452B6">
        <w:t>Eligibility to participate in the 2017-18 Program is limited to the following Victorian RHAs:</w:t>
      </w:r>
    </w:p>
    <w:p w:rsidR="000452B6" w:rsidRPr="000452B6" w:rsidRDefault="000452B6" w:rsidP="000452B6">
      <w:pPr>
        <w:pStyle w:val="BodyText"/>
        <w:numPr>
          <w:ilvl w:val="0"/>
          <w:numId w:val="22"/>
        </w:numPr>
      </w:pPr>
      <w:r w:rsidRPr="000452B6">
        <w:t xml:space="preserve">Registered Housing </w:t>
      </w:r>
      <w:r w:rsidRPr="00511A1F">
        <w:rPr>
          <w:b/>
        </w:rPr>
        <w:t>Associations</w:t>
      </w:r>
      <w:r w:rsidRPr="000452B6">
        <w:t>, and</w:t>
      </w:r>
    </w:p>
    <w:p w:rsidR="000452B6" w:rsidRPr="000452B6" w:rsidRDefault="000452B6" w:rsidP="000452B6">
      <w:pPr>
        <w:pStyle w:val="BodyText"/>
        <w:numPr>
          <w:ilvl w:val="0"/>
          <w:numId w:val="22"/>
        </w:numPr>
      </w:pPr>
      <w:r w:rsidRPr="000452B6">
        <w:t xml:space="preserve">Registered Housing </w:t>
      </w:r>
      <w:r w:rsidRPr="00511A1F">
        <w:rPr>
          <w:b/>
        </w:rPr>
        <w:t>Providers</w:t>
      </w:r>
      <w:r w:rsidRPr="000452B6">
        <w:t xml:space="preserve"> that own or manage at least 250 Victorian social housing properties. </w:t>
      </w:r>
    </w:p>
    <w:p w:rsidR="000452B6" w:rsidRPr="000452B6" w:rsidRDefault="000452B6" w:rsidP="000452B6">
      <w:pPr>
        <w:pStyle w:val="BodyText"/>
      </w:pPr>
      <w:r w:rsidRPr="000452B6">
        <w:t xml:space="preserve">Subject to CAV's prior approval, RHAs with smaller portfolios may participate in the EOI process provided they partner with one or more other RHAs, and together these organisations submit a proposal seeking VPF co-funding of at least $200,000 (ex GST). In such cases, the partner RHAs must submit one EOI response with the larger organisation as the lead agency. If the partnership response is shortlisted, CAV may invite an application from the lead agency as the sole applicant. If a grant is awarded, that organisation will be required to enter a funding agreement and be responsible for the delivery of the project and the performance of any of the project partners. RHAs wishing to submit a partnership proposal must seek CAV’s prior approval by no later than the end of clarification period as specified below in </w:t>
      </w:r>
      <w:hyperlink w:anchor="_Table_2_–" w:history="1">
        <w:r w:rsidR="00E2004A">
          <w:rPr>
            <w:rStyle w:val="Hyperlink"/>
          </w:rPr>
          <w:t>Table 2 - Indicative key dates</w:t>
        </w:r>
      </w:hyperlink>
      <w:r w:rsidRPr="000452B6">
        <w:t>.</w:t>
      </w:r>
    </w:p>
    <w:p w:rsidR="000452B6" w:rsidRPr="00511A1F" w:rsidRDefault="000452B6" w:rsidP="00511A1F">
      <w:pPr>
        <w:pStyle w:val="Heading3"/>
      </w:pPr>
      <w:bookmarkStart w:id="11" w:name="_Toc505688536"/>
      <w:r w:rsidRPr="00511A1F">
        <w:lastRenderedPageBreak/>
        <w:t>What will be funded?</w:t>
      </w:r>
      <w:bookmarkEnd w:id="11"/>
    </w:p>
    <w:p w:rsidR="000452B6" w:rsidRPr="000452B6" w:rsidRDefault="000452B6" w:rsidP="000452B6">
      <w:pPr>
        <w:pStyle w:val="BodyText"/>
      </w:pPr>
      <w:r w:rsidRPr="000452B6">
        <w:t>Energy efficiency improvements must be limited to social housing units or buildings that:</w:t>
      </w:r>
    </w:p>
    <w:p w:rsidR="000452B6" w:rsidRPr="000452B6" w:rsidRDefault="000452B6" w:rsidP="000452B6">
      <w:pPr>
        <w:pStyle w:val="BodyText"/>
        <w:numPr>
          <w:ilvl w:val="0"/>
          <w:numId w:val="21"/>
        </w:numPr>
      </w:pPr>
      <w:r w:rsidRPr="000452B6">
        <w:t>are owned by RHAs (or owned by the Director of Housing and managed by RHAs) and are used for housing low income or disadvantaged Victorians, and</w:t>
      </w:r>
    </w:p>
    <w:p w:rsidR="000452B6" w:rsidRPr="000452B6" w:rsidRDefault="000452B6" w:rsidP="000452B6">
      <w:pPr>
        <w:pStyle w:val="BodyText"/>
        <w:numPr>
          <w:ilvl w:val="0"/>
          <w:numId w:val="21"/>
        </w:numPr>
      </w:pPr>
      <w:r w:rsidRPr="000452B6">
        <w:t>have been assessed by a demonstrably qualified energy efficiency assessor or Victorian Government department or agency that has produced a written energy assessment report for the unit/s or building/s in question which supports the improvements proposed. Copies of these reports must be available for inspection upon request by CAV.</w:t>
      </w:r>
    </w:p>
    <w:p w:rsidR="000452B6" w:rsidRPr="000452B6" w:rsidRDefault="000452B6" w:rsidP="000452B6">
      <w:pPr>
        <w:pStyle w:val="BodyText"/>
      </w:pPr>
      <w:r w:rsidRPr="000452B6">
        <w:t>The types of energy efficiency improvements that can be funded through the Program are listed below:</w:t>
      </w:r>
    </w:p>
    <w:p w:rsidR="000452B6" w:rsidRPr="000452B6" w:rsidRDefault="000452B6" w:rsidP="000452B6">
      <w:pPr>
        <w:pStyle w:val="BodyText"/>
        <w:numPr>
          <w:ilvl w:val="0"/>
          <w:numId w:val="19"/>
        </w:numPr>
        <w:rPr>
          <w:lang w:val="en-GB"/>
        </w:rPr>
      </w:pPr>
      <w:r w:rsidRPr="000452B6">
        <w:rPr>
          <w:lang w:val="en-GB"/>
        </w:rPr>
        <w:t>Solar photovoltaic (PV) panels and related equipment</w:t>
      </w:r>
    </w:p>
    <w:p w:rsidR="000452B6" w:rsidRPr="000452B6" w:rsidRDefault="000452B6" w:rsidP="000452B6">
      <w:pPr>
        <w:pStyle w:val="BodyText"/>
        <w:numPr>
          <w:ilvl w:val="0"/>
          <w:numId w:val="19"/>
        </w:numPr>
        <w:rPr>
          <w:lang w:val="en-GB"/>
        </w:rPr>
      </w:pPr>
      <w:r w:rsidRPr="000452B6">
        <w:rPr>
          <w:lang w:val="en-GB"/>
        </w:rPr>
        <w:t>Battery storage (for new or existing solar systems)</w:t>
      </w:r>
    </w:p>
    <w:p w:rsidR="000452B6" w:rsidRPr="000452B6" w:rsidRDefault="000452B6" w:rsidP="000452B6">
      <w:pPr>
        <w:pStyle w:val="BodyText"/>
        <w:numPr>
          <w:ilvl w:val="0"/>
          <w:numId w:val="19"/>
        </w:numPr>
        <w:rPr>
          <w:lang w:val="en-GB"/>
        </w:rPr>
      </w:pPr>
      <w:r w:rsidRPr="000452B6">
        <w:rPr>
          <w:lang w:val="en-GB"/>
        </w:rPr>
        <w:t xml:space="preserve">Energy efficient hot water systems </w:t>
      </w:r>
    </w:p>
    <w:p w:rsidR="000452B6" w:rsidRPr="000452B6" w:rsidRDefault="000452B6" w:rsidP="000452B6">
      <w:pPr>
        <w:pStyle w:val="BodyText"/>
        <w:numPr>
          <w:ilvl w:val="0"/>
          <w:numId w:val="19"/>
        </w:numPr>
        <w:rPr>
          <w:lang w:val="en-GB"/>
        </w:rPr>
      </w:pPr>
      <w:r w:rsidRPr="000452B6">
        <w:rPr>
          <w:lang w:val="en-GB"/>
        </w:rPr>
        <w:t>Energy efficient lighting (ensuring that acceptable light levels are provided)</w:t>
      </w:r>
    </w:p>
    <w:p w:rsidR="000452B6" w:rsidRPr="000452B6" w:rsidRDefault="000452B6" w:rsidP="000452B6">
      <w:pPr>
        <w:pStyle w:val="BodyText"/>
        <w:numPr>
          <w:ilvl w:val="0"/>
          <w:numId w:val="19"/>
        </w:numPr>
        <w:rPr>
          <w:lang w:val="en-GB"/>
        </w:rPr>
      </w:pPr>
      <w:r w:rsidRPr="000452B6">
        <w:rPr>
          <w:lang w:val="en-GB"/>
        </w:rPr>
        <w:t xml:space="preserve">Energy efficient heating and/or cooling systems (provided that any new electrical system is coupled with solar PV) </w:t>
      </w:r>
    </w:p>
    <w:p w:rsidR="000452B6" w:rsidRPr="000452B6" w:rsidRDefault="000452B6" w:rsidP="000452B6">
      <w:pPr>
        <w:pStyle w:val="BodyText"/>
        <w:numPr>
          <w:ilvl w:val="0"/>
          <w:numId w:val="19"/>
        </w:numPr>
        <w:rPr>
          <w:lang w:val="en-GB"/>
        </w:rPr>
      </w:pPr>
      <w:r w:rsidRPr="000452B6">
        <w:rPr>
          <w:lang w:val="en-GB"/>
        </w:rPr>
        <w:t>Adding insulation</w:t>
      </w:r>
    </w:p>
    <w:p w:rsidR="000452B6" w:rsidRPr="000452B6" w:rsidRDefault="000452B6" w:rsidP="000452B6">
      <w:pPr>
        <w:pStyle w:val="BodyText"/>
        <w:numPr>
          <w:ilvl w:val="0"/>
          <w:numId w:val="19"/>
        </w:numPr>
        <w:rPr>
          <w:lang w:val="en-GB"/>
        </w:rPr>
      </w:pPr>
      <w:r w:rsidRPr="000452B6">
        <w:rPr>
          <w:lang w:val="en-GB"/>
        </w:rPr>
        <w:t>Draught-proofing (ensuring that acceptable indoor air quality is maintained, and gas safety requirements are adhered to where gas appliances are present in the home).</w:t>
      </w:r>
    </w:p>
    <w:p w:rsidR="000452B6" w:rsidRPr="00511A1F" w:rsidRDefault="000452B6" w:rsidP="00511A1F">
      <w:pPr>
        <w:pStyle w:val="Heading3"/>
      </w:pPr>
      <w:bookmarkStart w:id="12" w:name="_Toc505688537"/>
      <w:r w:rsidRPr="00511A1F">
        <w:t>What will not be funded?</w:t>
      </w:r>
      <w:bookmarkEnd w:id="12"/>
    </w:p>
    <w:p w:rsidR="000452B6" w:rsidRPr="000452B6" w:rsidRDefault="000452B6" w:rsidP="000452B6">
      <w:pPr>
        <w:pStyle w:val="BodyText"/>
      </w:pPr>
      <w:r w:rsidRPr="000452B6">
        <w:t>Works that cannot be funded under the Program include:</w:t>
      </w:r>
    </w:p>
    <w:p w:rsidR="000452B6" w:rsidRPr="000452B6" w:rsidRDefault="000452B6" w:rsidP="000452B6">
      <w:pPr>
        <w:pStyle w:val="BodyText"/>
        <w:numPr>
          <w:ilvl w:val="0"/>
          <w:numId w:val="28"/>
        </w:numPr>
        <w:rPr>
          <w:lang w:val="en-GB"/>
        </w:rPr>
      </w:pPr>
      <w:r w:rsidRPr="000452B6">
        <w:rPr>
          <w:lang w:val="en-GB"/>
        </w:rPr>
        <w:t>Improvements other than those listed in items 1 -7 above.</w:t>
      </w:r>
    </w:p>
    <w:p w:rsidR="000452B6" w:rsidRPr="000452B6" w:rsidRDefault="000452B6" w:rsidP="000452B6">
      <w:pPr>
        <w:pStyle w:val="BodyText"/>
        <w:numPr>
          <w:ilvl w:val="0"/>
          <w:numId w:val="28"/>
        </w:numPr>
        <w:rPr>
          <w:lang w:val="en-GB"/>
        </w:rPr>
      </w:pPr>
      <w:r w:rsidRPr="000452B6">
        <w:rPr>
          <w:lang w:val="en-GB"/>
        </w:rPr>
        <w:t>Energy efficient appliances (e.g. fridges, stoves, televisions)</w:t>
      </w:r>
    </w:p>
    <w:p w:rsidR="000452B6" w:rsidRPr="000452B6" w:rsidRDefault="000452B6" w:rsidP="000452B6">
      <w:pPr>
        <w:pStyle w:val="BodyText"/>
        <w:numPr>
          <w:ilvl w:val="0"/>
          <w:numId w:val="28"/>
        </w:numPr>
        <w:rPr>
          <w:lang w:val="en-GB"/>
        </w:rPr>
      </w:pPr>
      <w:r w:rsidRPr="000452B6">
        <w:rPr>
          <w:lang w:val="en-GB"/>
        </w:rPr>
        <w:t>Projects delivered outside Victoria.</w:t>
      </w:r>
    </w:p>
    <w:p w:rsidR="000452B6" w:rsidRPr="000452B6" w:rsidRDefault="000452B6" w:rsidP="000452B6">
      <w:pPr>
        <w:pStyle w:val="BodyText"/>
        <w:numPr>
          <w:ilvl w:val="0"/>
          <w:numId w:val="28"/>
        </w:numPr>
      </w:pPr>
      <w:r w:rsidRPr="000452B6">
        <w:t xml:space="preserve">Works that are already completed or underway. </w:t>
      </w:r>
    </w:p>
    <w:p w:rsidR="000452B6" w:rsidRPr="000452B6" w:rsidRDefault="000452B6" w:rsidP="000452B6">
      <w:pPr>
        <w:pStyle w:val="BodyText"/>
        <w:numPr>
          <w:ilvl w:val="0"/>
          <w:numId w:val="28"/>
        </w:numPr>
      </w:pPr>
      <w:r w:rsidRPr="000452B6">
        <w:t>Works that cannot be completed by 30 April 2019.</w:t>
      </w:r>
    </w:p>
    <w:p w:rsidR="000452B6" w:rsidRPr="000452B6" w:rsidRDefault="000452B6" w:rsidP="000452B6">
      <w:pPr>
        <w:pStyle w:val="BodyText"/>
        <w:numPr>
          <w:ilvl w:val="0"/>
          <w:numId w:val="28"/>
        </w:numPr>
      </w:pPr>
      <w:r w:rsidRPr="000452B6">
        <w:t xml:space="preserve">Works that are not supported by energy efficiency reports. </w:t>
      </w:r>
    </w:p>
    <w:p w:rsidR="000452B6" w:rsidRPr="00511A1F" w:rsidRDefault="000452B6" w:rsidP="00511A1F">
      <w:pPr>
        <w:pStyle w:val="Heading2"/>
      </w:pPr>
      <w:bookmarkStart w:id="13" w:name="_Toc498069350"/>
      <w:bookmarkStart w:id="14" w:name="_Toc505688538"/>
      <w:r w:rsidRPr="00511A1F">
        <w:t>Risks and responsibilities</w:t>
      </w:r>
      <w:bookmarkEnd w:id="13"/>
      <w:bookmarkEnd w:id="14"/>
      <w:r w:rsidRPr="00511A1F">
        <w:t xml:space="preserve"> </w:t>
      </w:r>
    </w:p>
    <w:p w:rsidR="000452B6" w:rsidRPr="000452B6" w:rsidRDefault="000452B6" w:rsidP="000452B6">
      <w:pPr>
        <w:pStyle w:val="BodyText"/>
      </w:pPr>
      <w:r w:rsidRPr="000452B6">
        <w:t>Carrying out energy efficiency improvements to residential dwellings carries potential risks, including but not limited to:</w:t>
      </w:r>
    </w:p>
    <w:p w:rsidR="000452B6" w:rsidRPr="000452B6" w:rsidRDefault="000452B6" w:rsidP="000452B6">
      <w:pPr>
        <w:pStyle w:val="BodyText"/>
        <w:numPr>
          <w:ilvl w:val="0"/>
          <w:numId w:val="27"/>
        </w:numPr>
      </w:pPr>
      <w:r w:rsidRPr="000452B6">
        <w:t>product suitability, reliability and performance risks</w:t>
      </w:r>
    </w:p>
    <w:p w:rsidR="000452B6" w:rsidRPr="000452B6" w:rsidRDefault="000452B6" w:rsidP="000452B6">
      <w:pPr>
        <w:pStyle w:val="BodyText"/>
        <w:numPr>
          <w:ilvl w:val="0"/>
          <w:numId w:val="27"/>
        </w:numPr>
      </w:pPr>
      <w:r w:rsidRPr="000452B6">
        <w:lastRenderedPageBreak/>
        <w:t>financial risks, including the risk that anticipated electricity bills savings are not realised, or that small scale renewable energy certificates are not obtained</w:t>
      </w:r>
    </w:p>
    <w:p w:rsidR="000452B6" w:rsidRPr="000452B6" w:rsidRDefault="000452B6" w:rsidP="000452B6">
      <w:pPr>
        <w:pStyle w:val="BodyText"/>
        <w:numPr>
          <w:ilvl w:val="0"/>
          <w:numId w:val="27"/>
        </w:numPr>
      </w:pPr>
      <w:r w:rsidRPr="000452B6">
        <w:t xml:space="preserve">project implementation risks, including budget overspends and time overruns </w:t>
      </w:r>
    </w:p>
    <w:p w:rsidR="000452B6" w:rsidRPr="000452B6" w:rsidRDefault="000452B6" w:rsidP="000452B6">
      <w:pPr>
        <w:pStyle w:val="BodyText"/>
        <w:numPr>
          <w:ilvl w:val="0"/>
          <w:numId w:val="27"/>
        </w:numPr>
      </w:pPr>
      <w:r w:rsidRPr="000452B6">
        <w:t>potential impacts on insurance policies and premiums</w:t>
      </w:r>
    </w:p>
    <w:p w:rsidR="000452B6" w:rsidRPr="000452B6" w:rsidRDefault="000452B6" w:rsidP="000452B6">
      <w:pPr>
        <w:pStyle w:val="BodyText"/>
        <w:numPr>
          <w:ilvl w:val="0"/>
          <w:numId w:val="27"/>
        </w:numPr>
      </w:pPr>
      <w:r w:rsidRPr="000452B6">
        <w:t>warranty risks, including the risk that the manufacturer, supplier or installer does not comply with consumer laws or goes bankrupt or insolvent</w:t>
      </w:r>
    </w:p>
    <w:p w:rsidR="000452B6" w:rsidRPr="000452B6" w:rsidRDefault="000452B6" w:rsidP="000452B6">
      <w:pPr>
        <w:pStyle w:val="BodyText"/>
        <w:numPr>
          <w:ilvl w:val="0"/>
          <w:numId w:val="27"/>
        </w:numPr>
      </w:pPr>
      <w:r w:rsidRPr="000452B6">
        <w:t>health and safety risks (including fire risk from non-compliant wiring and asbestos exposure risks).</w:t>
      </w:r>
    </w:p>
    <w:p w:rsidR="000452B6" w:rsidRPr="000452B6" w:rsidRDefault="000452B6" w:rsidP="000452B6">
      <w:pPr>
        <w:pStyle w:val="BodyText"/>
      </w:pPr>
      <w:r w:rsidRPr="000452B6">
        <w:t xml:space="preserve">Participating RHAs are required to assume all risk and responsibility for their proposed project. The Department of Justice and Regulation (DJR), CAV and the VPF in no way endorse the appropriateness of any proposed investment and are not liable for any loss suffered  as a consequence of any energy efficiency improvement project funded or part-funded through a VPF grant. </w:t>
      </w:r>
    </w:p>
    <w:p w:rsidR="000452B6" w:rsidRPr="000452B6" w:rsidRDefault="000452B6" w:rsidP="000452B6">
      <w:pPr>
        <w:pStyle w:val="BodyText"/>
      </w:pPr>
      <w:r w:rsidRPr="000452B6">
        <w:t>RHAs must satisfy themselves of the quality, standard and suitability of any product or service required for their proposed project. CAV, DJR and the VPF in no way endorse any product or service and will not be held liable for the failure of any product or service to meet claims made by the manufacturer, supplier or installer with respect to performance, quality or safety.</w:t>
      </w:r>
    </w:p>
    <w:p w:rsidR="000452B6" w:rsidRPr="000452B6" w:rsidRDefault="000452B6" w:rsidP="000452B6">
      <w:pPr>
        <w:pStyle w:val="BodyText"/>
      </w:pPr>
      <w:r w:rsidRPr="000452B6">
        <w:t>If a grant is awarded, RHAs will be required to enter a funding agreement with terms requiring that:</w:t>
      </w:r>
    </w:p>
    <w:p w:rsidR="000452B6" w:rsidRPr="000452B6" w:rsidRDefault="000452B6" w:rsidP="000452B6">
      <w:pPr>
        <w:pStyle w:val="BodyText"/>
        <w:numPr>
          <w:ilvl w:val="0"/>
          <w:numId w:val="29"/>
        </w:numPr>
      </w:pPr>
      <w:r w:rsidRPr="000452B6">
        <w:t>all works be undertaken to a high level of quality, and comply with relevant electrical safety, gas, plumbing and building codes and standards</w:t>
      </w:r>
    </w:p>
    <w:p w:rsidR="000452B6" w:rsidRPr="000452B6" w:rsidRDefault="000452B6" w:rsidP="000452B6">
      <w:pPr>
        <w:pStyle w:val="BodyText"/>
        <w:numPr>
          <w:ilvl w:val="0"/>
          <w:numId w:val="29"/>
        </w:numPr>
      </w:pPr>
      <w:r w:rsidRPr="000452B6">
        <w:t xml:space="preserve">installers be appropriately trained and qualified </w:t>
      </w:r>
    </w:p>
    <w:p w:rsidR="000452B6" w:rsidRPr="000452B6" w:rsidRDefault="000452B6" w:rsidP="000452B6">
      <w:pPr>
        <w:pStyle w:val="BodyText"/>
        <w:numPr>
          <w:ilvl w:val="0"/>
          <w:numId w:val="29"/>
        </w:numPr>
      </w:pPr>
      <w:r w:rsidRPr="000452B6">
        <w:t>high qualify materials be used that meet appropriate standards</w:t>
      </w:r>
    </w:p>
    <w:p w:rsidR="000452B6" w:rsidRPr="000452B6" w:rsidRDefault="000452B6" w:rsidP="000452B6">
      <w:pPr>
        <w:pStyle w:val="BodyText"/>
        <w:numPr>
          <w:ilvl w:val="0"/>
          <w:numId w:val="29"/>
        </w:numPr>
      </w:pPr>
      <w:r w:rsidRPr="000452B6">
        <w:t xml:space="preserve">any acts, defaults and omissions of contractors or sub-contractors be the responsibility of the RHA. </w:t>
      </w:r>
    </w:p>
    <w:p w:rsidR="000452B6" w:rsidRPr="000452B6" w:rsidRDefault="000452B6" w:rsidP="000452B6">
      <w:pPr>
        <w:pStyle w:val="BodyText"/>
      </w:pPr>
      <w:r w:rsidRPr="000452B6">
        <w:t>Applicants should be aware of the terms and conditions of the Terms of Participation, including but not limited to clauses requiring applicants to assume all liability for loss, and the requirements to be met by product suppliers, installers and other subcontractors. There are also minimum standards applicable for solar improvements.</w:t>
      </w:r>
    </w:p>
    <w:p w:rsidR="000452B6" w:rsidRPr="00511A1F" w:rsidRDefault="000452B6" w:rsidP="00511A1F">
      <w:pPr>
        <w:pStyle w:val="Heading2"/>
      </w:pPr>
      <w:bookmarkStart w:id="15" w:name="_Toc498069351"/>
      <w:bookmarkStart w:id="16" w:name="_Toc505688539"/>
      <w:r w:rsidRPr="00511A1F">
        <w:t>EOI response information requirements</w:t>
      </w:r>
      <w:bookmarkEnd w:id="15"/>
      <w:bookmarkEnd w:id="16"/>
    </w:p>
    <w:p w:rsidR="000452B6" w:rsidRPr="000452B6" w:rsidRDefault="000452B6" w:rsidP="000452B6">
      <w:pPr>
        <w:pStyle w:val="BodyText"/>
      </w:pPr>
      <w:r w:rsidRPr="000452B6">
        <w:t>RHAs should carefully read this document and the accompanying Terms of Participation to check whether they are eligible to respond.</w:t>
      </w:r>
    </w:p>
    <w:p w:rsidR="000452B6" w:rsidRPr="000452B6" w:rsidRDefault="000452B6" w:rsidP="000452B6">
      <w:pPr>
        <w:pStyle w:val="BodyText"/>
      </w:pPr>
      <w:r w:rsidRPr="000452B6">
        <w:t>RHAs are required to provide a comprehensive outline of their energy efficiency project proposal by completing the EOI Response and Certification form provided. Information required includes:</w:t>
      </w:r>
    </w:p>
    <w:p w:rsidR="000452B6" w:rsidRPr="000452B6" w:rsidRDefault="000452B6" w:rsidP="000452B6">
      <w:pPr>
        <w:pStyle w:val="BodyText"/>
        <w:numPr>
          <w:ilvl w:val="0"/>
          <w:numId w:val="20"/>
        </w:numPr>
      </w:pPr>
      <w:r w:rsidRPr="000452B6">
        <w:t xml:space="preserve">The addresses of the properties involved </w:t>
      </w:r>
    </w:p>
    <w:p w:rsidR="000452B6" w:rsidRPr="000452B6" w:rsidRDefault="000452B6" w:rsidP="000452B6">
      <w:pPr>
        <w:pStyle w:val="BodyText"/>
        <w:numPr>
          <w:ilvl w:val="0"/>
          <w:numId w:val="20"/>
        </w:numPr>
      </w:pPr>
      <w:r w:rsidRPr="000452B6">
        <w:t>A description of the type of buildings to be improved (e.g. rooming houses, stand-alone houses, small apartment blocks (10 or less units), medium apartments blocks (11 to 25 units) or large apartment blocks (over 25 units))</w:t>
      </w:r>
    </w:p>
    <w:p w:rsidR="000452B6" w:rsidRPr="000452B6" w:rsidRDefault="000452B6" w:rsidP="000452B6">
      <w:pPr>
        <w:pStyle w:val="BodyText"/>
        <w:numPr>
          <w:ilvl w:val="0"/>
          <w:numId w:val="20"/>
        </w:numPr>
      </w:pPr>
      <w:r w:rsidRPr="000452B6">
        <w:t>A description of the energy efficiency improvements proposed to be carried out on each building and the benefits expected to arise</w:t>
      </w:r>
    </w:p>
    <w:p w:rsidR="000452B6" w:rsidRPr="000452B6" w:rsidRDefault="000452B6" w:rsidP="000452B6">
      <w:pPr>
        <w:pStyle w:val="BodyText"/>
        <w:numPr>
          <w:ilvl w:val="0"/>
          <w:numId w:val="20"/>
        </w:numPr>
      </w:pPr>
      <w:r w:rsidRPr="000452B6">
        <w:rPr>
          <w:lang w:val="en-GB"/>
        </w:rPr>
        <w:lastRenderedPageBreak/>
        <w:t xml:space="preserve">A budget detailing </w:t>
      </w:r>
      <w:r w:rsidRPr="000452B6">
        <w:t>the total project cost, and details of the amount to be contributed by the RHA and the amount sought from the VPF</w:t>
      </w:r>
    </w:p>
    <w:p w:rsidR="000452B6" w:rsidRPr="000452B6" w:rsidRDefault="000452B6" w:rsidP="000452B6">
      <w:pPr>
        <w:pStyle w:val="BodyText"/>
        <w:numPr>
          <w:ilvl w:val="0"/>
          <w:numId w:val="20"/>
        </w:numPr>
      </w:pPr>
      <w:r w:rsidRPr="000452B6">
        <w:t>An estimate of the average investment payback time for the overall project, and also the simple payback period for each building</w:t>
      </w:r>
      <w:r w:rsidRPr="000452B6">
        <w:rPr>
          <w:vertAlign w:val="superscript"/>
        </w:rPr>
        <w:footnoteReference w:id="2"/>
      </w:r>
    </w:p>
    <w:p w:rsidR="000452B6" w:rsidRPr="000452B6" w:rsidRDefault="000452B6" w:rsidP="000452B6">
      <w:pPr>
        <w:pStyle w:val="BodyText"/>
        <w:numPr>
          <w:ilvl w:val="0"/>
          <w:numId w:val="20"/>
        </w:numPr>
      </w:pPr>
      <w:r w:rsidRPr="000452B6">
        <w:t>A Gantt chart setting out the major project stages and indicative timeline</w:t>
      </w:r>
    </w:p>
    <w:p w:rsidR="000452B6" w:rsidRPr="000452B6" w:rsidRDefault="000452B6" w:rsidP="000452B6">
      <w:pPr>
        <w:pStyle w:val="BodyText"/>
        <w:numPr>
          <w:ilvl w:val="0"/>
          <w:numId w:val="20"/>
        </w:numPr>
      </w:pPr>
      <w:r w:rsidRPr="000452B6">
        <w:t>Details of the RHA’s extent of readiness to commence the project, including a description of its internal resources and capacity to carry out the project and how it intends to pay for its proposed share of the project costs (i.e. whether it intends to draw down cash reserves or borrow).</w:t>
      </w:r>
    </w:p>
    <w:p w:rsidR="000452B6" w:rsidRPr="000452B6" w:rsidRDefault="000452B6" w:rsidP="000452B6">
      <w:pPr>
        <w:pStyle w:val="BodyText"/>
      </w:pPr>
      <w:r w:rsidRPr="000452B6">
        <w:t>The CEO of the Respondent organisation will be required to certify as to the accuracy of the information contained in the Response and whether any conflict of interest is involved.</w:t>
      </w:r>
    </w:p>
    <w:p w:rsidR="000452B6" w:rsidRPr="00511A1F" w:rsidRDefault="000452B6" w:rsidP="00511A1F">
      <w:pPr>
        <w:pStyle w:val="Heading2"/>
        <w:rPr>
          <w:lang w:val="en-GB"/>
        </w:rPr>
      </w:pPr>
      <w:bookmarkStart w:id="17" w:name="_Toc498069352"/>
      <w:bookmarkStart w:id="18" w:name="_Toc505688540"/>
      <w:r w:rsidRPr="00511A1F">
        <w:t xml:space="preserve">Response </w:t>
      </w:r>
      <w:r w:rsidRPr="00511A1F">
        <w:rPr>
          <w:lang w:val="en-GB"/>
        </w:rPr>
        <w:t>evaluation process and criteria</w:t>
      </w:r>
      <w:bookmarkEnd w:id="17"/>
      <w:bookmarkEnd w:id="18"/>
    </w:p>
    <w:p w:rsidR="000452B6" w:rsidRPr="000452B6" w:rsidRDefault="000452B6" w:rsidP="000452B6">
      <w:pPr>
        <w:pStyle w:val="BodyText"/>
      </w:pPr>
      <w:r w:rsidRPr="000452B6">
        <w:t xml:space="preserve">CAV will assess the EOI responses with a view to shortlisting a number of favoured proposals for further consideration at the grant application stage. </w:t>
      </w:r>
    </w:p>
    <w:p w:rsidR="000452B6" w:rsidRPr="000452B6" w:rsidRDefault="000452B6" w:rsidP="000452B6">
      <w:pPr>
        <w:pStyle w:val="BodyText"/>
      </w:pPr>
      <w:r w:rsidRPr="000452B6">
        <w:t>Responses will be assessed against the following criteria:</w:t>
      </w:r>
    </w:p>
    <w:p w:rsidR="000452B6" w:rsidRPr="00511A1F" w:rsidRDefault="000452B6" w:rsidP="00511A1F">
      <w:pPr>
        <w:pStyle w:val="Heading3"/>
      </w:pPr>
      <w:bookmarkStart w:id="19" w:name="_Toc505688541"/>
      <w:r w:rsidRPr="00511A1F">
        <w:t>Mandatory criteria</w:t>
      </w:r>
      <w:bookmarkEnd w:id="19"/>
    </w:p>
    <w:p w:rsidR="000452B6" w:rsidRPr="000452B6" w:rsidRDefault="000452B6" w:rsidP="000452B6">
      <w:pPr>
        <w:pStyle w:val="BodyText"/>
        <w:numPr>
          <w:ilvl w:val="0"/>
          <w:numId w:val="24"/>
        </w:numPr>
        <w:rPr>
          <w:i/>
        </w:rPr>
      </w:pPr>
      <w:r w:rsidRPr="00511A1F">
        <w:rPr>
          <w:b/>
        </w:rPr>
        <w:t>Registered Housing Agency status:</w:t>
      </w:r>
      <w:r w:rsidRPr="000452B6">
        <w:rPr>
          <w:i/>
        </w:rPr>
        <w:t xml:space="preserve"> </w:t>
      </w:r>
      <w:r w:rsidRPr="000452B6">
        <w:t xml:space="preserve">Respondents must be a Victorian Registered Housing Agency under Part VIII of the </w:t>
      </w:r>
      <w:r w:rsidRPr="000452B6">
        <w:rPr>
          <w:i/>
        </w:rPr>
        <w:t>Housing Act 1983</w:t>
      </w:r>
      <w:r w:rsidRPr="000452B6">
        <w:t xml:space="preserve">. All Registered Housing </w:t>
      </w:r>
      <w:r w:rsidRPr="00511A1F">
        <w:t>Associations</w:t>
      </w:r>
      <w:r w:rsidRPr="000452B6">
        <w:t xml:space="preserve"> are eligible to apply. Registered Housing </w:t>
      </w:r>
      <w:r w:rsidRPr="00511A1F">
        <w:t xml:space="preserve">Providers </w:t>
      </w:r>
      <w:r w:rsidRPr="000452B6">
        <w:t>must own or manage at least 250 properties.</w:t>
      </w:r>
    </w:p>
    <w:p w:rsidR="000452B6" w:rsidRPr="000452B6" w:rsidRDefault="000452B6" w:rsidP="000452B6">
      <w:pPr>
        <w:pStyle w:val="BodyText"/>
        <w:numPr>
          <w:ilvl w:val="0"/>
          <w:numId w:val="24"/>
        </w:numPr>
      </w:pPr>
      <w:r w:rsidRPr="00511A1F">
        <w:rPr>
          <w:b/>
        </w:rPr>
        <w:t>Projects must concern buildings whose energy efficiency has been assessed:</w:t>
      </w:r>
      <w:r w:rsidRPr="000452B6">
        <w:t xml:space="preserve"> All proposals must be supported by energy assessment reports completed by an accredited energy assessor or Government department or agency. The proposed improvements must be based on the assessment results. Copies of the reports must be available for inspection by CAV if requested. </w:t>
      </w:r>
    </w:p>
    <w:p w:rsidR="000452B6" w:rsidRPr="000452B6" w:rsidRDefault="000452B6" w:rsidP="000452B6">
      <w:pPr>
        <w:pStyle w:val="BodyText"/>
        <w:numPr>
          <w:ilvl w:val="0"/>
          <w:numId w:val="24"/>
        </w:numPr>
      </w:pPr>
      <w:r w:rsidRPr="00511A1F">
        <w:rPr>
          <w:b/>
        </w:rPr>
        <w:t>Minimum financial contribution:</w:t>
      </w:r>
      <w:r w:rsidRPr="000452B6">
        <w:t xml:space="preserve"> The RHA must meet the majority (&gt;50%) of project costs.</w:t>
      </w:r>
    </w:p>
    <w:p w:rsidR="000452B6" w:rsidRPr="000452B6" w:rsidRDefault="000452B6" w:rsidP="000452B6">
      <w:pPr>
        <w:pStyle w:val="BodyText"/>
        <w:numPr>
          <w:ilvl w:val="0"/>
          <w:numId w:val="24"/>
        </w:numPr>
      </w:pPr>
      <w:r w:rsidRPr="00511A1F">
        <w:rPr>
          <w:b/>
        </w:rPr>
        <w:t xml:space="preserve">Ability to meet program timeframes: </w:t>
      </w:r>
      <w:r w:rsidRPr="000452B6">
        <w:t>All works are required to be completed by 30 April 2019, with all funding claimed and grants acquitted by mid-June 2019.</w:t>
      </w:r>
    </w:p>
    <w:p w:rsidR="000452B6" w:rsidRPr="00511A1F" w:rsidRDefault="000452B6" w:rsidP="00511A1F">
      <w:pPr>
        <w:pStyle w:val="Heading3"/>
      </w:pPr>
      <w:bookmarkStart w:id="20" w:name="_Toc505688542"/>
      <w:r w:rsidRPr="00511A1F">
        <w:t>Comparative criteria (weighted)</w:t>
      </w:r>
      <w:bookmarkEnd w:id="20"/>
    </w:p>
    <w:p w:rsidR="000452B6" w:rsidRPr="000452B6" w:rsidRDefault="000452B6" w:rsidP="000452B6">
      <w:pPr>
        <w:pStyle w:val="BodyText"/>
        <w:numPr>
          <w:ilvl w:val="0"/>
          <w:numId w:val="24"/>
        </w:numPr>
      </w:pPr>
      <w:r w:rsidRPr="00511A1F">
        <w:rPr>
          <w:b/>
        </w:rPr>
        <w:t>Proposals providing higher value-for-money (45%):</w:t>
      </w:r>
      <w:r w:rsidRPr="000452B6">
        <w:t xml:space="preserve"> Relevant considerations include:</w:t>
      </w:r>
    </w:p>
    <w:p w:rsidR="000452B6" w:rsidRPr="000452B6" w:rsidRDefault="000452B6" w:rsidP="000452B6">
      <w:pPr>
        <w:pStyle w:val="BodyText"/>
        <w:numPr>
          <w:ilvl w:val="1"/>
          <w:numId w:val="25"/>
        </w:numPr>
      </w:pPr>
      <w:r w:rsidRPr="000452B6">
        <w:lastRenderedPageBreak/>
        <w:t>the extent of leverage of the VPF contribution (proposals that involve the RHA meeting a higher proportion of project costs will be viewed more favourably)</w:t>
      </w:r>
    </w:p>
    <w:p w:rsidR="000452B6" w:rsidRPr="000452B6" w:rsidRDefault="000452B6" w:rsidP="000452B6">
      <w:pPr>
        <w:pStyle w:val="BodyText"/>
        <w:numPr>
          <w:ilvl w:val="1"/>
          <w:numId w:val="25"/>
        </w:numPr>
      </w:pPr>
      <w:r w:rsidRPr="000452B6">
        <w:t xml:space="preserve">the relative proportion of RHA internal administration costs to total project costs (proposals with a lower proportion of administration costs will be viewed more favourably)  </w:t>
      </w:r>
    </w:p>
    <w:p w:rsidR="000452B6" w:rsidRPr="000452B6" w:rsidRDefault="000452B6" w:rsidP="000452B6">
      <w:pPr>
        <w:pStyle w:val="BodyText"/>
        <w:numPr>
          <w:ilvl w:val="1"/>
          <w:numId w:val="25"/>
        </w:numPr>
      </w:pPr>
      <w:r w:rsidRPr="000452B6">
        <w:t xml:space="preserve">the </w:t>
      </w:r>
      <w:r w:rsidRPr="00511A1F">
        <w:t>Average Payback Period for the Project</w:t>
      </w:r>
      <w:r w:rsidRPr="00511A1F">
        <w:rPr>
          <w:vertAlign w:val="superscript"/>
        </w:rPr>
        <w:footnoteReference w:id="3"/>
      </w:r>
      <w:r w:rsidRPr="000452B6">
        <w:t xml:space="preserve"> (proposals with an average of 10 years or less will be viewed more favourably)</w:t>
      </w:r>
    </w:p>
    <w:p w:rsidR="000452B6" w:rsidRPr="000452B6" w:rsidRDefault="000452B6" w:rsidP="000452B6">
      <w:pPr>
        <w:pStyle w:val="BodyText"/>
        <w:numPr>
          <w:ilvl w:val="1"/>
          <w:numId w:val="25"/>
        </w:numPr>
      </w:pPr>
      <w:r w:rsidRPr="000452B6">
        <w:t>the extent the project is aligned with Program objectives or is considered likely to deliver broader social or environmental benefits.</w:t>
      </w:r>
    </w:p>
    <w:p w:rsidR="000452B6" w:rsidRPr="000452B6" w:rsidRDefault="000452B6" w:rsidP="000452B6">
      <w:pPr>
        <w:pStyle w:val="BodyText"/>
        <w:numPr>
          <w:ilvl w:val="0"/>
          <w:numId w:val="24"/>
        </w:numPr>
      </w:pPr>
      <w:r w:rsidRPr="00511A1F">
        <w:rPr>
          <w:b/>
        </w:rPr>
        <w:t>Project methodology (25%):</w:t>
      </w:r>
      <w:r w:rsidRPr="000452B6">
        <w:t xml:space="preserve"> Extent the Respondent demonstrates sound project planning and processes, including risk management.</w:t>
      </w:r>
    </w:p>
    <w:p w:rsidR="000452B6" w:rsidRPr="000452B6" w:rsidRDefault="000452B6" w:rsidP="000452B6">
      <w:pPr>
        <w:pStyle w:val="BodyText"/>
        <w:numPr>
          <w:ilvl w:val="0"/>
          <w:numId w:val="24"/>
        </w:numPr>
      </w:pPr>
      <w:r w:rsidRPr="00FE2AA4">
        <w:rPr>
          <w:b/>
        </w:rPr>
        <w:t>Capacity and readiness (20%):</w:t>
      </w:r>
      <w:r w:rsidRPr="000452B6">
        <w:t xml:space="preserve"> Extent the Respondent demonstrates capacity and readiness to successfully complete the project.</w:t>
      </w:r>
    </w:p>
    <w:p w:rsidR="000452B6" w:rsidRPr="000452B6" w:rsidRDefault="000452B6" w:rsidP="000452B6">
      <w:pPr>
        <w:pStyle w:val="BodyText"/>
        <w:numPr>
          <w:ilvl w:val="0"/>
          <w:numId w:val="24"/>
        </w:numPr>
      </w:pPr>
      <w:r w:rsidRPr="00FE2AA4">
        <w:rPr>
          <w:b/>
        </w:rPr>
        <w:t>Preference for larger value proposals (10%):</w:t>
      </w:r>
      <w:r w:rsidRPr="000452B6">
        <w:t xml:space="preserve"> Larger proposals will be viewed more favourably (e.g. those seeking VPF co-funding of $200,000 (ex GST) or more). </w:t>
      </w:r>
    </w:p>
    <w:p w:rsidR="000452B6" w:rsidRPr="00FE2AA4" w:rsidRDefault="000452B6" w:rsidP="00FE2AA4">
      <w:pPr>
        <w:pStyle w:val="Heading3"/>
      </w:pPr>
      <w:bookmarkStart w:id="21" w:name="_Toc505688543"/>
      <w:r w:rsidRPr="00FE2AA4">
        <w:t>Other considerations</w:t>
      </w:r>
      <w:bookmarkEnd w:id="21"/>
    </w:p>
    <w:p w:rsidR="000452B6" w:rsidRPr="000452B6" w:rsidRDefault="000452B6" w:rsidP="000452B6">
      <w:pPr>
        <w:pStyle w:val="BodyText"/>
      </w:pPr>
      <w:r w:rsidRPr="000452B6">
        <w:t>When shortlisting proposals, CAV may also consider broader Program objectives, including sector educational and capacity-building objectives. In this regard CAV’s objective is to fund:</w:t>
      </w:r>
    </w:p>
    <w:p w:rsidR="000452B6" w:rsidRPr="000452B6" w:rsidRDefault="000452B6" w:rsidP="000452B6">
      <w:pPr>
        <w:pStyle w:val="BodyText"/>
        <w:numPr>
          <w:ilvl w:val="0"/>
          <w:numId w:val="26"/>
        </w:numPr>
      </w:pPr>
      <w:r w:rsidRPr="000452B6">
        <w:t>a number of RHAs in order to build internal organisational skills and capacity across a range of RHAs</w:t>
      </w:r>
    </w:p>
    <w:p w:rsidR="000452B6" w:rsidRPr="000452B6" w:rsidRDefault="000452B6" w:rsidP="000452B6">
      <w:pPr>
        <w:pStyle w:val="BodyText"/>
        <w:numPr>
          <w:ilvl w:val="0"/>
          <w:numId w:val="26"/>
        </w:numPr>
      </w:pPr>
      <w:r w:rsidRPr="000452B6">
        <w:t>projects involving a range of social housing types, so that project outcomes and learnings can be captured in case studies to be made available to the sector, and</w:t>
      </w:r>
    </w:p>
    <w:p w:rsidR="000452B6" w:rsidRPr="000452B6" w:rsidRDefault="000452B6" w:rsidP="000452B6">
      <w:pPr>
        <w:pStyle w:val="BodyText"/>
        <w:numPr>
          <w:ilvl w:val="0"/>
          <w:numId w:val="26"/>
        </w:numPr>
      </w:pPr>
      <w:r w:rsidRPr="000452B6">
        <w:t xml:space="preserve">projects that combine solar PV with other energy efficiency improvements. </w:t>
      </w:r>
    </w:p>
    <w:p w:rsidR="000452B6" w:rsidRPr="000452B6" w:rsidRDefault="000452B6" w:rsidP="000452B6">
      <w:pPr>
        <w:pStyle w:val="BodyText"/>
      </w:pPr>
      <w:r w:rsidRPr="000452B6">
        <w:t xml:space="preserve">CAV is not bound to pursue the lowest priced proposal, nor any proposal. CAV reserves the right to negotiate the terms of any proposal.  </w:t>
      </w:r>
    </w:p>
    <w:p w:rsidR="000452B6" w:rsidRPr="000452B6" w:rsidRDefault="000452B6" w:rsidP="000452B6">
      <w:pPr>
        <w:pStyle w:val="BodyText"/>
      </w:pPr>
      <w:r w:rsidRPr="000452B6">
        <w:t xml:space="preserve">Following completion of the Response evaluation process, CAV will notify all Respondents of the outcome by email, including whether a Response has been shortlisted. </w:t>
      </w:r>
    </w:p>
    <w:p w:rsidR="000452B6" w:rsidRPr="000452B6" w:rsidRDefault="000452B6" w:rsidP="000452B6">
      <w:pPr>
        <w:pStyle w:val="BodyText"/>
      </w:pPr>
      <w:r w:rsidRPr="000452B6">
        <w:t>If the RHA’s response is shortlisted, CAV may, at its sole discretion, invite the Respondent to formally apply for a VPF grant. For more information about the VPF grants application process, please see the Consumer Affairs Victoria website (</w:t>
      </w:r>
      <w:hyperlink r:id="rId10" w:history="1">
        <w:r w:rsidRPr="000452B6">
          <w:rPr>
            <w:rStyle w:val="Hyperlink"/>
          </w:rPr>
          <w:t>www.consumer.vic.gov.au/grants</w:t>
        </w:r>
      </w:hyperlink>
      <w:r w:rsidRPr="000452B6">
        <w:t>).</w:t>
      </w:r>
    </w:p>
    <w:p w:rsidR="000452B6" w:rsidRPr="000452B6" w:rsidRDefault="000452B6" w:rsidP="00FE2AA4">
      <w:pPr>
        <w:pStyle w:val="Heading2"/>
      </w:pPr>
      <w:bookmarkStart w:id="22" w:name="_Toc498069353"/>
      <w:bookmarkStart w:id="23" w:name="_Toc505688544"/>
      <w:r w:rsidRPr="000452B6">
        <w:lastRenderedPageBreak/>
        <w:t>Response documentation and submission process</w:t>
      </w:r>
      <w:bookmarkEnd w:id="22"/>
      <w:bookmarkEnd w:id="23"/>
    </w:p>
    <w:p w:rsidR="000452B6" w:rsidRPr="000452B6" w:rsidRDefault="000452B6" w:rsidP="000452B6">
      <w:pPr>
        <w:pStyle w:val="BodyText"/>
      </w:pPr>
      <w:r w:rsidRPr="000452B6">
        <w:t xml:space="preserve">To submit a Response, eligible RHAs are required to complete and return the Response and Certification form. A copy of the form can be downloaded from the CAV website. </w:t>
      </w:r>
      <w:hyperlink r:id="rId11" w:history="1">
        <w:r w:rsidRPr="000452B6">
          <w:rPr>
            <w:rStyle w:val="Hyperlink"/>
          </w:rPr>
          <w:t>www.consumer.vic.gov.au/vpfsustainablehousinground</w:t>
        </w:r>
      </w:hyperlink>
    </w:p>
    <w:p w:rsidR="000452B6" w:rsidRPr="000452B6" w:rsidRDefault="000452B6" w:rsidP="000452B6">
      <w:pPr>
        <w:pStyle w:val="BodyText"/>
      </w:pPr>
      <w:r w:rsidRPr="000452B6">
        <w:t>Respondents are required to provide one (1) digital scanned copy of the completed, signed and dated Response and Certification form in accordance with the submission requirements set out below. Unsigned copies will not be accepted.</w:t>
      </w:r>
    </w:p>
    <w:p w:rsidR="000452B6" w:rsidRPr="000452B6" w:rsidRDefault="000452B6" w:rsidP="000452B6">
      <w:pPr>
        <w:pStyle w:val="BodyText"/>
      </w:pPr>
      <w:r w:rsidRPr="000452B6">
        <w:t xml:space="preserve">If requested by CAV, Respondents may also be required to provide additional documentary evidence to support their Response, including copies of energy assessment reports. The completed and signed Response and Certification form (and any additional supporting documentation requested by CAV) will be the material assessed. </w:t>
      </w:r>
    </w:p>
    <w:p w:rsidR="000452B6" w:rsidRPr="00FE2AA4" w:rsidRDefault="000452B6" w:rsidP="00FE2AA4">
      <w:pPr>
        <w:pStyle w:val="Heading3"/>
      </w:pPr>
      <w:bookmarkStart w:id="24" w:name="_Toc505688545"/>
      <w:r w:rsidRPr="00FE2AA4">
        <w:t xml:space="preserve">Table 1 – Response </w:t>
      </w:r>
      <w:r w:rsidR="00E2004A">
        <w:t>s</w:t>
      </w:r>
      <w:r w:rsidRPr="00FE2AA4">
        <w:t xml:space="preserve">ubmission </w:t>
      </w:r>
      <w:r w:rsidR="00E2004A">
        <w:t>r</w:t>
      </w:r>
      <w:r w:rsidRPr="00FE2AA4">
        <w:t>equirements</w:t>
      </w:r>
      <w:bookmarkEnd w:id="24"/>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547"/>
        <w:gridCol w:w="5749"/>
      </w:tblGrid>
      <w:tr w:rsidR="000452B6" w:rsidRPr="000452B6" w:rsidTr="00B67B26">
        <w:trPr>
          <w:trHeight w:val="518"/>
        </w:trPr>
        <w:tc>
          <w:tcPr>
            <w:tcW w:w="2547" w:type="dxa"/>
          </w:tcPr>
          <w:p w:rsidR="000452B6" w:rsidRPr="000452B6" w:rsidRDefault="000452B6" w:rsidP="00FE2AA4">
            <w:pPr>
              <w:pStyle w:val="TableText"/>
            </w:pPr>
            <w:r w:rsidRPr="000452B6">
              <w:t>Email addressed to:</w:t>
            </w:r>
          </w:p>
        </w:tc>
        <w:tc>
          <w:tcPr>
            <w:tcW w:w="5749" w:type="dxa"/>
          </w:tcPr>
          <w:p w:rsidR="000452B6" w:rsidRPr="000452B6" w:rsidRDefault="00EB7CE7" w:rsidP="00FE2AA4">
            <w:pPr>
              <w:pStyle w:val="TableText"/>
            </w:pPr>
            <w:hyperlink r:id="rId12" w:history="1">
              <w:r w:rsidR="000452B6" w:rsidRPr="000452B6">
                <w:rPr>
                  <w:rStyle w:val="Hyperlink"/>
                  <w:lang w:val="en"/>
                </w:rPr>
                <w:t>vpf.grant.enquiries@justice.vic.gov.au</w:t>
              </w:r>
            </w:hyperlink>
          </w:p>
        </w:tc>
      </w:tr>
      <w:tr w:rsidR="000452B6" w:rsidRPr="000452B6" w:rsidTr="00B67B26">
        <w:trPr>
          <w:trHeight w:val="518"/>
        </w:trPr>
        <w:tc>
          <w:tcPr>
            <w:tcW w:w="2547" w:type="dxa"/>
          </w:tcPr>
          <w:p w:rsidR="000452B6" w:rsidRPr="000452B6" w:rsidRDefault="000452B6" w:rsidP="00FE2AA4">
            <w:pPr>
              <w:pStyle w:val="TableText"/>
            </w:pPr>
            <w:r w:rsidRPr="000452B6">
              <w:t>Email reference:</w:t>
            </w:r>
          </w:p>
        </w:tc>
        <w:tc>
          <w:tcPr>
            <w:tcW w:w="5749" w:type="dxa"/>
          </w:tcPr>
          <w:p w:rsidR="000452B6" w:rsidRPr="000452B6" w:rsidRDefault="000452B6" w:rsidP="00FE2AA4">
            <w:pPr>
              <w:pStyle w:val="TableText"/>
            </w:pPr>
            <w:r w:rsidRPr="000452B6">
              <w:t>“(Your organisation’s name) – Response for VPF Sustainable Housing Funding Round”</w:t>
            </w:r>
          </w:p>
        </w:tc>
      </w:tr>
      <w:tr w:rsidR="000452B6" w:rsidRPr="000452B6" w:rsidTr="00B67B26">
        <w:trPr>
          <w:trHeight w:val="279"/>
        </w:trPr>
        <w:tc>
          <w:tcPr>
            <w:tcW w:w="2547" w:type="dxa"/>
          </w:tcPr>
          <w:p w:rsidR="000452B6" w:rsidRPr="000452B6" w:rsidRDefault="000452B6" w:rsidP="00FE2AA4">
            <w:pPr>
              <w:pStyle w:val="TableText"/>
            </w:pPr>
            <w:r w:rsidRPr="000452B6">
              <w:t>Format of digital copy of Response:</w:t>
            </w:r>
          </w:p>
        </w:tc>
        <w:tc>
          <w:tcPr>
            <w:tcW w:w="5749" w:type="dxa"/>
          </w:tcPr>
          <w:p w:rsidR="000452B6" w:rsidRPr="000452B6" w:rsidRDefault="000452B6" w:rsidP="00FE2AA4">
            <w:pPr>
              <w:pStyle w:val="TableText"/>
            </w:pPr>
            <w:r w:rsidRPr="000452B6">
              <w:t xml:space="preserve">MS Word or PDF </w:t>
            </w:r>
          </w:p>
        </w:tc>
      </w:tr>
      <w:tr w:rsidR="000452B6" w:rsidRPr="000452B6" w:rsidTr="00B67B26">
        <w:trPr>
          <w:trHeight w:val="279"/>
        </w:trPr>
        <w:tc>
          <w:tcPr>
            <w:tcW w:w="2547" w:type="dxa"/>
          </w:tcPr>
          <w:p w:rsidR="000452B6" w:rsidRPr="000452B6" w:rsidRDefault="000452B6" w:rsidP="00FE2AA4">
            <w:pPr>
              <w:pStyle w:val="TableText"/>
            </w:pPr>
            <w:r w:rsidRPr="000452B6">
              <w:t>Emails with attached Response to be received by CAV no later than:</w:t>
            </w:r>
          </w:p>
        </w:tc>
        <w:tc>
          <w:tcPr>
            <w:tcW w:w="5749" w:type="dxa"/>
          </w:tcPr>
          <w:p w:rsidR="000452B6" w:rsidRPr="000452B6" w:rsidRDefault="000452B6" w:rsidP="00FE2AA4">
            <w:pPr>
              <w:pStyle w:val="TableText"/>
            </w:pPr>
            <w:r w:rsidRPr="000452B6">
              <w:rPr>
                <w:iCs/>
              </w:rPr>
              <w:t>5</w:t>
            </w:r>
            <w:r w:rsidR="00FE2AA4">
              <w:rPr>
                <w:iCs/>
              </w:rPr>
              <w:t>:00</w:t>
            </w:r>
            <w:r w:rsidRPr="000452B6">
              <w:rPr>
                <w:iCs/>
              </w:rPr>
              <w:t>pm</w:t>
            </w:r>
            <w:r w:rsidR="00FE2AA4">
              <w:rPr>
                <w:iCs/>
              </w:rPr>
              <w:t>,</w:t>
            </w:r>
            <w:r w:rsidRPr="000452B6">
              <w:rPr>
                <w:iCs/>
              </w:rPr>
              <w:t xml:space="preserve"> Friday 23 March </w:t>
            </w:r>
            <w:r w:rsidRPr="000452B6">
              <w:t>2018</w:t>
            </w:r>
          </w:p>
        </w:tc>
      </w:tr>
    </w:tbl>
    <w:p w:rsidR="000452B6" w:rsidRPr="00FE2AA4" w:rsidRDefault="000452B6" w:rsidP="00FE2AA4">
      <w:pPr>
        <w:pStyle w:val="Heading3"/>
      </w:pPr>
      <w:bookmarkStart w:id="25" w:name="_Table_2_–"/>
      <w:bookmarkStart w:id="26" w:name="_Toc505688546"/>
      <w:bookmarkEnd w:id="25"/>
      <w:r w:rsidRPr="00FE2AA4">
        <w:t xml:space="preserve">Table 2 – Indicative </w:t>
      </w:r>
      <w:r w:rsidR="00E2004A">
        <w:t>k</w:t>
      </w:r>
      <w:r w:rsidRPr="00FE2AA4">
        <w:t xml:space="preserve">ey </w:t>
      </w:r>
      <w:r w:rsidR="00E2004A">
        <w:t>d</w:t>
      </w:r>
      <w:r w:rsidRPr="00FE2AA4">
        <w:t>ates</w:t>
      </w:r>
      <w:bookmarkEnd w:id="26"/>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00"/>
        <w:gridCol w:w="5028"/>
      </w:tblGrid>
      <w:tr w:rsidR="000452B6" w:rsidRPr="00FE2AA4" w:rsidTr="00FE2AA4">
        <w:trPr>
          <w:cantSplit/>
        </w:trPr>
        <w:tc>
          <w:tcPr>
            <w:tcW w:w="2389" w:type="pct"/>
            <w:shd w:val="clear" w:color="auto" w:fill="D9D9D9"/>
            <w:hideMark/>
          </w:tcPr>
          <w:p w:rsidR="000452B6" w:rsidRPr="00FE2AA4" w:rsidRDefault="000452B6" w:rsidP="00FE2AA4">
            <w:pPr>
              <w:pStyle w:val="TableText"/>
              <w:rPr>
                <w:b/>
              </w:rPr>
            </w:pPr>
            <w:r w:rsidRPr="00FE2AA4">
              <w:rPr>
                <w:b/>
              </w:rPr>
              <w:t>Milestone</w:t>
            </w:r>
          </w:p>
        </w:tc>
        <w:tc>
          <w:tcPr>
            <w:tcW w:w="2611" w:type="pct"/>
            <w:shd w:val="clear" w:color="auto" w:fill="D9D9D9"/>
            <w:hideMark/>
          </w:tcPr>
          <w:p w:rsidR="000452B6" w:rsidRPr="00FE2AA4" w:rsidRDefault="000452B6" w:rsidP="00FE2AA4">
            <w:pPr>
              <w:pStyle w:val="TableText"/>
              <w:rPr>
                <w:b/>
              </w:rPr>
            </w:pPr>
            <w:r w:rsidRPr="00FE2AA4">
              <w:rPr>
                <w:b/>
              </w:rPr>
              <w:t>Date</w:t>
            </w:r>
          </w:p>
        </w:tc>
      </w:tr>
      <w:tr w:rsidR="000452B6" w:rsidRPr="000452B6" w:rsidTr="00B67B26">
        <w:trPr>
          <w:cantSplit/>
        </w:trPr>
        <w:tc>
          <w:tcPr>
            <w:tcW w:w="2389" w:type="pct"/>
            <w:hideMark/>
          </w:tcPr>
          <w:p w:rsidR="000452B6" w:rsidRPr="000452B6" w:rsidRDefault="000452B6" w:rsidP="00FE2AA4">
            <w:pPr>
              <w:pStyle w:val="TableText"/>
            </w:pPr>
            <w:r w:rsidRPr="000452B6">
              <w:t xml:space="preserve">Release of Invitation for EOI </w:t>
            </w:r>
          </w:p>
        </w:tc>
        <w:tc>
          <w:tcPr>
            <w:tcW w:w="2611" w:type="pct"/>
            <w:hideMark/>
          </w:tcPr>
          <w:p w:rsidR="000452B6" w:rsidRPr="000452B6" w:rsidRDefault="000452B6" w:rsidP="00FE2AA4">
            <w:pPr>
              <w:pStyle w:val="TableText"/>
            </w:pPr>
            <w:r w:rsidRPr="000452B6">
              <w:t>5 February 2018</w:t>
            </w:r>
          </w:p>
        </w:tc>
      </w:tr>
      <w:tr w:rsidR="000452B6" w:rsidRPr="000452B6" w:rsidTr="00B67B26">
        <w:trPr>
          <w:cantSplit/>
          <w:trHeight w:val="217"/>
        </w:trPr>
        <w:tc>
          <w:tcPr>
            <w:tcW w:w="2389" w:type="pct"/>
          </w:tcPr>
          <w:p w:rsidR="000452B6" w:rsidRPr="000452B6" w:rsidRDefault="000452B6" w:rsidP="00FE2AA4">
            <w:pPr>
              <w:pStyle w:val="TableText"/>
            </w:pPr>
            <w:r w:rsidRPr="000452B6">
              <w:t xml:space="preserve">End of clarification period </w:t>
            </w:r>
          </w:p>
        </w:tc>
        <w:tc>
          <w:tcPr>
            <w:tcW w:w="2611" w:type="pct"/>
          </w:tcPr>
          <w:p w:rsidR="000452B6" w:rsidRPr="000452B6" w:rsidRDefault="000452B6" w:rsidP="00FE2AA4">
            <w:pPr>
              <w:pStyle w:val="TableText"/>
            </w:pPr>
            <w:r w:rsidRPr="000452B6">
              <w:t>9 March 2018</w:t>
            </w:r>
          </w:p>
        </w:tc>
      </w:tr>
      <w:tr w:rsidR="000452B6" w:rsidRPr="000452B6" w:rsidTr="00B67B26">
        <w:tblPrEx>
          <w:tblLook w:val="0000" w:firstRow="0" w:lastRow="0" w:firstColumn="0" w:lastColumn="0" w:noHBand="0" w:noVBand="0"/>
        </w:tblPrEx>
        <w:trPr>
          <w:trHeight w:val="279"/>
        </w:trPr>
        <w:tc>
          <w:tcPr>
            <w:tcW w:w="2389" w:type="pct"/>
          </w:tcPr>
          <w:p w:rsidR="000452B6" w:rsidRPr="000452B6" w:rsidRDefault="000452B6" w:rsidP="00FE2AA4">
            <w:pPr>
              <w:pStyle w:val="TableText"/>
            </w:pPr>
            <w:r w:rsidRPr="000452B6">
              <w:t>Response closing time and date</w:t>
            </w:r>
          </w:p>
        </w:tc>
        <w:tc>
          <w:tcPr>
            <w:tcW w:w="2611" w:type="pct"/>
          </w:tcPr>
          <w:p w:rsidR="000452B6" w:rsidRPr="000452B6" w:rsidRDefault="000452B6" w:rsidP="00FE2AA4">
            <w:pPr>
              <w:pStyle w:val="TableText"/>
            </w:pPr>
            <w:r w:rsidRPr="000452B6">
              <w:t>5</w:t>
            </w:r>
            <w:r w:rsidR="00FE2AA4">
              <w:t>:00</w:t>
            </w:r>
            <w:r w:rsidRPr="000452B6">
              <w:t>pm</w:t>
            </w:r>
            <w:r w:rsidR="00FE2AA4">
              <w:t>,</w:t>
            </w:r>
            <w:r w:rsidRPr="000452B6">
              <w:t xml:space="preserve"> Friday 23 March 2018</w:t>
            </w:r>
          </w:p>
        </w:tc>
      </w:tr>
      <w:tr w:rsidR="000452B6" w:rsidRPr="000452B6" w:rsidTr="00B67B26">
        <w:trPr>
          <w:cantSplit/>
        </w:trPr>
        <w:tc>
          <w:tcPr>
            <w:tcW w:w="2389" w:type="pct"/>
          </w:tcPr>
          <w:p w:rsidR="000452B6" w:rsidRPr="000452B6" w:rsidRDefault="000452B6" w:rsidP="00FE2AA4">
            <w:pPr>
              <w:pStyle w:val="TableText"/>
            </w:pPr>
            <w:r w:rsidRPr="000452B6">
              <w:t xml:space="preserve">Respondents notified whether their response is shortlisted </w:t>
            </w:r>
          </w:p>
        </w:tc>
        <w:tc>
          <w:tcPr>
            <w:tcW w:w="2611" w:type="pct"/>
          </w:tcPr>
          <w:p w:rsidR="000452B6" w:rsidRPr="000452B6" w:rsidRDefault="000452B6" w:rsidP="00FE2AA4">
            <w:pPr>
              <w:pStyle w:val="TableText"/>
            </w:pPr>
            <w:r w:rsidRPr="000452B6">
              <w:t>16 April 2018</w:t>
            </w:r>
          </w:p>
        </w:tc>
      </w:tr>
      <w:tr w:rsidR="000452B6" w:rsidRPr="000452B6" w:rsidTr="00B67B26">
        <w:trPr>
          <w:cantSplit/>
        </w:trPr>
        <w:tc>
          <w:tcPr>
            <w:tcW w:w="2389" w:type="pct"/>
          </w:tcPr>
          <w:p w:rsidR="000452B6" w:rsidRPr="000452B6" w:rsidDel="00633084" w:rsidRDefault="000452B6" w:rsidP="00FE2AA4">
            <w:pPr>
              <w:pStyle w:val="TableText"/>
            </w:pPr>
            <w:r w:rsidRPr="000452B6">
              <w:t>Grant application closing time and date</w:t>
            </w:r>
          </w:p>
        </w:tc>
        <w:tc>
          <w:tcPr>
            <w:tcW w:w="2611" w:type="pct"/>
          </w:tcPr>
          <w:p w:rsidR="000452B6" w:rsidRPr="000452B6" w:rsidDel="000A28F5" w:rsidRDefault="000452B6" w:rsidP="00FE2AA4">
            <w:pPr>
              <w:pStyle w:val="TableText"/>
            </w:pPr>
            <w:r w:rsidRPr="000452B6">
              <w:t>5</w:t>
            </w:r>
            <w:r w:rsidR="00FE2AA4">
              <w:t>:00</w:t>
            </w:r>
            <w:r w:rsidRPr="000452B6">
              <w:t>pm</w:t>
            </w:r>
            <w:r w:rsidR="00FE2AA4">
              <w:t>,</w:t>
            </w:r>
            <w:r w:rsidRPr="000452B6">
              <w:t xml:space="preserve"> Friday 20 April 2018</w:t>
            </w:r>
          </w:p>
        </w:tc>
      </w:tr>
      <w:tr w:rsidR="000452B6" w:rsidRPr="000452B6" w:rsidTr="00B67B26">
        <w:trPr>
          <w:cantSplit/>
        </w:trPr>
        <w:tc>
          <w:tcPr>
            <w:tcW w:w="2389" w:type="pct"/>
          </w:tcPr>
          <w:p w:rsidR="000452B6" w:rsidRPr="000452B6" w:rsidRDefault="000452B6" w:rsidP="00FE2AA4">
            <w:pPr>
              <w:pStyle w:val="TableText"/>
            </w:pPr>
            <w:r w:rsidRPr="000452B6">
              <w:lastRenderedPageBreak/>
              <w:t xml:space="preserve">Ministerial decisions on applications </w:t>
            </w:r>
          </w:p>
        </w:tc>
        <w:tc>
          <w:tcPr>
            <w:tcW w:w="2611" w:type="pct"/>
          </w:tcPr>
          <w:p w:rsidR="000452B6" w:rsidRPr="000452B6" w:rsidRDefault="000452B6" w:rsidP="00FE2AA4">
            <w:pPr>
              <w:pStyle w:val="TableText"/>
            </w:pPr>
            <w:r w:rsidRPr="000452B6">
              <w:t>May 2018</w:t>
            </w:r>
          </w:p>
        </w:tc>
      </w:tr>
      <w:tr w:rsidR="000452B6" w:rsidRPr="000452B6" w:rsidTr="00B67B26">
        <w:trPr>
          <w:cantSplit/>
        </w:trPr>
        <w:tc>
          <w:tcPr>
            <w:tcW w:w="2389" w:type="pct"/>
          </w:tcPr>
          <w:p w:rsidR="000452B6" w:rsidRPr="000452B6" w:rsidRDefault="000452B6" w:rsidP="00FE2AA4">
            <w:pPr>
              <w:pStyle w:val="TableText"/>
            </w:pPr>
            <w:r w:rsidRPr="000452B6">
              <w:t>Execution of funding agreements</w:t>
            </w:r>
          </w:p>
        </w:tc>
        <w:tc>
          <w:tcPr>
            <w:tcW w:w="2611" w:type="pct"/>
          </w:tcPr>
          <w:p w:rsidR="000452B6" w:rsidRPr="000452B6" w:rsidRDefault="000452B6" w:rsidP="00FE2AA4">
            <w:pPr>
              <w:pStyle w:val="TableText"/>
            </w:pPr>
            <w:r w:rsidRPr="000452B6">
              <w:t>May/June 2018</w:t>
            </w:r>
          </w:p>
        </w:tc>
      </w:tr>
    </w:tbl>
    <w:p w:rsidR="000452B6" w:rsidRPr="000452B6" w:rsidRDefault="000452B6" w:rsidP="00FE2AA4">
      <w:pPr>
        <w:pStyle w:val="Heading2"/>
      </w:pPr>
      <w:bookmarkStart w:id="27" w:name="_Toc498069354"/>
      <w:bookmarkStart w:id="28" w:name="_Toc505688547"/>
      <w:r w:rsidRPr="000452B6">
        <w:t>Project implementation</w:t>
      </w:r>
      <w:bookmarkEnd w:id="27"/>
      <w:bookmarkEnd w:id="28"/>
    </w:p>
    <w:p w:rsidR="000452B6" w:rsidRPr="00E74EB7" w:rsidRDefault="000452B6" w:rsidP="00E74EB7">
      <w:pPr>
        <w:pStyle w:val="BodyText"/>
      </w:pPr>
      <w:r w:rsidRPr="000452B6">
        <w:t xml:space="preserve">Any RHA awarded a VPF grant will be required to enter a funding agreement with CAV in the form of the Victorian Common Funding Agreement. Once a grant is in place, the RHA will be required to commence the Project as soon as possible. </w:t>
      </w:r>
      <w:bookmarkStart w:id="29" w:name="_Toc244407302"/>
      <w:bookmarkStart w:id="30" w:name="_Toc244409041"/>
      <w:r w:rsidRPr="000452B6">
        <w:t>Unless CAV otherwise agrees, all projects must be completed by 30 April 2019. All final claims must be made and grants acquitted by no later than mid-June 2019.</w:t>
      </w:r>
      <w:bookmarkEnd w:id="29"/>
      <w:bookmarkEnd w:id="30"/>
    </w:p>
    <w:bookmarkEnd w:id="5"/>
    <w:sectPr w:rsidR="000452B6" w:rsidRPr="00E74EB7" w:rsidSect="00FA0698">
      <w:headerReference w:type="default" r:id="rId13"/>
      <w:footerReference w:type="default" r:id="rId14"/>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E58" w:rsidRDefault="00EB0E58">
      <w:r>
        <w:separator/>
      </w:r>
    </w:p>
  </w:endnote>
  <w:endnote w:type="continuationSeparator" w:id="0">
    <w:p w:rsidR="00EB0E58" w:rsidRDefault="00EB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StoneSans">
    <w:altName w:val="Calibri"/>
    <w:panose1 w:val="00000000000000000000"/>
    <w:charset w:val="4D"/>
    <w:family w:val="auto"/>
    <w:notTrueType/>
    <w:pitch w:val="default"/>
    <w:sig w:usb0="00000003" w:usb1="00000000" w:usb2="00000000" w:usb3="00000000" w:csb0="00000001" w:csb1="00000000"/>
  </w:font>
  <w:font w:name="StoneSansITCStd-MediumItalic">
    <w:altName w:val="Courier Ne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46" w:rsidRPr="000D6EC6" w:rsidRDefault="00EB7CE7" w:rsidP="00A003B0">
    <w:pPr>
      <w:pStyle w:val="Footer"/>
    </w:pPr>
    <w:hyperlink r:id="rId1" w:history="1">
      <w:r w:rsidR="00197446" w:rsidRPr="004C1487">
        <w:rPr>
          <w:rStyle w:val="FooterURL"/>
        </w:rPr>
        <w:t>consumer.vic.gov.au</w:t>
      </w:r>
    </w:hyperlink>
    <w:r w:rsidR="00E30EF1">
      <w:rPr>
        <w:rStyle w:val="FooterURL"/>
      </w:rPr>
      <w:t>/</w:t>
    </w:r>
    <w:r w:rsidR="00E74EB7">
      <w:rPr>
        <w:rStyle w:val="FooterURL"/>
      </w:rPr>
      <w:t>grants</w:t>
    </w:r>
    <w:r w:rsidR="00197446" w:rsidRPr="00B21294">
      <w:tab/>
    </w:r>
    <w:r w:rsidR="00197446" w:rsidRPr="00176A29">
      <w:t xml:space="preserve">Page </w:t>
    </w:r>
    <w:r w:rsidR="00197446">
      <w:rPr>
        <w:b/>
        <w:bCs/>
      </w:rPr>
      <w:fldChar w:fldCharType="begin"/>
    </w:r>
    <w:r w:rsidR="00197446">
      <w:rPr>
        <w:b/>
        <w:bCs/>
      </w:rPr>
      <w:instrText xml:space="preserve"> PAGE </w:instrText>
    </w:r>
    <w:r w:rsidR="00197446">
      <w:rPr>
        <w:b/>
        <w:bCs/>
      </w:rPr>
      <w:fldChar w:fldCharType="separate"/>
    </w:r>
    <w:r>
      <w:rPr>
        <w:b/>
        <w:bCs/>
        <w:noProof/>
      </w:rPr>
      <w:t>1</w:t>
    </w:r>
    <w:r w:rsidR="00197446">
      <w:rPr>
        <w:b/>
        <w:bCs/>
      </w:rPr>
      <w:fldChar w:fldCharType="end"/>
    </w:r>
    <w:r w:rsidR="00197446">
      <w:t xml:space="preserve"> of </w:t>
    </w:r>
    <w:r w:rsidR="00197446">
      <w:rPr>
        <w:b/>
        <w:bCs/>
      </w:rPr>
      <w:fldChar w:fldCharType="begin"/>
    </w:r>
    <w:r w:rsidR="00197446">
      <w:rPr>
        <w:b/>
        <w:bCs/>
      </w:rPr>
      <w:instrText xml:space="preserve"> NUMPAGES  </w:instrText>
    </w:r>
    <w:r w:rsidR="00197446">
      <w:rPr>
        <w:b/>
        <w:bCs/>
      </w:rPr>
      <w:fldChar w:fldCharType="separate"/>
    </w:r>
    <w:r>
      <w:rPr>
        <w:b/>
        <w:bCs/>
        <w:noProof/>
      </w:rPr>
      <w:t>9</w:t>
    </w:r>
    <w:r w:rsidR="00197446">
      <w:rPr>
        <w:b/>
        <w:bCs/>
      </w:rPr>
      <w:fldChar w:fldCharType="end"/>
    </w:r>
    <w:r w:rsidR="00197446">
      <w:tab/>
    </w:r>
    <w:r w:rsidR="003541E6">
      <w:rPr>
        <w:noProof/>
      </w:rPr>
      <w:drawing>
        <wp:inline distT="0" distB="0" distL="0" distR="0">
          <wp:extent cx="1685925" cy="466725"/>
          <wp:effectExtent l="0" t="0" r="9525" b="9525"/>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E58" w:rsidRDefault="00EB0E58">
      <w:r>
        <w:separator/>
      </w:r>
    </w:p>
  </w:footnote>
  <w:footnote w:type="continuationSeparator" w:id="0">
    <w:p w:rsidR="00EB0E58" w:rsidRDefault="00EB0E58">
      <w:r>
        <w:continuationSeparator/>
      </w:r>
    </w:p>
  </w:footnote>
  <w:footnote w:id="1">
    <w:p w:rsidR="000452B6" w:rsidRPr="00202514" w:rsidRDefault="000452B6" w:rsidP="000452B6">
      <w:pPr>
        <w:rPr>
          <w:sz w:val="16"/>
          <w:szCs w:val="16"/>
        </w:rPr>
      </w:pPr>
      <w:r w:rsidRPr="00202514">
        <w:rPr>
          <w:rStyle w:val="FootnoteReference"/>
          <w:sz w:val="16"/>
          <w:szCs w:val="16"/>
        </w:rPr>
        <w:footnoteRef/>
      </w:r>
      <w:r w:rsidRPr="00202514">
        <w:rPr>
          <w:sz w:val="16"/>
          <w:szCs w:val="16"/>
        </w:rPr>
        <w:t xml:space="preserve"> </w:t>
      </w:r>
      <w:r>
        <w:rPr>
          <w:sz w:val="16"/>
          <w:szCs w:val="16"/>
        </w:rPr>
        <w:t>To be considered demonstrably qualified, e</w:t>
      </w:r>
      <w:r w:rsidRPr="00202514">
        <w:rPr>
          <w:sz w:val="16"/>
          <w:szCs w:val="16"/>
        </w:rPr>
        <w:t>nergy efficiency assessors must</w:t>
      </w:r>
      <w:r>
        <w:rPr>
          <w:sz w:val="16"/>
          <w:szCs w:val="16"/>
        </w:rPr>
        <w:t xml:space="preserve"> have successfully completed appropriate training in the assessment of energy efficiency of residential buildings, and have a minimum of three years’ experience carrying out energy efficiency assessments for residential dwellings. CAV’s sole determination as to whether an assessor is sufficiently qualified will be final. </w:t>
      </w:r>
    </w:p>
    <w:p w:rsidR="000452B6" w:rsidRDefault="000452B6" w:rsidP="000452B6">
      <w:pPr>
        <w:pStyle w:val="FootnoteText"/>
      </w:pPr>
    </w:p>
  </w:footnote>
  <w:footnote w:id="2">
    <w:p w:rsidR="000452B6" w:rsidRPr="009E4778" w:rsidRDefault="000452B6" w:rsidP="000452B6">
      <w:pPr>
        <w:pStyle w:val="FootnoteText"/>
        <w:rPr>
          <w:rFonts w:cs="Arial"/>
          <w:szCs w:val="18"/>
        </w:rPr>
      </w:pPr>
      <w:r w:rsidRPr="00900638">
        <w:rPr>
          <w:rStyle w:val="FootnoteReference"/>
          <w:rFonts w:cs="Arial"/>
          <w:szCs w:val="18"/>
        </w:rPr>
        <w:footnoteRef/>
      </w:r>
      <w:r w:rsidRPr="00900638">
        <w:rPr>
          <w:rFonts w:cs="Arial"/>
          <w:szCs w:val="18"/>
        </w:rPr>
        <w:t xml:space="preserve"> Respondents must supply details of the 'Simple Payback Period' for each building (defined as the total cost of the energy efficiency improvements proposed for a building, divided by the estimated annual cost savings to be generated from carrying out those improvements), and the 'Average Payback Period for Project' (defined as the total costs of the project, divided by the estimated total annual cost savings generated by the improvements to all the buildings improved under the project). Cost savings must benefit either the RHA or the low income tenants.</w:t>
      </w:r>
    </w:p>
  </w:footnote>
  <w:footnote w:id="3">
    <w:p w:rsidR="000452B6" w:rsidRPr="009E4778" w:rsidRDefault="000452B6" w:rsidP="000452B6">
      <w:pPr>
        <w:pStyle w:val="FootnoteText"/>
        <w:rPr>
          <w:rFonts w:cs="Arial"/>
          <w:szCs w:val="18"/>
        </w:rPr>
      </w:pPr>
      <w:r w:rsidRPr="00900638">
        <w:rPr>
          <w:rStyle w:val="FootnoteReference"/>
          <w:rFonts w:cs="Arial"/>
          <w:szCs w:val="18"/>
        </w:rPr>
        <w:footnoteRef/>
      </w:r>
      <w:r w:rsidRPr="00900638">
        <w:rPr>
          <w:rFonts w:cs="Arial"/>
          <w:szCs w:val="18"/>
        </w:rPr>
        <w:t xml:space="preserve"> See definition in footnote on previous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46" w:rsidRPr="00CC55AA" w:rsidRDefault="00E74EB7" w:rsidP="001C0E5A">
    <w:pPr>
      <w:pStyle w:val="Header"/>
    </w:pPr>
    <w:r>
      <w:t>Invitation for Expressions of Interest</w:t>
    </w:r>
    <w:r w:rsidR="00EE2876">
      <w:t xml:space="preserve"> – Victorian Property Fund Environmentally Sustainable Housing Funding Round 2017-18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3" w15:restartNumberingAfterBreak="0">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8FE86232"/>
    <w:lvl w:ilvl="0">
      <w:start w:val="1"/>
      <w:numFmt w:val="decimal"/>
      <w:pStyle w:val="ListNumber"/>
      <w:lvlText w:val="%1."/>
      <w:lvlJc w:val="left"/>
      <w:pPr>
        <w:ind w:left="340" w:hanging="340"/>
      </w:pPr>
      <w:rPr>
        <w:rFonts w:hint="default"/>
      </w:rPr>
    </w:lvl>
  </w:abstractNum>
  <w:abstractNum w:abstractNumId="5" w15:restartNumberingAfterBreak="0">
    <w:nsid w:val="FFFFFF89"/>
    <w:multiLevelType w:val="singleLevel"/>
    <w:tmpl w:val="BDB8C178"/>
    <w:lvl w:ilvl="0">
      <w:start w:val="1"/>
      <w:numFmt w:val="bullet"/>
      <w:pStyle w:val="ListBullet"/>
      <w:lvlText w:val=""/>
      <w:lvlJc w:val="left"/>
      <w:pPr>
        <w:ind w:left="5614" w:hanging="227"/>
      </w:pPr>
      <w:rPr>
        <w:rFonts w:ascii="Symbol" w:hAnsi="Symbol" w:hint="default"/>
      </w:rPr>
    </w:lvl>
  </w:abstractNum>
  <w:abstractNum w:abstractNumId="6" w15:restartNumberingAfterBreak="0">
    <w:nsid w:val="0E963DFA"/>
    <w:multiLevelType w:val="hybridMultilevel"/>
    <w:tmpl w:val="97BA275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290D8A"/>
    <w:multiLevelType w:val="hybridMultilevel"/>
    <w:tmpl w:val="99FE43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1BA1A64"/>
    <w:multiLevelType w:val="hybridMultilevel"/>
    <w:tmpl w:val="497A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E4328C"/>
    <w:multiLevelType w:val="multilevel"/>
    <w:tmpl w:val="4148F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7C9091C"/>
    <w:multiLevelType w:val="hybridMultilevel"/>
    <w:tmpl w:val="6692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30CBB"/>
    <w:multiLevelType w:val="multilevel"/>
    <w:tmpl w:val="4A4EE156"/>
    <w:styleLink w:val="StyleBulleted"/>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D7E9F"/>
    <w:multiLevelType w:val="hybridMultilevel"/>
    <w:tmpl w:val="AA900160"/>
    <w:lvl w:ilvl="0" w:tplc="183C3F9E">
      <w:start w:val="1"/>
      <w:numFmt w:val="decimal"/>
      <w:lvlText w:val="%1."/>
      <w:lvlJc w:val="left"/>
      <w:pPr>
        <w:ind w:left="720" w:hanging="360"/>
      </w:pPr>
      <w:rPr>
        <w:rFonts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D6AB9"/>
    <w:multiLevelType w:val="hybridMultilevel"/>
    <w:tmpl w:val="2F22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B0816"/>
    <w:multiLevelType w:val="hybridMultilevel"/>
    <w:tmpl w:val="C342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78057F"/>
    <w:multiLevelType w:val="hybridMultilevel"/>
    <w:tmpl w:val="0B726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AA32AA"/>
    <w:multiLevelType w:val="hybridMultilevel"/>
    <w:tmpl w:val="C792C3C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7" w15:restartNumberingAfterBreak="0">
    <w:nsid w:val="50E34CAF"/>
    <w:multiLevelType w:val="hybridMultilevel"/>
    <w:tmpl w:val="4F82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C22DA"/>
    <w:multiLevelType w:val="hybridMultilevel"/>
    <w:tmpl w:val="8752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E5643F"/>
    <w:multiLevelType w:val="hybridMultilevel"/>
    <w:tmpl w:val="0BAA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D56BFC"/>
    <w:multiLevelType w:val="hybridMultilevel"/>
    <w:tmpl w:val="68BAFE74"/>
    <w:lvl w:ilvl="0" w:tplc="EF2883AA">
      <w:start w:val="1"/>
      <w:numFmt w:val="decimal"/>
      <w:pStyle w:val="headingtable"/>
      <w:lvlText w:val="Table %1 -"/>
      <w:lvlJc w:val="left"/>
      <w:pPr>
        <w:tabs>
          <w:tab w:val="num" w:pos="1021"/>
        </w:tabs>
        <w:ind w:left="1021" w:hanging="1021"/>
      </w:pPr>
      <w:rPr>
        <w:rFonts w:ascii="Verdana" w:hAnsi="Verdan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47F63"/>
    <w:multiLevelType w:val="hybridMultilevel"/>
    <w:tmpl w:val="B2FE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D6022"/>
    <w:multiLevelType w:val="hybridMultilevel"/>
    <w:tmpl w:val="8230C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50708A"/>
    <w:multiLevelType w:val="hybridMultilevel"/>
    <w:tmpl w:val="73FE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A36D9A"/>
    <w:multiLevelType w:val="multilevel"/>
    <w:tmpl w:val="4148F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E1803"/>
    <w:multiLevelType w:val="hybridMultilevel"/>
    <w:tmpl w:val="CBA0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
    <w:lvlOverride w:ilvl="0">
      <w:startOverride w:val="1"/>
    </w:lvlOverride>
  </w:num>
  <w:num w:numId="3">
    <w:abstractNumId w:val="26"/>
  </w:num>
  <w:num w:numId="4">
    <w:abstractNumId w:val="5"/>
  </w:num>
  <w:num w:numId="5">
    <w:abstractNumId w:val="3"/>
  </w:num>
  <w:num w:numId="6">
    <w:abstractNumId w:val="2"/>
  </w:num>
  <w:num w:numId="7">
    <w:abstractNumId w:val="4"/>
  </w:num>
  <w:num w:numId="8">
    <w:abstractNumId w:val="1"/>
  </w:num>
  <w:num w:numId="9">
    <w:abstractNumId w:val="0"/>
  </w:num>
  <w:num w:numId="10">
    <w:abstractNumId w:val="25"/>
  </w:num>
  <w:num w:numId="11">
    <w:abstractNumId w:val="7"/>
  </w:num>
  <w:num w:numId="12">
    <w:abstractNumId w:val="27"/>
  </w:num>
  <w:num w:numId="13">
    <w:abstractNumId w:val="8"/>
  </w:num>
  <w:num w:numId="14">
    <w:abstractNumId w:val="23"/>
  </w:num>
  <w:num w:numId="15">
    <w:abstractNumId w:val="18"/>
  </w:num>
  <w:num w:numId="16">
    <w:abstractNumId w:val="14"/>
  </w:num>
  <w:num w:numId="17">
    <w:abstractNumId w:val="13"/>
  </w:num>
  <w:num w:numId="18">
    <w:abstractNumId w:val="20"/>
  </w:num>
  <w:num w:numId="19">
    <w:abstractNumId w:val="24"/>
  </w:num>
  <w:num w:numId="20">
    <w:abstractNumId w:val="17"/>
  </w:num>
  <w:num w:numId="21">
    <w:abstractNumId w:val="19"/>
  </w:num>
  <w:num w:numId="22">
    <w:abstractNumId w:val="16"/>
  </w:num>
  <w:num w:numId="23">
    <w:abstractNumId w:val="21"/>
  </w:num>
  <w:num w:numId="24">
    <w:abstractNumId w:val="12"/>
  </w:num>
  <w:num w:numId="25">
    <w:abstractNumId w:val="6"/>
  </w:num>
  <w:num w:numId="26">
    <w:abstractNumId w:val="22"/>
  </w:num>
  <w:num w:numId="27">
    <w:abstractNumId w:val="10"/>
  </w:num>
  <w:num w:numId="28">
    <w:abstractNumId w:val="9"/>
  </w:num>
  <w:num w:numId="2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62"/>
    <w:rsid w:val="000106F7"/>
    <w:rsid w:val="00011A9C"/>
    <w:rsid w:val="00011CCD"/>
    <w:rsid w:val="00012EB1"/>
    <w:rsid w:val="000142AD"/>
    <w:rsid w:val="000158AF"/>
    <w:rsid w:val="00016B72"/>
    <w:rsid w:val="00016E2C"/>
    <w:rsid w:val="00023D7A"/>
    <w:rsid w:val="000248CD"/>
    <w:rsid w:val="00025FB3"/>
    <w:rsid w:val="000332CA"/>
    <w:rsid w:val="00034DCA"/>
    <w:rsid w:val="00035877"/>
    <w:rsid w:val="000360AD"/>
    <w:rsid w:val="00036C56"/>
    <w:rsid w:val="00037209"/>
    <w:rsid w:val="000423D9"/>
    <w:rsid w:val="000452B6"/>
    <w:rsid w:val="00050D5E"/>
    <w:rsid w:val="00051465"/>
    <w:rsid w:val="000529F3"/>
    <w:rsid w:val="00066145"/>
    <w:rsid w:val="00072BCF"/>
    <w:rsid w:val="0007384C"/>
    <w:rsid w:val="00076439"/>
    <w:rsid w:val="00077457"/>
    <w:rsid w:val="0007767A"/>
    <w:rsid w:val="000800BA"/>
    <w:rsid w:val="000804D2"/>
    <w:rsid w:val="000856D9"/>
    <w:rsid w:val="000921AB"/>
    <w:rsid w:val="00093DE3"/>
    <w:rsid w:val="000943F0"/>
    <w:rsid w:val="000969EF"/>
    <w:rsid w:val="000A1003"/>
    <w:rsid w:val="000A58DA"/>
    <w:rsid w:val="000B3990"/>
    <w:rsid w:val="000B7612"/>
    <w:rsid w:val="000C085D"/>
    <w:rsid w:val="000C21A4"/>
    <w:rsid w:val="000C4342"/>
    <w:rsid w:val="000C463A"/>
    <w:rsid w:val="000D31F5"/>
    <w:rsid w:val="000D6D99"/>
    <w:rsid w:val="000D6EC6"/>
    <w:rsid w:val="000E05EE"/>
    <w:rsid w:val="000E1E4D"/>
    <w:rsid w:val="000E21CE"/>
    <w:rsid w:val="000E32CE"/>
    <w:rsid w:val="000E5388"/>
    <w:rsid w:val="000E66B4"/>
    <w:rsid w:val="000E6FF4"/>
    <w:rsid w:val="000E79DA"/>
    <w:rsid w:val="000F1116"/>
    <w:rsid w:val="000F479B"/>
    <w:rsid w:val="00100016"/>
    <w:rsid w:val="00102A88"/>
    <w:rsid w:val="00112684"/>
    <w:rsid w:val="00117D50"/>
    <w:rsid w:val="00123206"/>
    <w:rsid w:val="001241F9"/>
    <w:rsid w:val="00124568"/>
    <w:rsid w:val="0012676F"/>
    <w:rsid w:val="00126F99"/>
    <w:rsid w:val="00135543"/>
    <w:rsid w:val="00143D77"/>
    <w:rsid w:val="00145D18"/>
    <w:rsid w:val="001472E1"/>
    <w:rsid w:val="00150435"/>
    <w:rsid w:val="00151EFD"/>
    <w:rsid w:val="00154883"/>
    <w:rsid w:val="00156102"/>
    <w:rsid w:val="00156AF0"/>
    <w:rsid w:val="00160596"/>
    <w:rsid w:val="00161967"/>
    <w:rsid w:val="001666E4"/>
    <w:rsid w:val="00166AF0"/>
    <w:rsid w:val="00170534"/>
    <w:rsid w:val="001742BC"/>
    <w:rsid w:val="001761A2"/>
    <w:rsid w:val="00177328"/>
    <w:rsid w:val="001852B6"/>
    <w:rsid w:val="00190072"/>
    <w:rsid w:val="00197446"/>
    <w:rsid w:val="001975DB"/>
    <w:rsid w:val="00197AD6"/>
    <w:rsid w:val="001A083B"/>
    <w:rsid w:val="001A1340"/>
    <w:rsid w:val="001A422D"/>
    <w:rsid w:val="001A7995"/>
    <w:rsid w:val="001B0A08"/>
    <w:rsid w:val="001B5CC7"/>
    <w:rsid w:val="001C03F4"/>
    <w:rsid w:val="001C0691"/>
    <w:rsid w:val="001C0E5A"/>
    <w:rsid w:val="001C2691"/>
    <w:rsid w:val="001D1628"/>
    <w:rsid w:val="001E1C33"/>
    <w:rsid w:val="001E268C"/>
    <w:rsid w:val="001E6BD1"/>
    <w:rsid w:val="001F15DD"/>
    <w:rsid w:val="001F290F"/>
    <w:rsid w:val="001F3633"/>
    <w:rsid w:val="001F49B1"/>
    <w:rsid w:val="001F776A"/>
    <w:rsid w:val="00200250"/>
    <w:rsid w:val="00203699"/>
    <w:rsid w:val="0020544E"/>
    <w:rsid w:val="00207445"/>
    <w:rsid w:val="00207E80"/>
    <w:rsid w:val="00211C66"/>
    <w:rsid w:val="002139DA"/>
    <w:rsid w:val="002214EF"/>
    <w:rsid w:val="00224201"/>
    <w:rsid w:val="002249A5"/>
    <w:rsid w:val="00232B35"/>
    <w:rsid w:val="00233DA7"/>
    <w:rsid w:val="0023429A"/>
    <w:rsid w:val="00236034"/>
    <w:rsid w:val="002403AE"/>
    <w:rsid w:val="0024273E"/>
    <w:rsid w:val="00242803"/>
    <w:rsid w:val="00243157"/>
    <w:rsid w:val="002503D9"/>
    <w:rsid w:val="0025057A"/>
    <w:rsid w:val="00252D1B"/>
    <w:rsid w:val="002555D6"/>
    <w:rsid w:val="0026014D"/>
    <w:rsid w:val="00263664"/>
    <w:rsid w:val="0026467D"/>
    <w:rsid w:val="002679AA"/>
    <w:rsid w:val="00272182"/>
    <w:rsid w:val="0028233F"/>
    <w:rsid w:val="002833AF"/>
    <w:rsid w:val="002868A0"/>
    <w:rsid w:val="00287BDA"/>
    <w:rsid w:val="002961A2"/>
    <w:rsid w:val="002A05CB"/>
    <w:rsid w:val="002A0B93"/>
    <w:rsid w:val="002A301C"/>
    <w:rsid w:val="002A5455"/>
    <w:rsid w:val="002B310A"/>
    <w:rsid w:val="002B5A77"/>
    <w:rsid w:val="002C0656"/>
    <w:rsid w:val="002C3755"/>
    <w:rsid w:val="002C69AF"/>
    <w:rsid w:val="002D0F77"/>
    <w:rsid w:val="002D2AE0"/>
    <w:rsid w:val="002D2C0D"/>
    <w:rsid w:val="002E01D4"/>
    <w:rsid w:val="002E713B"/>
    <w:rsid w:val="002E7E9D"/>
    <w:rsid w:val="002F1C53"/>
    <w:rsid w:val="002F5059"/>
    <w:rsid w:val="002F6209"/>
    <w:rsid w:val="002F7D98"/>
    <w:rsid w:val="00303FBB"/>
    <w:rsid w:val="0030543C"/>
    <w:rsid w:val="0031319E"/>
    <w:rsid w:val="00315204"/>
    <w:rsid w:val="00323A38"/>
    <w:rsid w:val="00327301"/>
    <w:rsid w:val="003365B8"/>
    <w:rsid w:val="00341746"/>
    <w:rsid w:val="00350AF3"/>
    <w:rsid w:val="003520C8"/>
    <w:rsid w:val="00353127"/>
    <w:rsid w:val="003541E6"/>
    <w:rsid w:val="00355C58"/>
    <w:rsid w:val="00357A45"/>
    <w:rsid w:val="00357B5C"/>
    <w:rsid w:val="003606B0"/>
    <w:rsid w:val="003621CD"/>
    <w:rsid w:val="0036507B"/>
    <w:rsid w:val="0036741F"/>
    <w:rsid w:val="003707C2"/>
    <w:rsid w:val="003727AC"/>
    <w:rsid w:val="003728D4"/>
    <w:rsid w:val="00372FE9"/>
    <w:rsid w:val="00387945"/>
    <w:rsid w:val="003A352B"/>
    <w:rsid w:val="003A4039"/>
    <w:rsid w:val="003A6865"/>
    <w:rsid w:val="003B1284"/>
    <w:rsid w:val="003B59E6"/>
    <w:rsid w:val="003B6D8D"/>
    <w:rsid w:val="003C5186"/>
    <w:rsid w:val="003D13E3"/>
    <w:rsid w:val="003D2AA7"/>
    <w:rsid w:val="003D76CC"/>
    <w:rsid w:val="003E0384"/>
    <w:rsid w:val="003E0566"/>
    <w:rsid w:val="003E0731"/>
    <w:rsid w:val="003E1E61"/>
    <w:rsid w:val="003E20D3"/>
    <w:rsid w:val="003E4760"/>
    <w:rsid w:val="003F24D8"/>
    <w:rsid w:val="004069B8"/>
    <w:rsid w:val="0041016B"/>
    <w:rsid w:val="00420DC0"/>
    <w:rsid w:val="00421E65"/>
    <w:rsid w:val="00432643"/>
    <w:rsid w:val="004372E4"/>
    <w:rsid w:val="0043779A"/>
    <w:rsid w:val="00441A8F"/>
    <w:rsid w:val="0047082B"/>
    <w:rsid w:val="00473457"/>
    <w:rsid w:val="004735A2"/>
    <w:rsid w:val="004749A5"/>
    <w:rsid w:val="004758D0"/>
    <w:rsid w:val="00483D3F"/>
    <w:rsid w:val="00484DDF"/>
    <w:rsid w:val="00486354"/>
    <w:rsid w:val="004960BE"/>
    <w:rsid w:val="004A6789"/>
    <w:rsid w:val="004B395F"/>
    <w:rsid w:val="004B4EB7"/>
    <w:rsid w:val="004B53CF"/>
    <w:rsid w:val="004B6537"/>
    <w:rsid w:val="004C1487"/>
    <w:rsid w:val="004C36E1"/>
    <w:rsid w:val="004C4416"/>
    <w:rsid w:val="004C695E"/>
    <w:rsid w:val="004D5C84"/>
    <w:rsid w:val="004E1C65"/>
    <w:rsid w:val="004E5C41"/>
    <w:rsid w:val="004F12E2"/>
    <w:rsid w:val="004F1F7D"/>
    <w:rsid w:val="004F4843"/>
    <w:rsid w:val="004F72AC"/>
    <w:rsid w:val="004F7E34"/>
    <w:rsid w:val="00503123"/>
    <w:rsid w:val="00506322"/>
    <w:rsid w:val="0051039C"/>
    <w:rsid w:val="00511A1F"/>
    <w:rsid w:val="00512C20"/>
    <w:rsid w:val="00515282"/>
    <w:rsid w:val="00517B2F"/>
    <w:rsid w:val="00520953"/>
    <w:rsid w:val="00520BE3"/>
    <w:rsid w:val="00524E3B"/>
    <w:rsid w:val="00525FE7"/>
    <w:rsid w:val="00536DD9"/>
    <w:rsid w:val="005400D2"/>
    <w:rsid w:val="005411B9"/>
    <w:rsid w:val="0054142F"/>
    <w:rsid w:val="00541B2D"/>
    <w:rsid w:val="005435C3"/>
    <w:rsid w:val="005501C9"/>
    <w:rsid w:val="00554FF6"/>
    <w:rsid w:val="0056037C"/>
    <w:rsid w:val="0056276D"/>
    <w:rsid w:val="00571E8C"/>
    <w:rsid w:val="005746FD"/>
    <w:rsid w:val="00584C2A"/>
    <w:rsid w:val="00586864"/>
    <w:rsid w:val="005905CA"/>
    <w:rsid w:val="00590A25"/>
    <w:rsid w:val="00592E2A"/>
    <w:rsid w:val="00593910"/>
    <w:rsid w:val="005A31B1"/>
    <w:rsid w:val="005A46E6"/>
    <w:rsid w:val="005B0077"/>
    <w:rsid w:val="005B2C23"/>
    <w:rsid w:val="005B32DF"/>
    <w:rsid w:val="005B6594"/>
    <w:rsid w:val="005C0D96"/>
    <w:rsid w:val="005C0F7C"/>
    <w:rsid w:val="005C1500"/>
    <w:rsid w:val="005C4BD8"/>
    <w:rsid w:val="005C7B7E"/>
    <w:rsid w:val="005D0D77"/>
    <w:rsid w:val="005D3C44"/>
    <w:rsid w:val="005D7AB8"/>
    <w:rsid w:val="005E6CBB"/>
    <w:rsid w:val="005E78B7"/>
    <w:rsid w:val="005F02AA"/>
    <w:rsid w:val="00602362"/>
    <w:rsid w:val="00606C92"/>
    <w:rsid w:val="00611B9C"/>
    <w:rsid w:val="006207D4"/>
    <w:rsid w:val="006229C7"/>
    <w:rsid w:val="00627AF0"/>
    <w:rsid w:val="006305CA"/>
    <w:rsid w:val="00630E93"/>
    <w:rsid w:val="00632F09"/>
    <w:rsid w:val="00634606"/>
    <w:rsid w:val="006364F4"/>
    <w:rsid w:val="006370D3"/>
    <w:rsid w:val="00642050"/>
    <w:rsid w:val="00646EC8"/>
    <w:rsid w:val="0064750E"/>
    <w:rsid w:val="00650ACB"/>
    <w:rsid w:val="00652B88"/>
    <w:rsid w:val="00657D64"/>
    <w:rsid w:val="00670797"/>
    <w:rsid w:val="00690DAB"/>
    <w:rsid w:val="00697FAB"/>
    <w:rsid w:val="006A1AE0"/>
    <w:rsid w:val="006A3C1E"/>
    <w:rsid w:val="006A41DC"/>
    <w:rsid w:val="006A4E5D"/>
    <w:rsid w:val="006B08BF"/>
    <w:rsid w:val="006C3C0E"/>
    <w:rsid w:val="006C6EFB"/>
    <w:rsid w:val="006C722F"/>
    <w:rsid w:val="006D4AAF"/>
    <w:rsid w:val="006E7E1C"/>
    <w:rsid w:val="006F30DF"/>
    <w:rsid w:val="006F6B78"/>
    <w:rsid w:val="00714026"/>
    <w:rsid w:val="007363B2"/>
    <w:rsid w:val="00736DBE"/>
    <w:rsid w:val="00740145"/>
    <w:rsid w:val="007412EB"/>
    <w:rsid w:val="00741855"/>
    <w:rsid w:val="00745576"/>
    <w:rsid w:val="00745B14"/>
    <w:rsid w:val="00747155"/>
    <w:rsid w:val="00747EEF"/>
    <w:rsid w:val="007520BF"/>
    <w:rsid w:val="0075252B"/>
    <w:rsid w:val="007628E5"/>
    <w:rsid w:val="007635C9"/>
    <w:rsid w:val="00767C26"/>
    <w:rsid w:val="0077139F"/>
    <w:rsid w:val="00771516"/>
    <w:rsid w:val="00774344"/>
    <w:rsid w:val="0077524D"/>
    <w:rsid w:val="00776144"/>
    <w:rsid w:val="00776B36"/>
    <w:rsid w:val="00781605"/>
    <w:rsid w:val="00785D6C"/>
    <w:rsid w:val="00791FF6"/>
    <w:rsid w:val="00793221"/>
    <w:rsid w:val="007A3E5C"/>
    <w:rsid w:val="007B0987"/>
    <w:rsid w:val="007B0D83"/>
    <w:rsid w:val="007C1166"/>
    <w:rsid w:val="007C12FC"/>
    <w:rsid w:val="007C4958"/>
    <w:rsid w:val="007C51F4"/>
    <w:rsid w:val="007C75BF"/>
    <w:rsid w:val="007D1C07"/>
    <w:rsid w:val="007D262F"/>
    <w:rsid w:val="007D292D"/>
    <w:rsid w:val="007D2BE8"/>
    <w:rsid w:val="007D4ECF"/>
    <w:rsid w:val="007D6E23"/>
    <w:rsid w:val="007E336B"/>
    <w:rsid w:val="007E5038"/>
    <w:rsid w:val="007E5B46"/>
    <w:rsid w:val="007E6F0F"/>
    <w:rsid w:val="007F09B8"/>
    <w:rsid w:val="007F1648"/>
    <w:rsid w:val="00800A16"/>
    <w:rsid w:val="00804657"/>
    <w:rsid w:val="0081049E"/>
    <w:rsid w:val="0081095D"/>
    <w:rsid w:val="00810A7F"/>
    <w:rsid w:val="00811429"/>
    <w:rsid w:val="008128CA"/>
    <w:rsid w:val="00816063"/>
    <w:rsid w:val="008171EF"/>
    <w:rsid w:val="0082081A"/>
    <w:rsid w:val="00823D69"/>
    <w:rsid w:val="00826B81"/>
    <w:rsid w:val="00832702"/>
    <w:rsid w:val="00832E97"/>
    <w:rsid w:val="008376A8"/>
    <w:rsid w:val="00837B27"/>
    <w:rsid w:val="00841EF3"/>
    <w:rsid w:val="008431F3"/>
    <w:rsid w:val="0085207F"/>
    <w:rsid w:val="008544FB"/>
    <w:rsid w:val="00856131"/>
    <w:rsid w:val="008562BD"/>
    <w:rsid w:val="0086368D"/>
    <w:rsid w:val="0086667A"/>
    <w:rsid w:val="00867B04"/>
    <w:rsid w:val="00872CF2"/>
    <w:rsid w:val="00885672"/>
    <w:rsid w:val="00885DFC"/>
    <w:rsid w:val="0088723D"/>
    <w:rsid w:val="008908F2"/>
    <w:rsid w:val="008A0E7C"/>
    <w:rsid w:val="008A1E59"/>
    <w:rsid w:val="008A6540"/>
    <w:rsid w:val="008A6574"/>
    <w:rsid w:val="008B5503"/>
    <w:rsid w:val="008B5601"/>
    <w:rsid w:val="008B63C9"/>
    <w:rsid w:val="008B6655"/>
    <w:rsid w:val="008C05F8"/>
    <w:rsid w:val="008C3984"/>
    <w:rsid w:val="008C75EC"/>
    <w:rsid w:val="008C7CD0"/>
    <w:rsid w:val="008D1249"/>
    <w:rsid w:val="008D2B3F"/>
    <w:rsid w:val="008D52D6"/>
    <w:rsid w:val="008D5959"/>
    <w:rsid w:val="008D5D7D"/>
    <w:rsid w:val="008D7C01"/>
    <w:rsid w:val="008E189D"/>
    <w:rsid w:val="008E2692"/>
    <w:rsid w:val="008E6574"/>
    <w:rsid w:val="008F5169"/>
    <w:rsid w:val="008F6E00"/>
    <w:rsid w:val="008F7180"/>
    <w:rsid w:val="009052C8"/>
    <w:rsid w:val="009058DA"/>
    <w:rsid w:val="009066EC"/>
    <w:rsid w:val="00906E5D"/>
    <w:rsid w:val="009103B4"/>
    <w:rsid w:val="009168C9"/>
    <w:rsid w:val="00917170"/>
    <w:rsid w:val="009229C5"/>
    <w:rsid w:val="0092772E"/>
    <w:rsid w:val="00933AFE"/>
    <w:rsid w:val="00944F03"/>
    <w:rsid w:val="00944F34"/>
    <w:rsid w:val="009515D8"/>
    <w:rsid w:val="009549EF"/>
    <w:rsid w:val="0095683F"/>
    <w:rsid w:val="009616A0"/>
    <w:rsid w:val="009619F6"/>
    <w:rsid w:val="0097094B"/>
    <w:rsid w:val="0097342A"/>
    <w:rsid w:val="009743A7"/>
    <w:rsid w:val="00975C24"/>
    <w:rsid w:val="0097760D"/>
    <w:rsid w:val="00980168"/>
    <w:rsid w:val="00980B85"/>
    <w:rsid w:val="00981604"/>
    <w:rsid w:val="00981A20"/>
    <w:rsid w:val="00981EEC"/>
    <w:rsid w:val="00983035"/>
    <w:rsid w:val="0098392C"/>
    <w:rsid w:val="00983D6F"/>
    <w:rsid w:val="0098778A"/>
    <w:rsid w:val="0099353C"/>
    <w:rsid w:val="00995946"/>
    <w:rsid w:val="009A1FE3"/>
    <w:rsid w:val="009A670F"/>
    <w:rsid w:val="009B0A77"/>
    <w:rsid w:val="009B6D92"/>
    <w:rsid w:val="009B72E1"/>
    <w:rsid w:val="009C1FB4"/>
    <w:rsid w:val="009C20B6"/>
    <w:rsid w:val="009C2651"/>
    <w:rsid w:val="009C5B21"/>
    <w:rsid w:val="009D08E1"/>
    <w:rsid w:val="009D1442"/>
    <w:rsid w:val="009E215A"/>
    <w:rsid w:val="009E7E17"/>
    <w:rsid w:val="009F156E"/>
    <w:rsid w:val="009F447A"/>
    <w:rsid w:val="009F4D29"/>
    <w:rsid w:val="00A003B0"/>
    <w:rsid w:val="00A01568"/>
    <w:rsid w:val="00A01A7A"/>
    <w:rsid w:val="00A02EF3"/>
    <w:rsid w:val="00A04AA4"/>
    <w:rsid w:val="00A052E1"/>
    <w:rsid w:val="00A05868"/>
    <w:rsid w:val="00A10C2A"/>
    <w:rsid w:val="00A12357"/>
    <w:rsid w:val="00A17C6A"/>
    <w:rsid w:val="00A277FE"/>
    <w:rsid w:val="00A30F3E"/>
    <w:rsid w:val="00A33B20"/>
    <w:rsid w:val="00A3458E"/>
    <w:rsid w:val="00A37140"/>
    <w:rsid w:val="00A431F3"/>
    <w:rsid w:val="00A45C0D"/>
    <w:rsid w:val="00A52D77"/>
    <w:rsid w:val="00A52DA0"/>
    <w:rsid w:val="00A54D21"/>
    <w:rsid w:val="00A572BF"/>
    <w:rsid w:val="00A61F23"/>
    <w:rsid w:val="00A62840"/>
    <w:rsid w:val="00A62DFE"/>
    <w:rsid w:val="00A65B43"/>
    <w:rsid w:val="00A661E1"/>
    <w:rsid w:val="00A70A1D"/>
    <w:rsid w:val="00A73947"/>
    <w:rsid w:val="00A756BF"/>
    <w:rsid w:val="00A80D38"/>
    <w:rsid w:val="00A810A5"/>
    <w:rsid w:val="00A923AD"/>
    <w:rsid w:val="00A94269"/>
    <w:rsid w:val="00A95733"/>
    <w:rsid w:val="00AA5850"/>
    <w:rsid w:val="00AB39F6"/>
    <w:rsid w:val="00AB5B87"/>
    <w:rsid w:val="00AC0993"/>
    <w:rsid w:val="00AC33FD"/>
    <w:rsid w:val="00AC6EA5"/>
    <w:rsid w:val="00AD18DB"/>
    <w:rsid w:val="00AE17BA"/>
    <w:rsid w:val="00AF1732"/>
    <w:rsid w:val="00AF1E6A"/>
    <w:rsid w:val="00AF51FA"/>
    <w:rsid w:val="00AF561E"/>
    <w:rsid w:val="00AF77C1"/>
    <w:rsid w:val="00AF7BF9"/>
    <w:rsid w:val="00B007F4"/>
    <w:rsid w:val="00B00E56"/>
    <w:rsid w:val="00B04FC0"/>
    <w:rsid w:val="00B114FB"/>
    <w:rsid w:val="00B1481E"/>
    <w:rsid w:val="00B26514"/>
    <w:rsid w:val="00B26EE9"/>
    <w:rsid w:val="00B30760"/>
    <w:rsid w:val="00B317DF"/>
    <w:rsid w:val="00B32BC7"/>
    <w:rsid w:val="00B36B74"/>
    <w:rsid w:val="00B45B0E"/>
    <w:rsid w:val="00B4664B"/>
    <w:rsid w:val="00B46724"/>
    <w:rsid w:val="00B5124A"/>
    <w:rsid w:val="00B525B2"/>
    <w:rsid w:val="00B53305"/>
    <w:rsid w:val="00B565E0"/>
    <w:rsid w:val="00B5663E"/>
    <w:rsid w:val="00B7258E"/>
    <w:rsid w:val="00B73CDD"/>
    <w:rsid w:val="00B8222A"/>
    <w:rsid w:val="00B83866"/>
    <w:rsid w:val="00B838F5"/>
    <w:rsid w:val="00B922F6"/>
    <w:rsid w:val="00B93FEE"/>
    <w:rsid w:val="00BA03BF"/>
    <w:rsid w:val="00BA2D2B"/>
    <w:rsid w:val="00BB5075"/>
    <w:rsid w:val="00BC08D4"/>
    <w:rsid w:val="00BC33AB"/>
    <w:rsid w:val="00BD46A9"/>
    <w:rsid w:val="00BD4E45"/>
    <w:rsid w:val="00BD61FF"/>
    <w:rsid w:val="00BD6407"/>
    <w:rsid w:val="00BF2CA9"/>
    <w:rsid w:val="00C05D8B"/>
    <w:rsid w:val="00C061AF"/>
    <w:rsid w:val="00C1545F"/>
    <w:rsid w:val="00C267FA"/>
    <w:rsid w:val="00C309E5"/>
    <w:rsid w:val="00C32301"/>
    <w:rsid w:val="00C33768"/>
    <w:rsid w:val="00C33EC7"/>
    <w:rsid w:val="00C3416F"/>
    <w:rsid w:val="00C37112"/>
    <w:rsid w:val="00C4054C"/>
    <w:rsid w:val="00C43EAC"/>
    <w:rsid w:val="00C451E9"/>
    <w:rsid w:val="00C46E20"/>
    <w:rsid w:val="00C55A71"/>
    <w:rsid w:val="00C724EC"/>
    <w:rsid w:val="00C7296C"/>
    <w:rsid w:val="00C75097"/>
    <w:rsid w:val="00C769F5"/>
    <w:rsid w:val="00C76AD0"/>
    <w:rsid w:val="00C77CF4"/>
    <w:rsid w:val="00C864A2"/>
    <w:rsid w:val="00C872BC"/>
    <w:rsid w:val="00C917DA"/>
    <w:rsid w:val="00C943D8"/>
    <w:rsid w:val="00C9607D"/>
    <w:rsid w:val="00C979EA"/>
    <w:rsid w:val="00CA2883"/>
    <w:rsid w:val="00CA48DE"/>
    <w:rsid w:val="00CA4F32"/>
    <w:rsid w:val="00CA5A36"/>
    <w:rsid w:val="00CB3531"/>
    <w:rsid w:val="00CB5F0C"/>
    <w:rsid w:val="00CB6695"/>
    <w:rsid w:val="00CB7F4F"/>
    <w:rsid w:val="00CC0981"/>
    <w:rsid w:val="00CC09D8"/>
    <w:rsid w:val="00CC1275"/>
    <w:rsid w:val="00CC34C8"/>
    <w:rsid w:val="00CC3DF4"/>
    <w:rsid w:val="00CC482B"/>
    <w:rsid w:val="00CD285C"/>
    <w:rsid w:val="00CD29CC"/>
    <w:rsid w:val="00CE102C"/>
    <w:rsid w:val="00CE798A"/>
    <w:rsid w:val="00CF0187"/>
    <w:rsid w:val="00CF34EF"/>
    <w:rsid w:val="00CF486A"/>
    <w:rsid w:val="00CF5971"/>
    <w:rsid w:val="00D04686"/>
    <w:rsid w:val="00D11DDF"/>
    <w:rsid w:val="00D11E11"/>
    <w:rsid w:val="00D15ADF"/>
    <w:rsid w:val="00D22822"/>
    <w:rsid w:val="00D27F72"/>
    <w:rsid w:val="00D3250D"/>
    <w:rsid w:val="00D365D9"/>
    <w:rsid w:val="00D426B0"/>
    <w:rsid w:val="00D4645F"/>
    <w:rsid w:val="00D50B08"/>
    <w:rsid w:val="00D5655D"/>
    <w:rsid w:val="00D57E5B"/>
    <w:rsid w:val="00D57F41"/>
    <w:rsid w:val="00D63A64"/>
    <w:rsid w:val="00D75424"/>
    <w:rsid w:val="00D7561A"/>
    <w:rsid w:val="00D77BF0"/>
    <w:rsid w:val="00D8798E"/>
    <w:rsid w:val="00D93946"/>
    <w:rsid w:val="00D97D56"/>
    <w:rsid w:val="00DA16C8"/>
    <w:rsid w:val="00DA16D5"/>
    <w:rsid w:val="00DA3428"/>
    <w:rsid w:val="00DA56F2"/>
    <w:rsid w:val="00DA65EB"/>
    <w:rsid w:val="00DA78A8"/>
    <w:rsid w:val="00DB4789"/>
    <w:rsid w:val="00DB5079"/>
    <w:rsid w:val="00DB573E"/>
    <w:rsid w:val="00DB616B"/>
    <w:rsid w:val="00DB6D1E"/>
    <w:rsid w:val="00DB7B45"/>
    <w:rsid w:val="00DB7F30"/>
    <w:rsid w:val="00DC1B0F"/>
    <w:rsid w:val="00DC1CD2"/>
    <w:rsid w:val="00DC6FAC"/>
    <w:rsid w:val="00DD37CC"/>
    <w:rsid w:val="00DD3F1A"/>
    <w:rsid w:val="00DD439A"/>
    <w:rsid w:val="00DD6453"/>
    <w:rsid w:val="00DE32B3"/>
    <w:rsid w:val="00DE3EBB"/>
    <w:rsid w:val="00DF00AC"/>
    <w:rsid w:val="00DF0285"/>
    <w:rsid w:val="00DF1D95"/>
    <w:rsid w:val="00DF3E96"/>
    <w:rsid w:val="00DF4591"/>
    <w:rsid w:val="00DF594E"/>
    <w:rsid w:val="00DF63AA"/>
    <w:rsid w:val="00DF7188"/>
    <w:rsid w:val="00E04C58"/>
    <w:rsid w:val="00E0763E"/>
    <w:rsid w:val="00E11612"/>
    <w:rsid w:val="00E122FD"/>
    <w:rsid w:val="00E14B16"/>
    <w:rsid w:val="00E15E87"/>
    <w:rsid w:val="00E2004A"/>
    <w:rsid w:val="00E20FA0"/>
    <w:rsid w:val="00E21B3D"/>
    <w:rsid w:val="00E23B14"/>
    <w:rsid w:val="00E246BA"/>
    <w:rsid w:val="00E24E8D"/>
    <w:rsid w:val="00E25188"/>
    <w:rsid w:val="00E309B1"/>
    <w:rsid w:val="00E30EF1"/>
    <w:rsid w:val="00E44B8D"/>
    <w:rsid w:val="00E51668"/>
    <w:rsid w:val="00E52B37"/>
    <w:rsid w:val="00E52F01"/>
    <w:rsid w:val="00E541D1"/>
    <w:rsid w:val="00E5740D"/>
    <w:rsid w:val="00E6238F"/>
    <w:rsid w:val="00E65766"/>
    <w:rsid w:val="00E70A29"/>
    <w:rsid w:val="00E71573"/>
    <w:rsid w:val="00E72A5C"/>
    <w:rsid w:val="00E74EB7"/>
    <w:rsid w:val="00E777C7"/>
    <w:rsid w:val="00E8295E"/>
    <w:rsid w:val="00E86845"/>
    <w:rsid w:val="00E94D1E"/>
    <w:rsid w:val="00EA4A0B"/>
    <w:rsid w:val="00EB0E58"/>
    <w:rsid w:val="00EB1C27"/>
    <w:rsid w:val="00EB5681"/>
    <w:rsid w:val="00EB6CC6"/>
    <w:rsid w:val="00EB7CE7"/>
    <w:rsid w:val="00EC068F"/>
    <w:rsid w:val="00EC13F2"/>
    <w:rsid w:val="00EC1B00"/>
    <w:rsid w:val="00EC230B"/>
    <w:rsid w:val="00EC6E6E"/>
    <w:rsid w:val="00ED7E3B"/>
    <w:rsid w:val="00EE0C93"/>
    <w:rsid w:val="00EE1B85"/>
    <w:rsid w:val="00EE2876"/>
    <w:rsid w:val="00EE39C9"/>
    <w:rsid w:val="00EF171B"/>
    <w:rsid w:val="00EF5685"/>
    <w:rsid w:val="00EF5C9C"/>
    <w:rsid w:val="00F072EA"/>
    <w:rsid w:val="00F141A0"/>
    <w:rsid w:val="00F14AC4"/>
    <w:rsid w:val="00F1751F"/>
    <w:rsid w:val="00F224C4"/>
    <w:rsid w:val="00F240AC"/>
    <w:rsid w:val="00F25786"/>
    <w:rsid w:val="00F30142"/>
    <w:rsid w:val="00F30CD4"/>
    <w:rsid w:val="00F31B41"/>
    <w:rsid w:val="00F421F9"/>
    <w:rsid w:val="00F4433A"/>
    <w:rsid w:val="00F44DF6"/>
    <w:rsid w:val="00F52A18"/>
    <w:rsid w:val="00F54538"/>
    <w:rsid w:val="00F562F1"/>
    <w:rsid w:val="00F56317"/>
    <w:rsid w:val="00F566BB"/>
    <w:rsid w:val="00F60F56"/>
    <w:rsid w:val="00F74C16"/>
    <w:rsid w:val="00F757D5"/>
    <w:rsid w:val="00F770CE"/>
    <w:rsid w:val="00F774E7"/>
    <w:rsid w:val="00F834B7"/>
    <w:rsid w:val="00F859A0"/>
    <w:rsid w:val="00F86EC2"/>
    <w:rsid w:val="00F96115"/>
    <w:rsid w:val="00FA0698"/>
    <w:rsid w:val="00FA7DA0"/>
    <w:rsid w:val="00FA7DC7"/>
    <w:rsid w:val="00FB502B"/>
    <w:rsid w:val="00FC0EA5"/>
    <w:rsid w:val="00FC4038"/>
    <w:rsid w:val="00FC76E0"/>
    <w:rsid w:val="00FD4888"/>
    <w:rsid w:val="00FD559D"/>
    <w:rsid w:val="00FD5F89"/>
    <w:rsid w:val="00FD6F52"/>
    <w:rsid w:val="00FD70C4"/>
    <w:rsid w:val="00FD74FD"/>
    <w:rsid w:val="00FE2A98"/>
    <w:rsid w:val="00FE2AA4"/>
    <w:rsid w:val="00FE5CC3"/>
    <w:rsid w:val="00FF0374"/>
    <w:rsid w:val="00FF24D1"/>
    <w:rsid w:val="00FF3B34"/>
    <w:rsid w:val="00FF3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chartTrackingRefBased/>
  <w15:docId w15:val="{46142C71-8F76-4FF6-BB14-AC76541E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487"/>
    <w:pPr>
      <w:spacing w:before="240" w:after="240"/>
    </w:pPr>
    <w:rPr>
      <w:rFonts w:ascii="Arial" w:hAnsi="Arial"/>
      <w:sz w:val="22"/>
      <w:szCs w:val="24"/>
    </w:rPr>
  </w:style>
  <w:style w:type="paragraph" w:styleId="Heading1">
    <w:name w:val="heading 1"/>
    <w:next w:val="BodyText"/>
    <w:link w:val="Heading1Char"/>
    <w:uiPriority w:val="9"/>
    <w:qFormat/>
    <w:rsid w:val="004C1487"/>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9"/>
    <w:qFormat/>
    <w:rsid w:val="004C1487"/>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qFormat/>
    <w:rsid w:val="004C1487"/>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qFormat/>
    <w:rsid w:val="004C1487"/>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qFormat/>
    <w:rsid w:val="004C1487"/>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Normal"/>
    <w:link w:val="Heading6Char"/>
    <w:unhideWhenUsed/>
    <w:qFormat/>
    <w:rsid w:val="004C1487"/>
    <w:pPr>
      <w:spacing w:before="320" w:after="200"/>
      <w:outlineLvl w:val="5"/>
    </w:pPr>
    <w:rPr>
      <w:rFonts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487"/>
    <w:rPr>
      <w:rFonts w:ascii="Arial" w:hAnsi="Arial"/>
      <w:color w:val="0000FF"/>
      <w:u w:val="single"/>
      <w:lang w:val="en-AU"/>
    </w:rPr>
  </w:style>
  <w:style w:type="character" w:styleId="FollowedHyperlink">
    <w:name w:val="FollowedHyperlink"/>
    <w:unhideWhenUsed/>
    <w:rsid w:val="004C1487"/>
    <w:rPr>
      <w:color w:val="800080"/>
      <w:u w:val="single"/>
    </w:rPr>
  </w:style>
  <w:style w:type="character" w:customStyle="1" w:styleId="Heading2Char">
    <w:name w:val="Heading 2 Char"/>
    <w:link w:val="Heading2"/>
    <w:uiPriority w:val="9"/>
    <w:locked/>
    <w:rsid w:val="004C1487"/>
    <w:rPr>
      <w:rFonts w:ascii="Arial" w:hAnsi="Arial" w:cs="Arial"/>
      <w:b/>
      <w:bCs/>
      <w:sz w:val="36"/>
      <w:szCs w:val="32"/>
    </w:rPr>
  </w:style>
  <w:style w:type="character" w:customStyle="1" w:styleId="Heading3Char">
    <w:name w:val="Heading 3 Char"/>
    <w:link w:val="Heading3"/>
    <w:locked/>
    <w:rsid w:val="004C1487"/>
    <w:rPr>
      <w:rFonts w:ascii="Arial" w:hAnsi="Arial" w:cs="Arial"/>
      <w:b/>
      <w:bCs/>
      <w:sz w:val="30"/>
      <w:szCs w:val="30"/>
    </w:rPr>
  </w:style>
  <w:style w:type="character" w:customStyle="1" w:styleId="Heading4Char">
    <w:name w:val="Heading 4 Char"/>
    <w:link w:val="Heading4"/>
    <w:locked/>
    <w:rsid w:val="004C1487"/>
    <w:rPr>
      <w:rFonts w:ascii="Arial" w:hAnsi="Arial" w:cs="Arial"/>
      <w:b/>
      <w:bCs/>
      <w:sz w:val="26"/>
      <w:szCs w:val="26"/>
    </w:rPr>
  </w:style>
  <w:style w:type="character" w:customStyle="1" w:styleId="Heading5Char">
    <w:name w:val="Heading 5 Char"/>
    <w:link w:val="Heading5"/>
    <w:locked/>
    <w:rsid w:val="004C1487"/>
    <w:rPr>
      <w:rFonts w:ascii="Arial" w:hAnsi="Arial" w:cs="Arial"/>
      <w:b/>
      <w:bCs/>
      <w:iCs/>
      <w:sz w:val="22"/>
      <w:szCs w:val="26"/>
    </w:rPr>
  </w:style>
  <w:style w:type="paragraph" w:styleId="TOC1">
    <w:name w:val="toc 1"/>
    <w:uiPriority w:val="39"/>
    <w:unhideWhenUsed/>
    <w:rsid w:val="004C1487"/>
    <w:pPr>
      <w:keepNext/>
      <w:keepLines/>
      <w:tabs>
        <w:tab w:val="right" w:pos="9639"/>
      </w:tabs>
      <w:suppressAutoHyphens/>
      <w:spacing w:before="60" w:after="60" w:line="288" w:lineRule="auto"/>
    </w:pPr>
    <w:rPr>
      <w:rFonts w:ascii="Arial" w:hAnsi="Arial"/>
      <w:b/>
      <w:noProof/>
      <w:lang w:eastAsia="en-US"/>
    </w:rPr>
  </w:style>
  <w:style w:type="paragraph" w:styleId="TOC2">
    <w:name w:val="toc 2"/>
    <w:uiPriority w:val="39"/>
    <w:unhideWhenUsed/>
    <w:rsid w:val="004C1487"/>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rsid w:val="004C1487"/>
    <w:pPr>
      <w:ind w:left="567"/>
    </w:pPr>
  </w:style>
  <w:style w:type="paragraph" w:styleId="Header">
    <w:name w:val="header"/>
    <w:link w:val="HeaderChar"/>
    <w:rsid w:val="004C1487"/>
    <w:pPr>
      <w:tabs>
        <w:tab w:val="right" w:pos="9639"/>
      </w:tabs>
      <w:suppressAutoHyphens/>
    </w:pPr>
    <w:rPr>
      <w:rFonts w:ascii="Arial" w:hAnsi="Arial"/>
      <w:sz w:val="15"/>
      <w:szCs w:val="24"/>
    </w:rPr>
  </w:style>
  <w:style w:type="paragraph" w:styleId="Footer">
    <w:name w:val="footer"/>
    <w:link w:val="FooterChar"/>
    <w:rsid w:val="004C1487"/>
    <w:pPr>
      <w:tabs>
        <w:tab w:val="center" w:pos="4820"/>
        <w:tab w:val="right" w:pos="9639"/>
      </w:tabs>
      <w:suppressAutoHyphens/>
    </w:pPr>
    <w:rPr>
      <w:rFonts w:ascii="Arial" w:hAnsi="Arial"/>
      <w:sz w:val="15"/>
      <w:szCs w:val="16"/>
    </w:rPr>
  </w:style>
  <w:style w:type="paragraph" w:styleId="Title">
    <w:name w:val="Title"/>
    <w:next w:val="BodyText"/>
    <w:link w:val="TitleChar"/>
    <w:qFormat/>
    <w:rsid w:val="004C1487"/>
    <w:pPr>
      <w:keepNext/>
      <w:keepLines/>
      <w:suppressAutoHyphens/>
      <w:spacing w:after="200"/>
      <w:outlineLvl w:val="0"/>
    </w:pPr>
    <w:rPr>
      <w:rFonts w:ascii="Calibri" w:hAnsi="Calibri" w:cs="Arial"/>
      <w:b/>
      <w:bCs/>
      <w:sz w:val="44"/>
      <w:szCs w:val="40"/>
    </w:rPr>
  </w:style>
  <w:style w:type="character" w:styleId="PageNumber">
    <w:name w:val="page number"/>
    <w:rsid w:val="004C1487"/>
    <w:rPr>
      <w:rFonts w:ascii="Calibri" w:hAnsi="Calibri" w:hint="default"/>
      <w:sz w:val="16"/>
    </w:rPr>
  </w:style>
  <w:style w:type="table" w:styleId="TableGrid">
    <w:name w:val="Table Grid"/>
    <w:basedOn w:val="TableNormal"/>
    <w:uiPriority w:val="59"/>
    <w:rsid w:val="004C1487"/>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C1487"/>
    <w:pPr>
      <w:numPr>
        <w:numId w:val="3"/>
      </w:numPr>
    </w:pPr>
  </w:style>
  <w:style w:type="paragraph" w:styleId="BodyText">
    <w:name w:val="Body Text"/>
    <w:link w:val="BodyTextChar"/>
    <w:rsid w:val="004C1487"/>
    <w:pPr>
      <w:suppressAutoHyphens/>
      <w:spacing w:before="200" w:after="200" w:line="288" w:lineRule="auto"/>
    </w:pPr>
    <w:rPr>
      <w:rFonts w:ascii="Arial" w:hAnsi="Arial"/>
    </w:rPr>
  </w:style>
  <w:style w:type="numbering" w:customStyle="1" w:styleId="StyleOutlinenumbered">
    <w:name w:val="Style Outline numbered"/>
    <w:basedOn w:val="NoList"/>
    <w:rsid w:val="004C1487"/>
    <w:pPr>
      <w:numPr>
        <w:numId w:val="10"/>
      </w:numPr>
    </w:pPr>
  </w:style>
  <w:style w:type="paragraph" w:styleId="ListBullet">
    <w:name w:val="List Bullet"/>
    <w:link w:val="ListBulletChar"/>
    <w:rsid w:val="004C1487"/>
    <w:pPr>
      <w:numPr>
        <w:numId w:val="4"/>
      </w:numPr>
      <w:suppressAutoHyphens/>
      <w:spacing w:before="40" w:after="40" w:line="288" w:lineRule="auto"/>
      <w:ind w:left="227"/>
    </w:pPr>
    <w:rPr>
      <w:rFonts w:ascii="Arial" w:hAnsi="Arial"/>
      <w:szCs w:val="24"/>
    </w:rPr>
  </w:style>
  <w:style w:type="paragraph" w:styleId="ListBullet2">
    <w:name w:val="List Bullet 2"/>
    <w:rsid w:val="004C1487"/>
    <w:pPr>
      <w:numPr>
        <w:numId w:val="5"/>
      </w:numPr>
      <w:suppressAutoHyphens/>
      <w:spacing w:before="40" w:after="40" w:line="288" w:lineRule="auto"/>
    </w:pPr>
    <w:rPr>
      <w:rFonts w:ascii="Arial" w:hAnsi="Arial"/>
      <w:szCs w:val="24"/>
    </w:rPr>
  </w:style>
  <w:style w:type="paragraph" w:styleId="ListNumber">
    <w:name w:val="List Number"/>
    <w:rsid w:val="004C1487"/>
    <w:pPr>
      <w:numPr>
        <w:numId w:val="7"/>
      </w:numPr>
      <w:spacing w:before="40" w:after="40" w:line="288" w:lineRule="auto"/>
    </w:pPr>
    <w:rPr>
      <w:rFonts w:ascii="Arial" w:hAnsi="Arial"/>
      <w:szCs w:val="24"/>
    </w:rPr>
  </w:style>
  <w:style w:type="paragraph" w:styleId="ListNumber2">
    <w:name w:val="List Number 2"/>
    <w:rsid w:val="004C1487"/>
    <w:pPr>
      <w:numPr>
        <w:numId w:val="8"/>
      </w:numPr>
      <w:spacing w:before="40" w:after="40" w:line="288" w:lineRule="auto"/>
    </w:pPr>
    <w:rPr>
      <w:rFonts w:ascii="Arial" w:hAnsi="Arial"/>
      <w:szCs w:val="24"/>
    </w:rPr>
  </w:style>
  <w:style w:type="character" w:customStyle="1" w:styleId="Heading1Char">
    <w:name w:val="Heading 1 Char"/>
    <w:link w:val="Heading1"/>
    <w:uiPriority w:val="9"/>
    <w:rsid w:val="004C1487"/>
    <w:rPr>
      <w:rFonts w:ascii="Arial" w:hAnsi="Arial" w:cs="Arial"/>
      <w:b/>
      <w:bCs/>
      <w:sz w:val="40"/>
      <w:szCs w:val="36"/>
    </w:rPr>
  </w:style>
  <w:style w:type="paragraph" w:styleId="ListNumber3">
    <w:name w:val="List Number 3"/>
    <w:basedOn w:val="Normal"/>
    <w:rsid w:val="004C1487"/>
    <w:pPr>
      <w:numPr>
        <w:numId w:val="9"/>
      </w:numPr>
      <w:spacing w:before="40" w:after="40" w:line="288" w:lineRule="auto"/>
    </w:pPr>
    <w:rPr>
      <w:sz w:val="20"/>
    </w:rPr>
  </w:style>
  <w:style w:type="character" w:customStyle="1" w:styleId="BodyTextChar">
    <w:name w:val="Body Text Char"/>
    <w:link w:val="BodyText"/>
    <w:rsid w:val="004C1487"/>
    <w:rPr>
      <w:rFonts w:ascii="Arial" w:hAnsi="Arial"/>
    </w:rPr>
  </w:style>
  <w:style w:type="character" w:customStyle="1" w:styleId="TitleChar">
    <w:name w:val="Title Char"/>
    <w:link w:val="Title"/>
    <w:rsid w:val="004C1487"/>
    <w:rPr>
      <w:rFonts w:ascii="Calibri" w:hAnsi="Calibri" w:cs="Arial"/>
      <w:b/>
      <w:bCs/>
      <w:sz w:val="44"/>
      <w:szCs w:val="40"/>
    </w:rPr>
  </w:style>
  <w:style w:type="character" w:styleId="CommentReference">
    <w:name w:val="annotation reference"/>
    <w:rsid w:val="004C1487"/>
    <w:rPr>
      <w:sz w:val="16"/>
      <w:szCs w:val="16"/>
    </w:rPr>
  </w:style>
  <w:style w:type="numbering" w:customStyle="1" w:styleId="StyleBulleted">
    <w:name w:val="Style Bulleted"/>
    <w:rsid w:val="00197FB3"/>
    <w:pPr>
      <w:numPr>
        <w:numId w:val="1"/>
      </w:numPr>
    </w:pPr>
  </w:style>
  <w:style w:type="paragraph" w:styleId="CommentText">
    <w:name w:val="annotation text"/>
    <w:basedOn w:val="Normal"/>
    <w:link w:val="CommentTextChar"/>
    <w:rsid w:val="004C1487"/>
    <w:pPr>
      <w:spacing w:before="0" w:after="0"/>
    </w:pPr>
    <w:rPr>
      <w:rFonts w:ascii="Times New Roman" w:hAnsi="Times New Roman"/>
      <w:szCs w:val="20"/>
    </w:rPr>
  </w:style>
  <w:style w:type="character" w:customStyle="1" w:styleId="CommentTextChar">
    <w:name w:val="Comment Text Char"/>
    <w:link w:val="CommentText"/>
    <w:rsid w:val="004C1487"/>
    <w:rPr>
      <w:sz w:val="22"/>
    </w:rPr>
  </w:style>
  <w:style w:type="paragraph" w:customStyle="1" w:styleId="ColorfulShading-Accent11">
    <w:name w:val="Colorful Shading - Accent 11"/>
    <w:hidden/>
    <w:uiPriority w:val="99"/>
    <w:semiHidden/>
    <w:rsid w:val="003446FF"/>
    <w:rPr>
      <w:rFonts w:ascii="Calibri" w:hAnsi="Calibri"/>
      <w:szCs w:val="24"/>
    </w:rPr>
  </w:style>
  <w:style w:type="paragraph" w:styleId="BalloonText">
    <w:name w:val="Balloon Text"/>
    <w:basedOn w:val="Normal"/>
    <w:link w:val="BalloonTextChar"/>
    <w:rsid w:val="004C1487"/>
    <w:pPr>
      <w:spacing w:before="0" w:after="0"/>
    </w:pPr>
    <w:rPr>
      <w:rFonts w:ascii="Tahoma" w:hAnsi="Tahoma" w:cs="Tahoma"/>
      <w:sz w:val="16"/>
      <w:szCs w:val="16"/>
    </w:rPr>
  </w:style>
  <w:style w:type="character" w:customStyle="1" w:styleId="BalloonTextChar">
    <w:name w:val="Balloon Text Char"/>
    <w:link w:val="BalloonText"/>
    <w:rsid w:val="004C1487"/>
    <w:rPr>
      <w:rFonts w:ascii="Tahoma" w:hAnsi="Tahoma" w:cs="Tahoma"/>
      <w:sz w:val="16"/>
      <w:szCs w:val="16"/>
    </w:rPr>
  </w:style>
  <w:style w:type="character" w:customStyle="1" w:styleId="HeaderChar">
    <w:name w:val="Header Char"/>
    <w:link w:val="Header"/>
    <w:rsid w:val="004C1487"/>
    <w:rPr>
      <w:rFonts w:ascii="Arial" w:hAnsi="Arial"/>
      <w:sz w:val="15"/>
      <w:szCs w:val="24"/>
    </w:rPr>
  </w:style>
  <w:style w:type="character" w:customStyle="1" w:styleId="FooterChar">
    <w:name w:val="Footer Char"/>
    <w:link w:val="Footer"/>
    <w:rsid w:val="004C1487"/>
    <w:rPr>
      <w:rFonts w:ascii="Arial" w:hAnsi="Arial"/>
      <w:sz w:val="15"/>
      <w:szCs w:val="16"/>
    </w:rPr>
  </w:style>
  <w:style w:type="character" w:customStyle="1" w:styleId="Heading2Char1">
    <w:name w:val="Heading 2 Char1"/>
    <w:locked/>
    <w:rsid w:val="009C7FF2"/>
    <w:rPr>
      <w:rFonts w:ascii="Calibri" w:eastAsia="MS Mincho" w:hAnsi="Calibri" w:cs="Arial"/>
      <w:b/>
      <w:bCs/>
      <w:iCs/>
      <w:sz w:val="36"/>
      <w:szCs w:val="28"/>
    </w:rPr>
  </w:style>
  <w:style w:type="character" w:customStyle="1" w:styleId="Heading3Char1">
    <w:name w:val="Heading 3 Char1"/>
    <w:locked/>
    <w:rsid w:val="009C7FF2"/>
    <w:rPr>
      <w:rFonts w:ascii="Calibri" w:eastAsia="MS Mincho" w:hAnsi="Calibri" w:cs="Arial"/>
      <w:b/>
      <w:bCs/>
      <w:sz w:val="32"/>
      <w:szCs w:val="26"/>
    </w:rPr>
  </w:style>
  <w:style w:type="paragraph" w:styleId="CommentSubject">
    <w:name w:val="annotation subject"/>
    <w:basedOn w:val="CommentText"/>
    <w:next w:val="CommentText"/>
    <w:link w:val="CommentSubjectChar"/>
    <w:rsid w:val="004C1487"/>
    <w:rPr>
      <w:b/>
      <w:bCs/>
    </w:rPr>
  </w:style>
  <w:style w:type="character" w:customStyle="1" w:styleId="CommentSubjectChar">
    <w:name w:val="Comment Subject Char"/>
    <w:link w:val="CommentSubject"/>
    <w:rsid w:val="004C1487"/>
    <w:rPr>
      <w:b/>
      <w:bCs/>
      <w:sz w:val="22"/>
    </w:rPr>
  </w:style>
  <w:style w:type="paragraph" w:styleId="Caption">
    <w:name w:val="caption"/>
    <w:basedOn w:val="BodyText"/>
    <w:next w:val="BodyText"/>
    <w:qFormat/>
    <w:rsid w:val="004C1487"/>
    <w:pPr>
      <w:keepNext/>
      <w:keepLines/>
    </w:pPr>
    <w:rPr>
      <w:b/>
      <w:bCs/>
    </w:rPr>
  </w:style>
  <w:style w:type="paragraph" w:customStyle="1" w:styleId="TableText">
    <w:name w:val="Table Text"/>
    <w:basedOn w:val="BodyText"/>
    <w:rsid w:val="004C1487"/>
  </w:style>
  <w:style w:type="paragraph" w:styleId="FootnoteText">
    <w:name w:val="footnote text"/>
    <w:basedOn w:val="BodyText"/>
    <w:link w:val="FootnoteTextChar"/>
    <w:rsid w:val="004C1487"/>
    <w:pPr>
      <w:spacing w:before="60" w:after="60"/>
      <w:ind w:left="227" w:hanging="227"/>
    </w:pPr>
    <w:rPr>
      <w:sz w:val="18"/>
      <w:lang w:val="x-none"/>
    </w:rPr>
  </w:style>
  <w:style w:type="character" w:customStyle="1" w:styleId="FootnoteTextChar">
    <w:name w:val="Footnote Text Char"/>
    <w:link w:val="FootnoteText"/>
    <w:rsid w:val="004C1487"/>
    <w:rPr>
      <w:rFonts w:ascii="Arial" w:hAnsi="Arial"/>
      <w:sz w:val="18"/>
      <w:lang w:val="x-none"/>
    </w:rPr>
  </w:style>
  <w:style w:type="character" w:styleId="FootnoteReference">
    <w:name w:val="footnote reference"/>
    <w:rsid w:val="00FE767E"/>
    <w:rPr>
      <w:vertAlign w:val="superscript"/>
    </w:rPr>
  </w:style>
  <w:style w:type="character" w:customStyle="1" w:styleId="ListBulletChar">
    <w:name w:val="List Bullet Char"/>
    <w:link w:val="ListBullet"/>
    <w:rsid w:val="004C1487"/>
    <w:rPr>
      <w:rFonts w:ascii="Arial" w:hAnsi="Arial"/>
      <w:szCs w:val="24"/>
    </w:rPr>
  </w:style>
  <w:style w:type="paragraph" w:customStyle="1" w:styleId="MediumList1-Accent41">
    <w:name w:val="Medium List 1 - Accent 41"/>
    <w:hidden/>
    <w:uiPriority w:val="99"/>
    <w:semiHidden/>
    <w:rsid w:val="007A3E5C"/>
    <w:rPr>
      <w:rFonts w:ascii="Calibri" w:hAnsi="Calibri"/>
      <w:szCs w:val="24"/>
    </w:rPr>
  </w:style>
  <w:style w:type="paragraph" w:styleId="DocumentMap">
    <w:name w:val="Document Map"/>
    <w:basedOn w:val="Normal"/>
    <w:link w:val="DocumentMapChar"/>
    <w:rsid w:val="009A670F"/>
    <w:rPr>
      <w:rFonts w:ascii="Lucida Grande" w:hAnsi="Lucida Grande"/>
      <w:sz w:val="24"/>
    </w:rPr>
  </w:style>
  <w:style w:type="character" w:customStyle="1" w:styleId="DocumentMapChar">
    <w:name w:val="Document Map Char"/>
    <w:link w:val="DocumentMap"/>
    <w:rsid w:val="009A670F"/>
    <w:rPr>
      <w:rFonts w:ascii="Lucida Grande" w:hAnsi="Lucida Grande"/>
      <w:sz w:val="24"/>
      <w:szCs w:val="24"/>
      <w:lang w:eastAsia="en-AU"/>
    </w:rPr>
  </w:style>
  <w:style w:type="character" w:styleId="Emphasis">
    <w:name w:val="Emphasis"/>
    <w:qFormat/>
    <w:rsid w:val="004C1487"/>
    <w:rPr>
      <w:i/>
      <w:iCs/>
    </w:rPr>
  </w:style>
  <w:style w:type="paragraph" w:customStyle="1" w:styleId="BodyCopy">
    <w:name w:val="Body Copy"/>
    <w:basedOn w:val="Normal"/>
    <w:uiPriority w:val="99"/>
    <w:rsid w:val="00011CCD"/>
    <w:pPr>
      <w:tabs>
        <w:tab w:val="left" w:pos="440"/>
        <w:tab w:val="left" w:pos="660"/>
      </w:tabs>
      <w:suppressAutoHyphens/>
      <w:autoSpaceDE w:val="0"/>
      <w:autoSpaceDN w:val="0"/>
      <w:adjustRightInd w:val="0"/>
      <w:spacing w:before="0" w:after="100" w:line="220" w:lineRule="atLeast"/>
      <w:textAlignment w:val="center"/>
    </w:pPr>
    <w:rPr>
      <w:rFonts w:ascii="StoneSans" w:hAnsi="StoneSans" w:cs="StoneSans"/>
      <w:color w:val="000000"/>
      <w:sz w:val="17"/>
      <w:szCs w:val="17"/>
      <w:lang w:val="en-GB"/>
    </w:rPr>
  </w:style>
  <w:style w:type="paragraph" w:customStyle="1" w:styleId="ColorfulShading-Accent12">
    <w:name w:val="Colorful Shading - Accent 12"/>
    <w:hidden/>
    <w:uiPriority w:val="99"/>
    <w:semiHidden/>
    <w:rsid w:val="00C33768"/>
    <w:rPr>
      <w:rFonts w:ascii="Calibri" w:hAnsi="Calibri"/>
      <w:szCs w:val="24"/>
    </w:rPr>
  </w:style>
  <w:style w:type="paragraph" w:customStyle="1" w:styleId="MediumList2-Accent21">
    <w:name w:val="Medium List 2 - Accent 21"/>
    <w:hidden/>
    <w:uiPriority w:val="99"/>
    <w:semiHidden/>
    <w:rsid w:val="00B26EE9"/>
    <w:rPr>
      <w:rFonts w:ascii="Calibri" w:hAnsi="Calibri"/>
      <w:szCs w:val="24"/>
    </w:rPr>
  </w:style>
  <w:style w:type="paragraph" w:customStyle="1" w:styleId="ColorfulShading-Accent13">
    <w:name w:val="Colorful Shading - Accent 13"/>
    <w:hidden/>
    <w:uiPriority w:val="99"/>
    <w:semiHidden/>
    <w:rsid w:val="00F774E7"/>
    <w:rPr>
      <w:rFonts w:ascii="Calibri" w:hAnsi="Calibri"/>
      <w:szCs w:val="24"/>
    </w:rPr>
  </w:style>
  <w:style w:type="character" w:customStyle="1" w:styleId="Hyperlinkblue">
    <w:name w:val="Hyperlink blue"/>
    <w:uiPriority w:val="99"/>
    <w:rsid w:val="004C1487"/>
    <w:rPr>
      <w:color w:val="000000"/>
      <w:u w:val="none"/>
    </w:rPr>
  </w:style>
  <w:style w:type="character" w:customStyle="1" w:styleId="Bold">
    <w:name w:val="Bold"/>
    <w:uiPriority w:val="99"/>
    <w:rsid w:val="004C1487"/>
    <w:rPr>
      <w:rFonts w:ascii="Arial" w:hAnsi="Arial"/>
      <w:b/>
    </w:rPr>
  </w:style>
  <w:style w:type="character" w:customStyle="1" w:styleId="Italic">
    <w:name w:val="Italic"/>
    <w:uiPriority w:val="99"/>
    <w:rsid w:val="004C1487"/>
    <w:rPr>
      <w:rFonts w:ascii="Arial" w:hAnsi="Arial" w:cs="StoneSansITCStd-MediumItalic"/>
      <w:i/>
      <w:iCs/>
    </w:rPr>
  </w:style>
  <w:style w:type="character" w:styleId="Strong">
    <w:name w:val="Strong"/>
    <w:qFormat/>
    <w:rsid w:val="004C1487"/>
    <w:rPr>
      <w:b/>
      <w:bCs/>
    </w:rPr>
  </w:style>
  <w:style w:type="paragraph" w:customStyle="1" w:styleId="TableCaptionTables">
    <w:name w:val="Table_Caption (Tables)"/>
    <w:basedOn w:val="BodyCopy"/>
    <w:uiPriority w:val="99"/>
    <w:rsid w:val="00011CCD"/>
    <w:pPr>
      <w:spacing w:before="57" w:after="0"/>
    </w:pPr>
    <w:rPr>
      <w:color w:val="B62529"/>
    </w:rPr>
  </w:style>
  <w:style w:type="paragraph" w:styleId="TOC4">
    <w:name w:val="toc 4"/>
    <w:basedOn w:val="Normal"/>
    <w:next w:val="Normal"/>
    <w:autoRedefine/>
    <w:uiPriority w:val="39"/>
    <w:unhideWhenUsed/>
    <w:rsid w:val="004C1487"/>
    <w:pPr>
      <w:spacing w:before="0" w:after="0"/>
      <w:ind w:left="600"/>
    </w:pPr>
    <w:rPr>
      <w:rFonts w:ascii="Times New Roman" w:hAnsi="Times New Roman"/>
      <w:szCs w:val="20"/>
      <w:lang w:eastAsia="en-US"/>
    </w:rPr>
  </w:style>
  <w:style w:type="paragraph" w:styleId="TOC5">
    <w:name w:val="toc 5"/>
    <w:basedOn w:val="Normal"/>
    <w:next w:val="Normal"/>
    <w:autoRedefine/>
    <w:uiPriority w:val="39"/>
    <w:unhideWhenUsed/>
    <w:rsid w:val="004C1487"/>
    <w:pPr>
      <w:spacing w:before="0" w:after="0"/>
      <w:ind w:left="800"/>
    </w:pPr>
    <w:rPr>
      <w:rFonts w:ascii="Times New Roman" w:hAnsi="Times New Roman"/>
      <w:szCs w:val="20"/>
      <w:lang w:eastAsia="en-US"/>
    </w:rPr>
  </w:style>
  <w:style w:type="paragraph" w:styleId="TOC6">
    <w:name w:val="toc 6"/>
    <w:basedOn w:val="Normal"/>
    <w:next w:val="Normal"/>
    <w:autoRedefine/>
    <w:uiPriority w:val="39"/>
    <w:unhideWhenUsed/>
    <w:rsid w:val="004C1487"/>
    <w:pPr>
      <w:spacing w:before="0" w:after="0"/>
      <w:ind w:left="1000"/>
    </w:pPr>
    <w:rPr>
      <w:rFonts w:ascii="Times New Roman" w:hAnsi="Times New Roman"/>
      <w:szCs w:val="20"/>
      <w:lang w:eastAsia="en-US"/>
    </w:rPr>
  </w:style>
  <w:style w:type="paragraph" w:styleId="TOC7">
    <w:name w:val="toc 7"/>
    <w:basedOn w:val="Normal"/>
    <w:next w:val="Normal"/>
    <w:autoRedefine/>
    <w:uiPriority w:val="39"/>
    <w:unhideWhenUsed/>
    <w:rsid w:val="004C1487"/>
    <w:pPr>
      <w:spacing w:before="0" w:after="0"/>
      <w:ind w:left="1200"/>
    </w:pPr>
    <w:rPr>
      <w:rFonts w:ascii="Times New Roman" w:hAnsi="Times New Roman"/>
      <w:szCs w:val="20"/>
      <w:lang w:eastAsia="en-US"/>
    </w:rPr>
  </w:style>
  <w:style w:type="paragraph" w:styleId="TOC8">
    <w:name w:val="toc 8"/>
    <w:basedOn w:val="Normal"/>
    <w:next w:val="Normal"/>
    <w:autoRedefine/>
    <w:uiPriority w:val="39"/>
    <w:unhideWhenUsed/>
    <w:rsid w:val="004C1487"/>
    <w:pPr>
      <w:spacing w:before="0" w:after="0"/>
      <w:ind w:left="1400"/>
    </w:pPr>
    <w:rPr>
      <w:rFonts w:ascii="Times New Roman" w:hAnsi="Times New Roman"/>
      <w:szCs w:val="20"/>
      <w:lang w:eastAsia="en-US"/>
    </w:rPr>
  </w:style>
  <w:style w:type="paragraph" w:styleId="TOC9">
    <w:name w:val="toc 9"/>
    <w:basedOn w:val="Normal"/>
    <w:next w:val="Normal"/>
    <w:autoRedefine/>
    <w:uiPriority w:val="39"/>
    <w:unhideWhenUsed/>
    <w:rsid w:val="004C1487"/>
    <w:pPr>
      <w:spacing w:before="0" w:after="0"/>
      <w:ind w:left="1600"/>
    </w:pPr>
    <w:rPr>
      <w:rFonts w:ascii="Times New Roman" w:hAnsi="Times New Roman"/>
      <w:szCs w:val="20"/>
      <w:lang w:eastAsia="en-US"/>
    </w:rPr>
  </w:style>
  <w:style w:type="paragraph" w:styleId="BlockText">
    <w:name w:val="Block Text"/>
    <w:basedOn w:val="Normal"/>
    <w:rsid w:val="004C1487"/>
    <w:pPr>
      <w:spacing w:after="120"/>
      <w:ind w:left="1440" w:right="1440"/>
    </w:pPr>
  </w:style>
  <w:style w:type="paragraph" w:styleId="BodyText2">
    <w:name w:val="Body Text 2"/>
    <w:basedOn w:val="Normal"/>
    <w:link w:val="BodyText2Char"/>
    <w:rsid w:val="004C1487"/>
    <w:pPr>
      <w:spacing w:after="120" w:line="480" w:lineRule="auto"/>
    </w:pPr>
    <w:rPr>
      <w:sz w:val="20"/>
    </w:rPr>
  </w:style>
  <w:style w:type="character" w:customStyle="1" w:styleId="BodyText2Char">
    <w:name w:val="Body Text 2 Char"/>
    <w:link w:val="BodyText2"/>
    <w:rsid w:val="004C1487"/>
    <w:rPr>
      <w:rFonts w:ascii="Arial" w:hAnsi="Arial"/>
      <w:szCs w:val="24"/>
    </w:rPr>
  </w:style>
  <w:style w:type="paragraph" w:styleId="BodyTextFirstIndent">
    <w:name w:val="Body Text First Indent"/>
    <w:basedOn w:val="BodyText"/>
    <w:link w:val="BodyTextFirstIndentChar"/>
    <w:rsid w:val="004C1487"/>
    <w:pPr>
      <w:suppressAutoHyphens w:val="0"/>
      <w:spacing w:before="240" w:after="120" w:line="240" w:lineRule="auto"/>
      <w:ind w:firstLine="210"/>
    </w:pPr>
    <w:rPr>
      <w:sz w:val="22"/>
      <w:szCs w:val="24"/>
    </w:rPr>
  </w:style>
  <w:style w:type="character" w:customStyle="1" w:styleId="BodyTextFirstIndentChar">
    <w:name w:val="Body Text First Indent Char"/>
    <w:link w:val="BodyTextFirstIndent"/>
    <w:rsid w:val="004C1487"/>
    <w:rPr>
      <w:rFonts w:ascii="Arial" w:hAnsi="Arial"/>
      <w:sz w:val="22"/>
      <w:szCs w:val="24"/>
    </w:rPr>
  </w:style>
  <w:style w:type="paragraph" w:styleId="BodyTextIndent">
    <w:name w:val="Body Text Indent"/>
    <w:basedOn w:val="Normal"/>
    <w:link w:val="BodyTextIndentChar"/>
    <w:rsid w:val="004C1487"/>
    <w:pPr>
      <w:spacing w:after="120"/>
      <w:ind w:left="283"/>
    </w:pPr>
  </w:style>
  <w:style w:type="character" w:customStyle="1" w:styleId="BodyTextIndentChar">
    <w:name w:val="Body Text Indent Char"/>
    <w:link w:val="BodyTextIndent"/>
    <w:rsid w:val="004C1487"/>
    <w:rPr>
      <w:rFonts w:ascii="Arial" w:hAnsi="Arial"/>
      <w:sz w:val="22"/>
      <w:szCs w:val="24"/>
    </w:rPr>
  </w:style>
  <w:style w:type="paragraph" w:styleId="BodyTextFirstIndent2">
    <w:name w:val="Body Text First Indent 2"/>
    <w:basedOn w:val="BodyTextIndent"/>
    <w:link w:val="BodyTextFirstIndent2Char"/>
    <w:rsid w:val="004C1487"/>
    <w:pPr>
      <w:ind w:firstLine="210"/>
    </w:pPr>
  </w:style>
  <w:style w:type="character" w:customStyle="1" w:styleId="BodyTextFirstIndent2Char">
    <w:name w:val="Body Text First Indent 2 Char"/>
    <w:link w:val="BodyTextFirstIndent2"/>
    <w:rsid w:val="004C1487"/>
    <w:rPr>
      <w:rFonts w:ascii="Arial" w:hAnsi="Arial"/>
      <w:sz w:val="22"/>
      <w:szCs w:val="24"/>
    </w:rPr>
  </w:style>
  <w:style w:type="character" w:customStyle="1" w:styleId="FooterURL">
    <w:name w:val="Footer URL"/>
    <w:qFormat/>
    <w:rsid w:val="004C1487"/>
    <w:rPr>
      <w:sz w:val="22"/>
      <w:szCs w:val="22"/>
    </w:rPr>
  </w:style>
  <w:style w:type="character" w:customStyle="1" w:styleId="Heading6Char">
    <w:name w:val="Heading 6 Char"/>
    <w:link w:val="Heading6"/>
    <w:rsid w:val="004C1487"/>
    <w:rPr>
      <w:rFonts w:ascii="Arial" w:hAnsi="Arial" w:cs="Arial"/>
      <w:b/>
      <w:bCs/>
      <w:szCs w:val="22"/>
    </w:rPr>
  </w:style>
  <w:style w:type="paragraph" w:styleId="List5">
    <w:name w:val="List 5"/>
    <w:basedOn w:val="Normal"/>
    <w:rsid w:val="004C1487"/>
    <w:pPr>
      <w:ind w:left="1415" w:hanging="283"/>
      <w:contextualSpacing/>
    </w:pPr>
  </w:style>
  <w:style w:type="paragraph" w:styleId="ListBullet3">
    <w:name w:val="List Bullet 3"/>
    <w:basedOn w:val="Normal"/>
    <w:rsid w:val="004C1487"/>
    <w:pPr>
      <w:numPr>
        <w:numId w:val="6"/>
      </w:numPr>
      <w:spacing w:before="40" w:after="40" w:line="288" w:lineRule="auto"/>
    </w:pPr>
    <w:rPr>
      <w:sz w:val="20"/>
      <w:szCs w:val="22"/>
    </w:rPr>
  </w:style>
  <w:style w:type="paragraph" w:styleId="Revision">
    <w:name w:val="Revision"/>
    <w:hidden/>
    <w:uiPriority w:val="71"/>
    <w:rsid w:val="000E6FF4"/>
    <w:rPr>
      <w:rFonts w:ascii="Arial" w:hAnsi="Arial"/>
      <w:sz w:val="22"/>
      <w:szCs w:val="24"/>
    </w:rPr>
  </w:style>
  <w:style w:type="paragraph" w:customStyle="1" w:styleId="headingtable">
    <w:name w:val="heading table"/>
    <w:basedOn w:val="Normal"/>
    <w:next w:val="Normal"/>
    <w:rsid w:val="000452B6"/>
    <w:pPr>
      <w:keepNext/>
      <w:numPr>
        <w:numId w:val="18"/>
      </w:numPr>
      <w:spacing w:before="120" w:after="60"/>
    </w:pPr>
    <w:rPr>
      <w:rFonts w:eastAsiaTheme="minorEastAsia"/>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8035">
      <w:marLeft w:val="0"/>
      <w:marRight w:val="0"/>
      <w:marTop w:val="0"/>
      <w:marBottom w:val="0"/>
      <w:divBdr>
        <w:top w:val="none" w:sz="0" w:space="0" w:color="auto"/>
        <w:left w:val="none" w:sz="0" w:space="0" w:color="auto"/>
        <w:bottom w:val="none" w:sz="0" w:space="0" w:color="auto"/>
        <w:right w:val="none" w:sz="0" w:space="0" w:color="auto"/>
      </w:divBdr>
    </w:div>
    <w:div w:id="177158056">
      <w:marLeft w:val="0"/>
      <w:marRight w:val="0"/>
      <w:marTop w:val="0"/>
      <w:marBottom w:val="0"/>
      <w:divBdr>
        <w:top w:val="none" w:sz="0" w:space="0" w:color="auto"/>
        <w:left w:val="none" w:sz="0" w:space="0" w:color="auto"/>
        <w:bottom w:val="none" w:sz="0" w:space="0" w:color="auto"/>
        <w:right w:val="none" w:sz="0" w:space="0" w:color="auto"/>
      </w:divBdr>
    </w:div>
    <w:div w:id="1283659018">
      <w:marLeft w:val="0"/>
      <w:marRight w:val="0"/>
      <w:marTop w:val="0"/>
      <w:marBottom w:val="0"/>
      <w:divBdr>
        <w:top w:val="none" w:sz="0" w:space="0" w:color="auto"/>
        <w:left w:val="none" w:sz="0" w:space="0" w:color="auto"/>
        <w:bottom w:val="none" w:sz="0" w:space="0" w:color="auto"/>
        <w:right w:val="none" w:sz="0" w:space="0" w:color="auto"/>
      </w:divBdr>
    </w:div>
    <w:div w:id="1578903561">
      <w:marLeft w:val="0"/>
      <w:marRight w:val="0"/>
      <w:marTop w:val="0"/>
      <w:marBottom w:val="0"/>
      <w:divBdr>
        <w:top w:val="none" w:sz="0" w:space="0" w:color="auto"/>
        <w:left w:val="none" w:sz="0" w:space="0" w:color="auto"/>
        <w:bottom w:val="none" w:sz="0" w:space="0" w:color="auto"/>
        <w:right w:val="none" w:sz="0" w:space="0" w:color="auto"/>
      </w:divBdr>
    </w:div>
    <w:div w:id="190293566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mer.vic.gov.au/gra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pf.grant.enquiries@justice.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vic.gov.au/vpfsustainablehousingro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mer.vic.gov.au/grants" TargetMode="External"/><Relationship Id="rId4" Type="http://schemas.openxmlformats.org/officeDocument/2006/relationships/settings" Target="settings.xml"/><Relationship Id="rId9" Type="http://schemas.openxmlformats.org/officeDocument/2006/relationships/hyperlink" Target="https://www.veet.vic.gov.au/Public/Public.aspx?id=Ho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1762-2A4D-4A0C-B877-CFB15890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2773</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Renting a home: a guide for tenants</vt:lpstr>
    </vt:vector>
  </TitlesOfParts>
  <Manager/>
  <Company>Department of Justice and Regulation</Company>
  <LinksUpToDate>false</LinksUpToDate>
  <CharactersWithSpaces>20002</CharactersWithSpaces>
  <SharedDoc>false</SharedDoc>
  <HyperlinkBase/>
  <HLinks>
    <vt:vector size="912" baseType="variant">
      <vt:variant>
        <vt:i4>1441801</vt:i4>
      </vt:variant>
      <vt:variant>
        <vt:i4>738</vt:i4>
      </vt:variant>
      <vt:variant>
        <vt:i4>0</vt:i4>
      </vt:variant>
      <vt:variant>
        <vt:i4>5</vt:i4>
      </vt:variant>
      <vt:variant>
        <vt:lpwstr>http://www.consumer.vic.gov.au/rentright</vt:lpwstr>
      </vt:variant>
      <vt:variant>
        <vt:lpwstr/>
      </vt:variant>
      <vt:variant>
        <vt:i4>3211309</vt:i4>
      </vt:variant>
      <vt:variant>
        <vt:i4>735</vt:i4>
      </vt:variant>
      <vt:variant>
        <vt:i4>0</vt:i4>
      </vt:variant>
      <vt:variant>
        <vt:i4>5</vt:i4>
      </vt:variant>
      <vt:variant>
        <vt:lpwstr>http://www.youtube.com/consumervic</vt:lpwstr>
      </vt:variant>
      <vt:variant>
        <vt:lpwstr/>
      </vt:variant>
      <vt:variant>
        <vt:i4>7536702</vt:i4>
      </vt:variant>
      <vt:variant>
        <vt:i4>732</vt:i4>
      </vt:variant>
      <vt:variant>
        <vt:i4>0</vt:i4>
      </vt:variant>
      <vt:variant>
        <vt:i4>5</vt:i4>
      </vt:variant>
      <vt:variant>
        <vt:lpwstr>https://twitter.com/consumervic</vt:lpwstr>
      </vt:variant>
      <vt:variant>
        <vt:lpwstr/>
      </vt:variant>
      <vt:variant>
        <vt:i4>4718659</vt:i4>
      </vt:variant>
      <vt:variant>
        <vt:i4>729</vt:i4>
      </vt:variant>
      <vt:variant>
        <vt:i4>0</vt:i4>
      </vt:variant>
      <vt:variant>
        <vt:i4>5</vt:i4>
      </vt:variant>
      <vt:variant>
        <vt:lpwstr>https://www.facebook.com/ConsumerAffairsVictoria</vt:lpwstr>
      </vt:variant>
      <vt:variant>
        <vt:lpwstr/>
      </vt:variant>
      <vt:variant>
        <vt:i4>7012406</vt:i4>
      </vt:variant>
      <vt:variant>
        <vt:i4>726</vt:i4>
      </vt:variant>
      <vt:variant>
        <vt:i4>0</vt:i4>
      </vt:variant>
      <vt:variant>
        <vt:i4>5</vt:i4>
      </vt:variant>
      <vt:variant>
        <vt:lpwstr>http://www.consumer.vic.gov.au/</vt:lpwstr>
      </vt:variant>
      <vt:variant>
        <vt:lpwstr/>
      </vt:variant>
      <vt:variant>
        <vt:i4>327807</vt:i4>
      </vt:variant>
      <vt:variant>
        <vt:i4>723</vt:i4>
      </vt:variant>
      <vt:variant>
        <vt:i4>0</vt:i4>
      </vt:variant>
      <vt:variant>
        <vt:i4>5</vt:i4>
      </vt:variant>
      <vt:variant>
        <vt:lpwstr>mailto:admin@vpta.org.au</vt:lpwstr>
      </vt:variant>
      <vt:variant>
        <vt:lpwstr/>
      </vt:variant>
      <vt:variant>
        <vt:i4>3014769</vt:i4>
      </vt:variant>
      <vt:variant>
        <vt:i4>720</vt:i4>
      </vt:variant>
      <vt:variant>
        <vt:i4>0</vt:i4>
      </vt:variant>
      <vt:variant>
        <vt:i4>5</vt:i4>
      </vt:variant>
      <vt:variant>
        <vt:lpwstr>http://vpta.org.au/</vt:lpwstr>
      </vt:variant>
      <vt:variant>
        <vt:lpwstr/>
      </vt:variant>
      <vt:variant>
        <vt:i4>5177462</vt:i4>
      </vt:variant>
      <vt:variant>
        <vt:i4>717</vt:i4>
      </vt:variant>
      <vt:variant>
        <vt:i4>0</vt:i4>
      </vt:variant>
      <vt:variant>
        <vt:i4>5</vt:i4>
      </vt:variant>
      <vt:variant>
        <vt:lpwstr>mailto:information@veohrc.vic.gov.au</vt:lpwstr>
      </vt:variant>
      <vt:variant>
        <vt:lpwstr/>
      </vt:variant>
      <vt:variant>
        <vt:i4>917507</vt:i4>
      </vt:variant>
      <vt:variant>
        <vt:i4>714</vt:i4>
      </vt:variant>
      <vt:variant>
        <vt:i4>0</vt:i4>
      </vt:variant>
      <vt:variant>
        <vt:i4>5</vt:i4>
      </vt:variant>
      <vt:variant>
        <vt:lpwstr>http://www.humanrightscommission.vic.gov.au/</vt:lpwstr>
      </vt:variant>
      <vt:variant>
        <vt:lpwstr/>
      </vt:variant>
      <vt:variant>
        <vt:i4>8126576</vt:i4>
      </vt:variant>
      <vt:variant>
        <vt:i4>711</vt:i4>
      </vt:variant>
      <vt:variant>
        <vt:i4>0</vt:i4>
      </vt:variant>
      <vt:variant>
        <vt:i4>5</vt:i4>
      </vt:variant>
      <vt:variant>
        <vt:lpwstr>http://1800respect.org.au/</vt:lpwstr>
      </vt:variant>
      <vt:variant>
        <vt:lpwstr/>
      </vt:variant>
      <vt:variant>
        <vt:i4>4784175</vt:i4>
      </vt:variant>
      <vt:variant>
        <vt:i4>708</vt:i4>
      </vt:variant>
      <vt:variant>
        <vt:i4>0</vt:i4>
      </vt:variant>
      <vt:variant>
        <vt:i4>5</vt:i4>
      </vt:variant>
      <vt:variant>
        <vt:lpwstr>mailto:ewovinfo@ewov.com.au</vt:lpwstr>
      </vt:variant>
      <vt:variant>
        <vt:lpwstr/>
      </vt:variant>
      <vt:variant>
        <vt:i4>3866727</vt:i4>
      </vt:variant>
      <vt:variant>
        <vt:i4>705</vt:i4>
      </vt:variant>
      <vt:variant>
        <vt:i4>0</vt:i4>
      </vt:variant>
      <vt:variant>
        <vt:i4>5</vt:i4>
      </vt:variant>
      <vt:variant>
        <vt:lpwstr>http://ewov.com.au/</vt:lpwstr>
      </vt:variant>
      <vt:variant>
        <vt:lpwstr/>
      </vt:variant>
      <vt:variant>
        <vt:i4>4980791</vt:i4>
      </vt:variant>
      <vt:variant>
        <vt:i4>702</vt:i4>
      </vt:variant>
      <vt:variant>
        <vt:i4>0</vt:i4>
      </vt:variant>
      <vt:variant>
        <vt:i4>5</vt:i4>
      </vt:variant>
      <vt:variant>
        <vt:lpwstr>mailto:haag@oldertenants.org.au</vt:lpwstr>
      </vt:variant>
      <vt:variant>
        <vt:lpwstr/>
      </vt:variant>
      <vt:variant>
        <vt:i4>2424887</vt:i4>
      </vt:variant>
      <vt:variant>
        <vt:i4>699</vt:i4>
      </vt:variant>
      <vt:variant>
        <vt:i4>0</vt:i4>
      </vt:variant>
      <vt:variant>
        <vt:i4>5</vt:i4>
      </vt:variant>
      <vt:variant>
        <vt:lpwstr>http://www.oldertenants.org.au/</vt:lpwstr>
      </vt:variant>
      <vt:variant>
        <vt:lpwstr/>
      </vt:variant>
      <vt:variant>
        <vt:i4>196664</vt:i4>
      </vt:variant>
      <vt:variant>
        <vt:i4>696</vt:i4>
      </vt:variant>
      <vt:variant>
        <vt:i4>0</vt:i4>
      </vt:variant>
      <vt:variant>
        <vt:i4>5</vt:i4>
      </vt:variant>
      <vt:variant>
        <vt:lpwstr>mailto:housing@dhs.vic.gov.au</vt:lpwstr>
      </vt:variant>
      <vt:variant>
        <vt:lpwstr/>
      </vt:variant>
      <vt:variant>
        <vt:i4>7471231</vt:i4>
      </vt:variant>
      <vt:variant>
        <vt:i4>693</vt:i4>
      </vt:variant>
      <vt:variant>
        <vt:i4>0</vt:i4>
      </vt:variant>
      <vt:variant>
        <vt:i4>5</vt:i4>
      </vt:variant>
      <vt:variant>
        <vt:lpwstr>http://www.housing.vic.gov.au/</vt:lpwstr>
      </vt:variant>
      <vt:variant>
        <vt:lpwstr/>
      </vt:variant>
      <vt:variant>
        <vt:i4>6684701</vt:i4>
      </vt:variant>
      <vt:variant>
        <vt:i4>690</vt:i4>
      </vt:variant>
      <vt:variant>
        <vt:i4>0</vt:i4>
      </vt:variant>
      <vt:variant>
        <vt:i4>5</vt:i4>
      </vt:variant>
      <vt:variant>
        <vt:lpwstr>mailto:vcat-rt@vcat.vic.gov.au</vt:lpwstr>
      </vt:variant>
      <vt:variant>
        <vt:lpwstr/>
      </vt:variant>
      <vt:variant>
        <vt:i4>6357115</vt:i4>
      </vt:variant>
      <vt:variant>
        <vt:i4>687</vt:i4>
      </vt:variant>
      <vt:variant>
        <vt:i4>0</vt:i4>
      </vt:variant>
      <vt:variant>
        <vt:i4>5</vt:i4>
      </vt:variant>
      <vt:variant>
        <vt:lpwstr>http://vcat.vic.gov.au/</vt:lpwstr>
      </vt:variant>
      <vt:variant>
        <vt:lpwstr/>
      </vt:variant>
      <vt:variant>
        <vt:i4>4522029</vt:i4>
      </vt:variant>
      <vt:variant>
        <vt:i4>684</vt:i4>
      </vt:variant>
      <vt:variant>
        <vt:i4>0</vt:i4>
      </vt:variant>
      <vt:variant>
        <vt:i4>5</vt:i4>
      </vt:variant>
      <vt:variant>
        <vt:lpwstr>mailto:reiv@reiv.com.au</vt:lpwstr>
      </vt:variant>
      <vt:variant>
        <vt:lpwstr/>
      </vt:variant>
      <vt:variant>
        <vt:i4>2752556</vt:i4>
      </vt:variant>
      <vt:variant>
        <vt:i4>681</vt:i4>
      </vt:variant>
      <vt:variant>
        <vt:i4>0</vt:i4>
      </vt:variant>
      <vt:variant>
        <vt:i4>5</vt:i4>
      </vt:variant>
      <vt:variant>
        <vt:lpwstr>http://www.reiv.com.au/</vt:lpwstr>
      </vt:variant>
      <vt:variant>
        <vt:lpwstr/>
      </vt:variant>
      <vt:variant>
        <vt:i4>7274619</vt:i4>
      </vt:variant>
      <vt:variant>
        <vt:i4>678</vt:i4>
      </vt:variant>
      <vt:variant>
        <vt:i4>0</vt:i4>
      </vt:variant>
      <vt:variant>
        <vt:i4>5</vt:i4>
      </vt:variant>
      <vt:variant>
        <vt:lpwstr>http://tuv.org.au/</vt:lpwstr>
      </vt:variant>
      <vt:variant>
        <vt:lpwstr/>
      </vt:variant>
      <vt:variant>
        <vt:i4>7274530</vt:i4>
      </vt:variant>
      <vt:variant>
        <vt:i4>675</vt:i4>
      </vt:variant>
      <vt:variant>
        <vt:i4>0</vt:i4>
      </vt:variant>
      <vt:variant>
        <vt:i4>5</vt:i4>
      </vt:variant>
      <vt:variant>
        <vt:lpwstr>http://www.tuv.org.au/</vt:lpwstr>
      </vt:variant>
      <vt:variant>
        <vt:lpwstr/>
      </vt:variant>
      <vt:variant>
        <vt:i4>852015</vt:i4>
      </vt:variant>
      <vt:variant>
        <vt:i4>672</vt:i4>
      </vt:variant>
      <vt:variant>
        <vt:i4>0</vt:i4>
      </vt:variant>
      <vt:variant>
        <vt:i4>5</vt:i4>
      </vt:variant>
      <vt:variant>
        <vt:lpwstr>mailto:rtba@justice.vic.gov.au</vt:lpwstr>
      </vt:variant>
      <vt:variant>
        <vt:lpwstr/>
      </vt:variant>
      <vt:variant>
        <vt:i4>6684704</vt:i4>
      </vt:variant>
      <vt:variant>
        <vt:i4>669</vt:i4>
      </vt:variant>
      <vt:variant>
        <vt:i4>0</vt:i4>
      </vt:variant>
      <vt:variant>
        <vt:i4>5</vt:i4>
      </vt:variant>
      <vt:variant>
        <vt:lpwstr>http://www.rtba.vic.gov.au/</vt:lpwstr>
      </vt:variant>
      <vt:variant>
        <vt:lpwstr/>
      </vt:variant>
      <vt:variant>
        <vt:i4>983088</vt:i4>
      </vt:variant>
      <vt:variant>
        <vt:i4>663</vt:i4>
      </vt:variant>
      <vt:variant>
        <vt:i4>0</vt:i4>
      </vt:variant>
      <vt:variant>
        <vt:i4>5</vt:i4>
      </vt:variant>
      <vt:variant>
        <vt:lpwstr/>
      </vt:variant>
      <vt:variant>
        <vt:lpwstr>VCAT_contact</vt:lpwstr>
      </vt:variant>
      <vt:variant>
        <vt:i4>1966126</vt:i4>
      </vt:variant>
      <vt:variant>
        <vt:i4>657</vt:i4>
      </vt:variant>
      <vt:variant>
        <vt:i4>0</vt:i4>
      </vt:variant>
      <vt:variant>
        <vt:i4>5</vt:i4>
      </vt:variant>
      <vt:variant>
        <vt:lpwstr/>
      </vt:variant>
      <vt:variant>
        <vt:lpwstr>HAAG_contact</vt:lpwstr>
      </vt:variant>
      <vt:variant>
        <vt:i4>983088</vt:i4>
      </vt:variant>
      <vt:variant>
        <vt:i4>651</vt:i4>
      </vt:variant>
      <vt:variant>
        <vt:i4>0</vt:i4>
      </vt:variant>
      <vt:variant>
        <vt:i4>5</vt:i4>
      </vt:variant>
      <vt:variant>
        <vt:lpwstr/>
      </vt:variant>
      <vt:variant>
        <vt:lpwstr>VCAT_contact</vt:lpwstr>
      </vt:variant>
      <vt:variant>
        <vt:i4>8257653</vt:i4>
      </vt:variant>
      <vt:variant>
        <vt:i4>648</vt:i4>
      </vt:variant>
      <vt:variant>
        <vt:i4>0</vt:i4>
      </vt:variant>
      <vt:variant>
        <vt:i4>5</vt:i4>
      </vt:variant>
      <vt:variant>
        <vt:lpwstr>https://www.consumer.vic.gov.au/renting</vt:lpwstr>
      </vt:variant>
      <vt:variant>
        <vt:lpwstr/>
      </vt:variant>
      <vt:variant>
        <vt:i4>8257653</vt:i4>
      </vt:variant>
      <vt:variant>
        <vt:i4>645</vt:i4>
      </vt:variant>
      <vt:variant>
        <vt:i4>0</vt:i4>
      </vt:variant>
      <vt:variant>
        <vt:i4>5</vt:i4>
      </vt:variant>
      <vt:variant>
        <vt:lpwstr>https://www.consumer.vic.gov.au/renting</vt:lpwstr>
      </vt:variant>
      <vt:variant>
        <vt:lpwstr/>
      </vt:variant>
      <vt:variant>
        <vt:i4>4522056</vt:i4>
      </vt:variant>
      <vt:variant>
        <vt:i4>639</vt:i4>
      </vt:variant>
      <vt:variant>
        <vt:i4>0</vt:i4>
      </vt:variant>
      <vt:variant>
        <vt:i4>5</vt:i4>
      </vt:variant>
      <vt:variant>
        <vt:lpwstr/>
      </vt:variant>
      <vt:variant>
        <vt:lpwstr>_Tenants_Union_of_1</vt:lpwstr>
      </vt:variant>
      <vt:variant>
        <vt:i4>4718702</vt:i4>
      </vt:variant>
      <vt:variant>
        <vt:i4>633</vt:i4>
      </vt:variant>
      <vt:variant>
        <vt:i4>0</vt:i4>
      </vt:variant>
      <vt:variant>
        <vt:i4>5</vt:i4>
      </vt:variant>
      <vt:variant>
        <vt:lpwstr/>
      </vt:variant>
      <vt:variant>
        <vt:lpwstr>_Tenancy_Advice_and</vt:lpwstr>
      </vt:variant>
      <vt:variant>
        <vt:i4>1769490</vt:i4>
      </vt:variant>
      <vt:variant>
        <vt:i4>627</vt:i4>
      </vt:variant>
      <vt:variant>
        <vt:i4>0</vt:i4>
      </vt:variant>
      <vt:variant>
        <vt:i4>5</vt:i4>
      </vt:variant>
      <vt:variant>
        <vt:lpwstr/>
      </vt:variant>
      <vt:variant>
        <vt:lpwstr>_Belongings_left_behind_1</vt:lpwstr>
      </vt:variant>
      <vt:variant>
        <vt:i4>3473509</vt:i4>
      </vt:variant>
      <vt:variant>
        <vt:i4>624</vt:i4>
      </vt:variant>
      <vt:variant>
        <vt:i4>0</vt:i4>
      </vt:variant>
      <vt:variant>
        <vt:i4>5</vt:i4>
      </vt:variant>
      <vt:variant>
        <vt:lpwstr>https://www.vcat.vic.gov.au/resources/giving-notices-residential-tenancies-list</vt:lpwstr>
      </vt:variant>
      <vt:variant>
        <vt:lpwstr/>
      </vt:variant>
      <vt:variant>
        <vt:i4>6422629</vt:i4>
      </vt:variant>
      <vt:variant>
        <vt:i4>621</vt:i4>
      </vt:variant>
      <vt:variant>
        <vt:i4>0</vt:i4>
      </vt:variant>
      <vt:variant>
        <vt:i4>5</vt:i4>
      </vt:variant>
      <vt:variant>
        <vt:lpwstr>http://auspost.com.au/</vt:lpwstr>
      </vt:variant>
      <vt:variant>
        <vt:lpwstr/>
      </vt:variant>
      <vt:variant>
        <vt:i4>4063347</vt:i4>
      </vt:variant>
      <vt:variant>
        <vt:i4>615</vt:i4>
      </vt:variant>
      <vt:variant>
        <vt:i4>0</vt:i4>
      </vt:variant>
      <vt:variant>
        <vt:i4>5</vt:i4>
      </vt:variant>
      <vt:variant>
        <vt:lpwstr/>
      </vt:variant>
      <vt:variant>
        <vt:lpwstr>Table3</vt:lpwstr>
      </vt:variant>
      <vt:variant>
        <vt:i4>983088</vt:i4>
      </vt:variant>
      <vt:variant>
        <vt:i4>609</vt:i4>
      </vt:variant>
      <vt:variant>
        <vt:i4>0</vt:i4>
      </vt:variant>
      <vt:variant>
        <vt:i4>5</vt:i4>
      </vt:variant>
      <vt:variant>
        <vt:lpwstr/>
      </vt:variant>
      <vt:variant>
        <vt:lpwstr>VCAT_contact</vt:lpwstr>
      </vt:variant>
      <vt:variant>
        <vt:i4>7340098</vt:i4>
      </vt:variant>
      <vt:variant>
        <vt:i4>603</vt:i4>
      </vt:variant>
      <vt:variant>
        <vt:i4>0</vt:i4>
      </vt:variant>
      <vt:variant>
        <vt:i4>5</vt:i4>
      </vt:variant>
      <vt:variant>
        <vt:lpwstr/>
      </vt:variant>
      <vt:variant>
        <vt:lpwstr>Reasons_minimum_notice_periods</vt:lpwstr>
      </vt:variant>
      <vt:variant>
        <vt:i4>3080246</vt:i4>
      </vt:variant>
      <vt:variant>
        <vt:i4>600</vt:i4>
      </vt:variant>
      <vt:variant>
        <vt:i4>0</vt:i4>
      </vt:variant>
      <vt:variant>
        <vt:i4>5</vt:i4>
      </vt:variant>
      <vt:variant>
        <vt:lpwstr>https://www.consumer.vic.gov.au/resources-and-education/family-violence</vt:lpwstr>
      </vt:variant>
      <vt:variant>
        <vt:lpwstr/>
      </vt:variant>
      <vt:variant>
        <vt:i4>3473511</vt:i4>
      </vt:variant>
      <vt:variant>
        <vt:i4>597</vt:i4>
      </vt:variant>
      <vt:variant>
        <vt:i4>0</vt:i4>
      </vt:variant>
      <vt:variant>
        <vt:i4>5</vt:i4>
      </vt:variant>
      <vt:variant>
        <vt:lpwstr>https://www.vcat.vic.gov.au/steps-to-resolve-your-case/apply-to-start-a-case/fee-relief</vt:lpwstr>
      </vt:variant>
      <vt:variant>
        <vt:lpwstr/>
      </vt:variant>
      <vt:variant>
        <vt:i4>7733359</vt:i4>
      </vt:variant>
      <vt:variant>
        <vt:i4>594</vt:i4>
      </vt:variant>
      <vt:variant>
        <vt:i4>0</vt:i4>
      </vt:variant>
      <vt:variant>
        <vt:i4>5</vt:i4>
      </vt:variant>
      <vt:variant>
        <vt:lpwstr>http://www.vba.vic.gov.au/</vt:lpwstr>
      </vt:variant>
      <vt:variant>
        <vt:lpwstr/>
      </vt:variant>
      <vt:variant>
        <vt:i4>7471230</vt:i4>
      </vt:variant>
      <vt:variant>
        <vt:i4>591</vt:i4>
      </vt:variant>
      <vt:variant>
        <vt:i4>0</vt:i4>
      </vt:variant>
      <vt:variant>
        <vt:i4>5</vt:i4>
      </vt:variant>
      <vt:variant>
        <vt:lpwstr>http://www.esv.vic.gov.au/</vt:lpwstr>
      </vt:variant>
      <vt:variant>
        <vt:lpwstr/>
      </vt:variant>
      <vt:variant>
        <vt:i4>5767252</vt:i4>
      </vt:variant>
      <vt:variant>
        <vt:i4>588</vt:i4>
      </vt:variant>
      <vt:variant>
        <vt:i4>0</vt:i4>
      </vt:variant>
      <vt:variant>
        <vt:i4>5</vt:i4>
      </vt:variant>
      <vt:variant>
        <vt:lpwstr>http://www.consumer.vic.gov.au/library/forms/housing-and-accommodation/renting/notice-to-landlord-of-rented-premises.doc</vt:lpwstr>
      </vt:variant>
      <vt:variant>
        <vt:lpwstr/>
      </vt:variant>
      <vt:variant>
        <vt:i4>1441801</vt:i4>
      </vt:variant>
      <vt:variant>
        <vt:i4>585</vt:i4>
      </vt:variant>
      <vt:variant>
        <vt:i4>0</vt:i4>
      </vt:variant>
      <vt:variant>
        <vt:i4>5</vt:i4>
      </vt:variant>
      <vt:variant>
        <vt:lpwstr>http://www.consumer.vic.gov.au/rentright</vt:lpwstr>
      </vt:variant>
      <vt:variant>
        <vt:lpwstr/>
      </vt:variant>
      <vt:variant>
        <vt:i4>196628</vt:i4>
      </vt:variant>
      <vt:variant>
        <vt:i4>582</vt:i4>
      </vt:variant>
      <vt:variant>
        <vt:i4>0</vt:i4>
      </vt:variant>
      <vt:variant>
        <vt:i4>5</vt:i4>
      </vt:variant>
      <vt:variant>
        <vt:lpwstr>https://www.consumer.vic.gov.au/forms</vt:lpwstr>
      </vt:variant>
      <vt:variant>
        <vt:lpwstr/>
      </vt:variant>
      <vt:variant>
        <vt:i4>196628</vt:i4>
      </vt:variant>
      <vt:variant>
        <vt:i4>579</vt:i4>
      </vt:variant>
      <vt:variant>
        <vt:i4>0</vt:i4>
      </vt:variant>
      <vt:variant>
        <vt:i4>5</vt:i4>
      </vt:variant>
      <vt:variant>
        <vt:lpwstr>https://www.consumer.vic.gov.au/forms</vt:lpwstr>
      </vt:variant>
      <vt:variant>
        <vt:lpwstr/>
      </vt:variant>
      <vt:variant>
        <vt:i4>3604514</vt:i4>
      </vt:variant>
      <vt:variant>
        <vt:i4>576</vt:i4>
      </vt:variant>
      <vt:variant>
        <vt:i4>0</vt:i4>
      </vt:variant>
      <vt:variant>
        <vt:i4>5</vt:i4>
      </vt:variant>
      <vt:variant>
        <vt:lpwstr>http://www.oaic.gov.au/</vt:lpwstr>
      </vt:variant>
      <vt:variant>
        <vt:lpwstr/>
      </vt:variant>
      <vt:variant>
        <vt:i4>4980832</vt:i4>
      </vt:variant>
      <vt:variant>
        <vt:i4>570</vt:i4>
      </vt:variant>
      <vt:variant>
        <vt:i4>0</vt:i4>
      </vt:variant>
      <vt:variant>
        <vt:i4>5</vt:i4>
      </vt:variant>
      <vt:variant>
        <vt:lpwstr/>
      </vt:variant>
      <vt:variant>
        <vt:lpwstr>_When_your_landlord</vt:lpwstr>
      </vt:variant>
      <vt:variant>
        <vt:i4>7667764</vt:i4>
      </vt:variant>
      <vt:variant>
        <vt:i4>567</vt:i4>
      </vt:variant>
      <vt:variant>
        <vt:i4>0</vt:i4>
      </vt:variant>
      <vt:variant>
        <vt:i4>5</vt:i4>
      </vt:variant>
      <vt:variant>
        <vt:lpwstr>http://www.environmentvictoria.org.au/rentersguide</vt:lpwstr>
      </vt:variant>
      <vt:variant>
        <vt:lpwstr/>
      </vt:variant>
      <vt:variant>
        <vt:i4>1441801</vt:i4>
      </vt:variant>
      <vt:variant>
        <vt:i4>564</vt:i4>
      </vt:variant>
      <vt:variant>
        <vt:i4>0</vt:i4>
      </vt:variant>
      <vt:variant>
        <vt:i4>5</vt:i4>
      </vt:variant>
      <vt:variant>
        <vt:lpwstr>http://www.consumer.vic.gov.au/rentright</vt:lpwstr>
      </vt:variant>
      <vt:variant>
        <vt:lpwstr/>
      </vt:variant>
      <vt:variant>
        <vt:i4>7929958</vt:i4>
      </vt:variant>
      <vt:variant>
        <vt:i4>561</vt:i4>
      </vt:variant>
      <vt:variant>
        <vt:i4>0</vt:i4>
      </vt:variant>
      <vt:variant>
        <vt:i4>5</vt:i4>
      </vt:variant>
      <vt:variant>
        <vt:lpwstr>http://www.consumer.vic.gov.au/renting</vt:lpwstr>
      </vt:variant>
      <vt:variant>
        <vt:lpwstr/>
      </vt:variant>
      <vt:variant>
        <vt:i4>1310744</vt:i4>
      </vt:variant>
      <vt:variant>
        <vt:i4>555</vt:i4>
      </vt:variant>
      <vt:variant>
        <vt:i4>0</vt:i4>
      </vt:variant>
      <vt:variant>
        <vt:i4>5</vt:i4>
      </vt:variant>
      <vt:variant>
        <vt:lpwstr/>
      </vt:variant>
      <vt:variant>
        <vt:lpwstr>_Smoke_alarms</vt:lpwstr>
      </vt:variant>
      <vt:variant>
        <vt:i4>6815820</vt:i4>
      </vt:variant>
      <vt:variant>
        <vt:i4>549</vt:i4>
      </vt:variant>
      <vt:variant>
        <vt:i4>0</vt:i4>
      </vt:variant>
      <vt:variant>
        <vt:i4>5</vt:i4>
      </vt:variant>
      <vt:variant>
        <vt:lpwstr/>
      </vt:variant>
      <vt:variant>
        <vt:lpwstr>_When_you_want</vt:lpwstr>
      </vt:variant>
      <vt:variant>
        <vt:i4>2752630</vt:i4>
      </vt:variant>
      <vt:variant>
        <vt:i4>543</vt:i4>
      </vt:variant>
      <vt:variant>
        <vt:i4>0</vt:i4>
      </vt:variant>
      <vt:variant>
        <vt:i4>5</vt:i4>
      </vt:variant>
      <vt:variant>
        <vt:lpwstr/>
      </vt:variant>
      <vt:variant>
        <vt:lpwstr>_Repairs_2</vt:lpwstr>
      </vt:variant>
      <vt:variant>
        <vt:i4>2162695</vt:i4>
      </vt:variant>
      <vt:variant>
        <vt:i4>537</vt:i4>
      </vt:variant>
      <vt:variant>
        <vt:i4>0</vt:i4>
      </vt:variant>
      <vt:variant>
        <vt:i4>5</vt:i4>
      </vt:variant>
      <vt:variant>
        <vt:lpwstr/>
      </vt:variant>
      <vt:variant>
        <vt:lpwstr>_Department_of_Health</vt:lpwstr>
      </vt:variant>
      <vt:variant>
        <vt:i4>7077966</vt:i4>
      </vt:variant>
      <vt:variant>
        <vt:i4>531</vt:i4>
      </vt:variant>
      <vt:variant>
        <vt:i4>0</vt:i4>
      </vt:variant>
      <vt:variant>
        <vt:i4>5</vt:i4>
      </vt:variant>
      <vt:variant>
        <vt:lpwstr/>
      </vt:variant>
      <vt:variant>
        <vt:lpwstr>_Residential_Tenancies_Bond</vt:lpwstr>
      </vt:variant>
      <vt:variant>
        <vt:i4>6488187</vt:i4>
      </vt:variant>
      <vt:variant>
        <vt:i4>528</vt:i4>
      </vt:variant>
      <vt:variant>
        <vt:i4>0</vt:i4>
      </vt:variant>
      <vt:variant>
        <vt:i4>5</vt:i4>
      </vt:variant>
      <vt:variant>
        <vt:lpwstr>http://www.rentalbonds.vic.gov.au/</vt:lpwstr>
      </vt:variant>
      <vt:variant>
        <vt:lpwstr/>
      </vt:variant>
      <vt:variant>
        <vt:i4>3670127</vt:i4>
      </vt:variant>
      <vt:variant>
        <vt:i4>522</vt:i4>
      </vt:variant>
      <vt:variant>
        <vt:i4>0</vt:i4>
      </vt:variant>
      <vt:variant>
        <vt:i4>5</vt:i4>
      </vt:variant>
      <vt:variant>
        <vt:lpwstr/>
      </vt:variant>
      <vt:variant>
        <vt:lpwstr>_Victorian_Equal_Opportunity_1</vt:lpwstr>
      </vt:variant>
      <vt:variant>
        <vt:i4>524330</vt:i4>
      </vt:variant>
      <vt:variant>
        <vt:i4>516</vt:i4>
      </vt:variant>
      <vt:variant>
        <vt:i4>0</vt:i4>
      </vt:variant>
      <vt:variant>
        <vt:i4>5</vt:i4>
      </vt:variant>
      <vt:variant>
        <vt:lpwstr/>
      </vt:variant>
      <vt:variant>
        <vt:lpwstr>_Ending_a_tenancy</vt:lpwstr>
      </vt:variant>
      <vt:variant>
        <vt:i4>196628</vt:i4>
      </vt:variant>
      <vt:variant>
        <vt:i4>513</vt:i4>
      </vt:variant>
      <vt:variant>
        <vt:i4>0</vt:i4>
      </vt:variant>
      <vt:variant>
        <vt:i4>5</vt:i4>
      </vt:variant>
      <vt:variant>
        <vt:lpwstr>https://www.consumer.vic.gov.au/forms</vt:lpwstr>
      </vt:variant>
      <vt:variant>
        <vt:lpwstr/>
      </vt:variant>
      <vt:variant>
        <vt:i4>1441801</vt:i4>
      </vt:variant>
      <vt:variant>
        <vt:i4>510</vt:i4>
      </vt:variant>
      <vt:variant>
        <vt:i4>0</vt:i4>
      </vt:variant>
      <vt:variant>
        <vt:i4>5</vt:i4>
      </vt:variant>
      <vt:variant>
        <vt:lpwstr>http://www.consumer.vic.gov.au/rentright</vt:lpwstr>
      </vt:variant>
      <vt:variant>
        <vt:lpwstr/>
      </vt:variant>
      <vt:variant>
        <vt:i4>3670027</vt:i4>
      </vt:variant>
      <vt:variant>
        <vt:i4>504</vt:i4>
      </vt:variant>
      <vt:variant>
        <vt:i4>0</vt:i4>
      </vt:variant>
      <vt:variant>
        <vt:i4>5</vt:i4>
      </vt:variant>
      <vt:variant>
        <vt:lpwstr/>
      </vt:variant>
      <vt:variant>
        <vt:lpwstr>_Agreeing_on_the</vt:lpwstr>
      </vt:variant>
      <vt:variant>
        <vt:i4>4456566</vt:i4>
      </vt:variant>
      <vt:variant>
        <vt:i4>498</vt:i4>
      </vt:variant>
      <vt:variant>
        <vt:i4>0</vt:i4>
      </vt:variant>
      <vt:variant>
        <vt:i4>5</vt:i4>
      </vt:variant>
      <vt:variant>
        <vt:lpwstr/>
      </vt:variant>
      <vt:variant>
        <vt:lpwstr>_Belongings_left_behind</vt:lpwstr>
      </vt:variant>
      <vt:variant>
        <vt:i4>6815820</vt:i4>
      </vt:variant>
      <vt:variant>
        <vt:i4>492</vt:i4>
      </vt:variant>
      <vt:variant>
        <vt:i4>0</vt:i4>
      </vt:variant>
      <vt:variant>
        <vt:i4>5</vt:i4>
      </vt:variant>
      <vt:variant>
        <vt:lpwstr/>
      </vt:variant>
      <vt:variant>
        <vt:lpwstr>_When_you_want</vt:lpwstr>
      </vt:variant>
      <vt:variant>
        <vt:i4>2752630</vt:i4>
      </vt:variant>
      <vt:variant>
        <vt:i4>486</vt:i4>
      </vt:variant>
      <vt:variant>
        <vt:i4>0</vt:i4>
      </vt:variant>
      <vt:variant>
        <vt:i4>5</vt:i4>
      </vt:variant>
      <vt:variant>
        <vt:lpwstr/>
      </vt:variant>
      <vt:variant>
        <vt:lpwstr>_Repairs_2</vt:lpwstr>
      </vt:variant>
      <vt:variant>
        <vt:i4>1900551</vt:i4>
      </vt:variant>
      <vt:variant>
        <vt:i4>480</vt:i4>
      </vt:variant>
      <vt:variant>
        <vt:i4>0</vt:i4>
      </vt:variant>
      <vt:variant>
        <vt:i4>5</vt:i4>
      </vt:variant>
      <vt:variant>
        <vt:lpwstr/>
      </vt:variant>
      <vt:variant>
        <vt:lpwstr>_The_bond</vt:lpwstr>
      </vt:variant>
      <vt:variant>
        <vt:i4>540541051</vt:i4>
      </vt:variant>
      <vt:variant>
        <vt:i4>474</vt:i4>
      </vt:variant>
      <vt:variant>
        <vt:i4>0</vt:i4>
      </vt:variant>
      <vt:variant>
        <vt:i4>5</vt:i4>
      </vt:variant>
      <vt:variant>
        <vt:lpwstr/>
      </vt:variant>
      <vt:variant>
        <vt:lpwstr>_The_‘Condition_Report’</vt:lpwstr>
      </vt:variant>
      <vt:variant>
        <vt:i4>7077984</vt:i4>
      </vt:variant>
      <vt:variant>
        <vt:i4>471</vt:i4>
      </vt:variant>
      <vt:variant>
        <vt:i4>0</vt:i4>
      </vt:variant>
      <vt:variant>
        <vt:i4>5</vt:i4>
      </vt:variant>
      <vt:variant>
        <vt:lpwstr/>
      </vt:variant>
      <vt:variant>
        <vt:lpwstr>_RentRight_app</vt:lpwstr>
      </vt:variant>
      <vt:variant>
        <vt:i4>196628</vt:i4>
      </vt:variant>
      <vt:variant>
        <vt:i4>468</vt:i4>
      </vt:variant>
      <vt:variant>
        <vt:i4>0</vt:i4>
      </vt:variant>
      <vt:variant>
        <vt:i4>5</vt:i4>
      </vt:variant>
      <vt:variant>
        <vt:lpwstr>https://www.consumer.vic.gov.au/forms</vt:lpwstr>
      </vt:variant>
      <vt:variant>
        <vt:lpwstr/>
      </vt:variant>
      <vt:variant>
        <vt:i4>196628</vt:i4>
      </vt:variant>
      <vt:variant>
        <vt:i4>465</vt:i4>
      </vt:variant>
      <vt:variant>
        <vt:i4>0</vt:i4>
      </vt:variant>
      <vt:variant>
        <vt:i4>5</vt:i4>
      </vt:variant>
      <vt:variant>
        <vt:lpwstr>https://www.consumer.vic.gov.au/forms</vt:lpwstr>
      </vt:variant>
      <vt:variant>
        <vt:lpwstr/>
      </vt:variant>
      <vt:variant>
        <vt:i4>524315</vt:i4>
      </vt:variant>
      <vt:variant>
        <vt:i4>462</vt:i4>
      </vt:variant>
      <vt:variant>
        <vt:i4>0</vt:i4>
      </vt:variant>
      <vt:variant>
        <vt:i4>5</vt:i4>
      </vt:variant>
      <vt:variant>
        <vt:lpwstr>http://www.consumer.vic.gov.au/languages</vt:lpwstr>
      </vt:variant>
      <vt:variant>
        <vt:lpwstr/>
      </vt:variant>
      <vt:variant>
        <vt:i4>5898260</vt:i4>
      </vt:variant>
      <vt:variant>
        <vt:i4>459</vt:i4>
      </vt:variant>
      <vt:variant>
        <vt:i4>0</vt:i4>
      </vt:variant>
      <vt:variant>
        <vt:i4>5</vt:i4>
      </vt:variant>
      <vt:variant>
        <vt:lpwstr>https://consumer.vic.gov.au/forms</vt:lpwstr>
      </vt:variant>
      <vt:variant>
        <vt:lpwstr/>
      </vt:variant>
      <vt:variant>
        <vt:i4>327753</vt:i4>
      </vt:variant>
      <vt:variant>
        <vt:i4>456</vt:i4>
      </vt:variant>
      <vt:variant>
        <vt:i4>0</vt:i4>
      </vt:variant>
      <vt:variant>
        <vt:i4>5</vt:i4>
      </vt:variant>
      <vt:variant>
        <vt:lpwstr>http://creativecommons.org/licenses/by/3.0/au</vt:lpwstr>
      </vt:variant>
      <vt:variant>
        <vt:lpwstr/>
      </vt:variant>
      <vt:variant>
        <vt:i4>327753</vt:i4>
      </vt:variant>
      <vt:variant>
        <vt:i4>453</vt:i4>
      </vt:variant>
      <vt:variant>
        <vt:i4>0</vt:i4>
      </vt:variant>
      <vt:variant>
        <vt:i4>5</vt:i4>
      </vt:variant>
      <vt:variant>
        <vt:lpwstr>http://creativecommons.org/licenses/by/3.0/au</vt:lpwstr>
      </vt:variant>
      <vt:variant>
        <vt:lpwstr/>
      </vt:variant>
      <vt:variant>
        <vt:i4>1179709</vt:i4>
      </vt:variant>
      <vt:variant>
        <vt:i4>446</vt:i4>
      </vt:variant>
      <vt:variant>
        <vt:i4>0</vt:i4>
      </vt:variant>
      <vt:variant>
        <vt:i4>5</vt:i4>
      </vt:variant>
      <vt:variant>
        <vt:lpwstr/>
      </vt:variant>
      <vt:variant>
        <vt:lpwstr>_Toc486065986</vt:lpwstr>
      </vt:variant>
      <vt:variant>
        <vt:i4>1179709</vt:i4>
      </vt:variant>
      <vt:variant>
        <vt:i4>440</vt:i4>
      </vt:variant>
      <vt:variant>
        <vt:i4>0</vt:i4>
      </vt:variant>
      <vt:variant>
        <vt:i4>5</vt:i4>
      </vt:variant>
      <vt:variant>
        <vt:lpwstr/>
      </vt:variant>
      <vt:variant>
        <vt:lpwstr>_Toc486065985</vt:lpwstr>
      </vt:variant>
      <vt:variant>
        <vt:i4>1179709</vt:i4>
      </vt:variant>
      <vt:variant>
        <vt:i4>434</vt:i4>
      </vt:variant>
      <vt:variant>
        <vt:i4>0</vt:i4>
      </vt:variant>
      <vt:variant>
        <vt:i4>5</vt:i4>
      </vt:variant>
      <vt:variant>
        <vt:lpwstr/>
      </vt:variant>
      <vt:variant>
        <vt:lpwstr>_Toc486065984</vt:lpwstr>
      </vt:variant>
      <vt:variant>
        <vt:i4>1179709</vt:i4>
      </vt:variant>
      <vt:variant>
        <vt:i4>428</vt:i4>
      </vt:variant>
      <vt:variant>
        <vt:i4>0</vt:i4>
      </vt:variant>
      <vt:variant>
        <vt:i4>5</vt:i4>
      </vt:variant>
      <vt:variant>
        <vt:lpwstr/>
      </vt:variant>
      <vt:variant>
        <vt:lpwstr>_Toc486065983</vt:lpwstr>
      </vt:variant>
      <vt:variant>
        <vt:i4>1179709</vt:i4>
      </vt:variant>
      <vt:variant>
        <vt:i4>422</vt:i4>
      </vt:variant>
      <vt:variant>
        <vt:i4>0</vt:i4>
      </vt:variant>
      <vt:variant>
        <vt:i4>5</vt:i4>
      </vt:variant>
      <vt:variant>
        <vt:lpwstr/>
      </vt:variant>
      <vt:variant>
        <vt:lpwstr>_Toc486065982</vt:lpwstr>
      </vt:variant>
      <vt:variant>
        <vt:i4>1179709</vt:i4>
      </vt:variant>
      <vt:variant>
        <vt:i4>416</vt:i4>
      </vt:variant>
      <vt:variant>
        <vt:i4>0</vt:i4>
      </vt:variant>
      <vt:variant>
        <vt:i4>5</vt:i4>
      </vt:variant>
      <vt:variant>
        <vt:lpwstr/>
      </vt:variant>
      <vt:variant>
        <vt:lpwstr>_Toc486065981</vt:lpwstr>
      </vt:variant>
      <vt:variant>
        <vt:i4>1179709</vt:i4>
      </vt:variant>
      <vt:variant>
        <vt:i4>410</vt:i4>
      </vt:variant>
      <vt:variant>
        <vt:i4>0</vt:i4>
      </vt:variant>
      <vt:variant>
        <vt:i4>5</vt:i4>
      </vt:variant>
      <vt:variant>
        <vt:lpwstr/>
      </vt:variant>
      <vt:variant>
        <vt:lpwstr>_Toc486065980</vt:lpwstr>
      </vt:variant>
      <vt:variant>
        <vt:i4>1900605</vt:i4>
      </vt:variant>
      <vt:variant>
        <vt:i4>404</vt:i4>
      </vt:variant>
      <vt:variant>
        <vt:i4>0</vt:i4>
      </vt:variant>
      <vt:variant>
        <vt:i4>5</vt:i4>
      </vt:variant>
      <vt:variant>
        <vt:lpwstr/>
      </vt:variant>
      <vt:variant>
        <vt:lpwstr>_Toc486065979</vt:lpwstr>
      </vt:variant>
      <vt:variant>
        <vt:i4>1900605</vt:i4>
      </vt:variant>
      <vt:variant>
        <vt:i4>398</vt:i4>
      </vt:variant>
      <vt:variant>
        <vt:i4>0</vt:i4>
      </vt:variant>
      <vt:variant>
        <vt:i4>5</vt:i4>
      </vt:variant>
      <vt:variant>
        <vt:lpwstr/>
      </vt:variant>
      <vt:variant>
        <vt:lpwstr>_Toc486065978</vt:lpwstr>
      </vt:variant>
      <vt:variant>
        <vt:i4>1900605</vt:i4>
      </vt:variant>
      <vt:variant>
        <vt:i4>392</vt:i4>
      </vt:variant>
      <vt:variant>
        <vt:i4>0</vt:i4>
      </vt:variant>
      <vt:variant>
        <vt:i4>5</vt:i4>
      </vt:variant>
      <vt:variant>
        <vt:lpwstr/>
      </vt:variant>
      <vt:variant>
        <vt:lpwstr>_Toc486065977</vt:lpwstr>
      </vt:variant>
      <vt:variant>
        <vt:i4>1900605</vt:i4>
      </vt:variant>
      <vt:variant>
        <vt:i4>386</vt:i4>
      </vt:variant>
      <vt:variant>
        <vt:i4>0</vt:i4>
      </vt:variant>
      <vt:variant>
        <vt:i4>5</vt:i4>
      </vt:variant>
      <vt:variant>
        <vt:lpwstr/>
      </vt:variant>
      <vt:variant>
        <vt:lpwstr>_Toc486065976</vt:lpwstr>
      </vt:variant>
      <vt:variant>
        <vt:i4>1900605</vt:i4>
      </vt:variant>
      <vt:variant>
        <vt:i4>380</vt:i4>
      </vt:variant>
      <vt:variant>
        <vt:i4>0</vt:i4>
      </vt:variant>
      <vt:variant>
        <vt:i4>5</vt:i4>
      </vt:variant>
      <vt:variant>
        <vt:lpwstr/>
      </vt:variant>
      <vt:variant>
        <vt:lpwstr>_Toc486065975</vt:lpwstr>
      </vt:variant>
      <vt:variant>
        <vt:i4>1900605</vt:i4>
      </vt:variant>
      <vt:variant>
        <vt:i4>374</vt:i4>
      </vt:variant>
      <vt:variant>
        <vt:i4>0</vt:i4>
      </vt:variant>
      <vt:variant>
        <vt:i4>5</vt:i4>
      </vt:variant>
      <vt:variant>
        <vt:lpwstr/>
      </vt:variant>
      <vt:variant>
        <vt:lpwstr>_Toc486065974</vt:lpwstr>
      </vt:variant>
      <vt:variant>
        <vt:i4>1900605</vt:i4>
      </vt:variant>
      <vt:variant>
        <vt:i4>368</vt:i4>
      </vt:variant>
      <vt:variant>
        <vt:i4>0</vt:i4>
      </vt:variant>
      <vt:variant>
        <vt:i4>5</vt:i4>
      </vt:variant>
      <vt:variant>
        <vt:lpwstr/>
      </vt:variant>
      <vt:variant>
        <vt:lpwstr>_Toc486065973</vt:lpwstr>
      </vt:variant>
      <vt:variant>
        <vt:i4>1900605</vt:i4>
      </vt:variant>
      <vt:variant>
        <vt:i4>362</vt:i4>
      </vt:variant>
      <vt:variant>
        <vt:i4>0</vt:i4>
      </vt:variant>
      <vt:variant>
        <vt:i4>5</vt:i4>
      </vt:variant>
      <vt:variant>
        <vt:lpwstr/>
      </vt:variant>
      <vt:variant>
        <vt:lpwstr>_Toc486065972</vt:lpwstr>
      </vt:variant>
      <vt:variant>
        <vt:i4>1900605</vt:i4>
      </vt:variant>
      <vt:variant>
        <vt:i4>356</vt:i4>
      </vt:variant>
      <vt:variant>
        <vt:i4>0</vt:i4>
      </vt:variant>
      <vt:variant>
        <vt:i4>5</vt:i4>
      </vt:variant>
      <vt:variant>
        <vt:lpwstr/>
      </vt:variant>
      <vt:variant>
        <vt:lpwstr>_Toc486065971</vt:lpwstr>
      </vt:variant>
      <vt:variant>
        <vt:i4>1900605</vt:i4>
      </vt:variant>
      <vt:variant>
        <vt:i4>350</vt:i4>
      </vt:variant>
      <vt:variant>
        <vt:i4>0</vt:i4>
      </vt:variant>
      <vt:variant>
        <vt:i4>5</vt:i4>
      </vt:variant>
      <vt:variant>
        <vt:lpwstr/>
      </vt:variant>
      <vt:variant>
        <vt:lpwstr>_Toc486065970</vt:lpwstr>
      </vt:variant>
      <vt:variant>
        <vt:i4>1835069</vt:i4>
      </vt:variant>
      <vt:variant>
        <vt:i4>344</vt:i4>
      </vt:variant>
      <vt:variant>
        <vt:i4>0</vt:i4>
      </vt:variant>
      <vt:variant>
        <vt:i4>5</vt:i4>
      </vt:variant>
      <vt:variant>
        <vt:lpwstr/>
      </vt:variant>
      <vt:variant>
        <vt:lpwstr>_Toc486065969</vt:lpwstr>
      </vt:variant>
      <vt:variant>
        <vt:i4>1835069</vt:i4>
      </vt:variant>
      <vt:variant>
        <vt:i4>338</vt:i4>
      </vt:variant>
      <vt:variant>
        <vt:i4>0</vt:i4>
      </vt:variant>
      <vt:variant>
        <vt:i4>5</vt:i4>
      </vt:variant>
      <vt:variant>
        <vt:lpwstr/>
      </vt:variant>
      <vt:variant>
        <vt:lpwstr>_Toc486065968</vt:lpwstr>
      </vt:variant>
      <vt:variant>
        <vt:i4>1835069</vt:i4>
      </vt:variant>
      <vt:variant>
        <vt:i4>332</vt:i4>
      </vt:variant>
      <vt:variant>
        <vt:i4>0</vt:i4>
      </vt:variant>
      <vt:variant>
        <vt:i4>5</vt:i4>
      </vt:variant>
      <vt:variant>
        <vt:lpwstr/>
      </vt:variant>
      <vt:variant>
        <vt:lpwstr>_Toc486065967</vt:lpwstr>
      </vt:variant>
      <vt:variant>
        <vt:i4>1835069</vt:i4>
      </vt:variant>
      <vt:variant>
        <vt:i4>326</vt:i4>
      </vt:variant>
      <vt:variant>
        <vt:i4>0</vt:i4>
      </vt:variant>
      <vt:variant>
        <vt:i4>5</vt:i4>
      </vt:variant>
      <vt:variant>
        <vt:lpwstr/>
      </vt:variant>
      <vt:variant>
        <vt:lpwstr>_Toc486065966</vt:lpwstr>
      </vt:variant>
      <vt:variant>
        <vt:i4>1835069</vt:i4>
      </vt:variant>
      <vt:variant>
        <vt:i4>320</vt:i4>
      </vt:variant>
      <vt:variant>
        <vt:i4>0</vt:i4>
      </vt:variant>
      <vt:variant>
        <vt:i4>5</vt:i4>
      </vt:variant>
      <vt:variant>
        <vt:lpwstr/>
      </vt:variant>
      <vt:variant>
        <vt:lpwstr>_Toc486065965</vt:lpwstr>
      </vt:variant>
      <vt:variant>
        <vt:i4>1835069</vt:i4>
      </vt:variant>
      <vt:variant>
        <vt:i4>314</vt:i4>
      </vt:variant>
      <vt:variant>
        <vt:i4>0</vt:i4>
      </vt:variant>
      <vt:variant>
        <vt:i4>5</vt:i4>
      </vt:variant>
      <vt:variant>
        <vt:lpwstr/>
      </vt:variant>
      <vt:variant>
        <vt:lpwstr>_Toc486065964</vt:lpwstr>
      </vt:variant>
      <vt:variant>
        <vt:i4>1835069</vt:i4>
      </vt:variant>
      <vt:variant>
        <vt:i4>308</vt:i4>
      </vt:variant>
      <vt:variant>
        <vt:i4>0</vt:i4>
      </vt:variant>
      <vt:variant>
        <vt:i4>5</vt:i4>
      </vt:variant>
      <vt:variant>
        <vt:lpwstr/>
      </vt:variant>
      <vt:variant>
        <vt:lpwstr>_Toc486065963</vt:lpwstr>
      </vt:variant>
      <vt:variant>
        <vt:i4>1835069</vt:i4>
      </vt:variant>
      <vt:variant>
        <vt:i4>302</vt:i4>
      </vt:variant>
      <vt:variant>
        <vt:i4>0</vt:i4>
      </vt:variant>
      <vt:variant>
        <vt:i4>5</vt:i4>
      </vt:variant>
      <vt:variant>
        <vt:lpwstr/>
      </vt:variant>
      <vt:variant>
        <vt:lpwstr>_Toc486065962</vt:lpwstr>
      </vt:variant>
      <vt:variant>
        <vt:i4>1835069</vt:i4>
      </vt:variant>
      <vt:variant>
        <vt:i4>296</vt:i4>
      </vt:variant>
      <vt:variant>
        <vt:i4>0</vt:i4>
      </vt:variant>
      <vt:variant>
        <vt:i4>5</vt:i4>
      </vt:variant>
      <vt:variant>
        <vt:lpwstr/>
      </vt:variant>
      <vt:variant>
        <vt:lpwstr>_Toc486065961</vt:lpwstr>
      </vt:variant>
      <vt:variant>
        <vt:i4>1835069</vt:i4>
      </vt:variant>
      <vt:variant>
        <vt:i4>290</vt:i4>
      </vt:variant>
      <vt:variant>
        <vt:i4>0</vt:i4>
      </vt:variant>
      <vt:variant>
        <vt:i4>5</vt:i4>
      </vt:variant>
      <vt:variant>
        <vt:lpwstr/>
      </vt:variant>
      <vt:variant>
        <vt:lpwstr>_Toc486065960</vt:lpwstr>
      </vt:variant>
      <vt:variant>
        <vt:i4>2031677</vt:i4>
      </vt:variant>
      <vt:variant>
        <vt:i4>284</vt:i4>
      </vt:variant>
      <vt:variant>
        <vt:i4>0</vt:i4>
      </vt:variant>
      <vt:variant>
        <vt:i4>5</vt:i4>
      </vt:variant>
      <vt:variant>
        <vt:lpwstr/>
      </vt:variant>
      <vt:variant>
        <vt:lpwstr>_Toc486065959</vt:lpwstr>
      </vt:variant>
      <vt:variant>
        <vt:i4>2031677</vt:i4>
      </vt:variant>
      <vt:variant>
        <vt:i4>278</vt:i4>
      </vt:variant>
      <vt:variant>
        <vt:i4>0</vt:i4>
      </vt:variant>
      <vt:variant>
        <vt:i4>5</vt:i4>
      </vt:variant>
      <vt:variant>
        <vt:lpwstr/>
      </vt:variant>
      <vt:variant>
        <vt:lpwstr>_Toc486065958</vt:lpwstr>
      </vt:variant>
      <vt:variant>
        <vt:i4>2031677</vt:i4>
      </vt:variant>
      <vt:variant>
        <vt:i4>272</vt:i4>
      </vt:variant>
      <vt:variant>
        <vt:i4>0</vt:i4>
      </vt:variant>
      <vt:variant>
        <vt:i4>5</vt:i4>
      </vt:variant>
      <vt:variant>
        <vt:lpwstr/>
      </vt:variant>
      <vt:variant>
        <vt:lpwstr>_Toc486065957</vt:lpwstr>
      </vt:variant>
      <vt:variant>
        <vt:i4>2031677</vt:i4>
      </vt:variant>
      <vt:variant>
        <vt:i4>266</vt:i4>
      </vt:variant>
      <vt:variant>
        <vt:i4>0</vt:i4>
      </vt:variant>
      <vt:variant>
        <vt:i4>5</vt:i4>
      </vt:variant>
      <vt:variant>
        <vt:lpwstr/>
      </vt:variant>
      <vt:variant>
        <vt:lpwstr>_Toc486065956</vt:lpwstr>
      </vt:variant>
      <vt:variant>
        <vt:i4>2031677</vt:i4>
      </vt:variant>
      <vt:variant>
        <vt:i4>260</vt:i4>
      </vt:variant>
      <vt:variant>
        <vt:i4>0</vt:i4>
      </vt:variant>
      <vt:variant>
        <vt:i4>5</vt:i4>
      </vt:variant>
      <vt:variant>
        <vt:lpwstr/>
      </vt:variant>
      <vt:variant>
        <vt:lpwstr>_Toc486065955</vt:lpwstr>
      </vt:variant>
      <vt:variant>
        <vt:i4>2031677</vt:i4>
      </vt:variant>
      <vt:variant>
        <vt:i4>254</vt:i4>
      </vt:variant>
      <vt:variant>
        <vt:i4>0</vt:i4>
      </vt:variant>
      <vt:variant>
        <vt:i4>5</vt:i4>
      </vt:variant>
      <vt:variant>
        <vt:lpwstr/>
      </vt:variant>
      <vt:variant>
        <vt:lpwstr>_Toc486065954</vt:lpwstr>
      </vt:variant>
      <vt:variant>
        <vt:i4>2031677</vt:i4>
      </vt:variant>
      <vt:variant>
        <vt:i4>248</vt:i4>
      </vt:variant>
      <vt:variant>
        <vt:i4>0</vt:i4>
      </vt:variant>
      <vt:variant>
        <vt:i4>5</vt:i4>
      </vt:variant>
      <vt:variant>
        <vt:lpwstr/>
      </vt:variant>
      <vt:variant>
        <vt:lpwstr>_Toc486065953</vt:lpwstr>
      </vt:variant>
      <vt:variant>
        <vt:i4>2031677</vt:i4>
      </vt:variant>
      <vt:variant>
        <vt:i4>242</vt:i4>
      </vt:variant>
      <vt:variant>
        <vt:i4>0</vt:i4>
      </vt:variant>
      <vt:variant>
        <vt:i4>5</vt:i4>
      </vt:variant>
      <vt:variant>
        <vt:lpwstr/>
      </vt:variant>
      <vt:variant>
        <vt:lpwstr>_Toc486065952</vt:lpwstr>
      </vt:variant>
      <vt:variant>
        <vt:i4>2031677</vt:i4>
      </vt:variant>
      <vt:variant>
        <vt:i4>236</vt:i4>
      </vt:variant>
      <vt:variant>
        <vt:i4>0</vt:i4>
      </vt:variant>
      <vt:variant>
        <vt:i4>5</vt:i4>
      </vt:variant>
      <vt:variant>
        <vt:lpwstr/>
      </vt:variant>
      <vt:variant>
        <vt:lpwstr>_Toc486065951</vt:lpwstr>
      </vt:variant>
      <vt:variant>
        <vt:i4>2031677</vt:i4>
      </vt:variant>
      <vt:variant>
        <vt:i4>230</vt:i4>
      </vt:variant>
      <vt:variant>
        <vt:i4>0</vt:i4>
      </vt:variant>
      <vt:variant>
        <vt:i4>5</vt:i4>
      </vt:variant>
      <vt:variant>
        <vt:lpwstr/>
      </vt:variant>
      <vt:variant>
        <vt:lpwstr>_Toc486065950</vt:lpwstr>
      </vt:variant>
      <vt:variant>
        <vt:i4>1966141</vt:i4>
      </vt:variant>
      <vt:variant>
        <vt:i4>224</vt:i4>
      </vt:variant>
      <vt:variant>
        <vt:i4>0</vt:i4>
      </vt:variant>
      <vt:variant>
        <vt:i4>5</vt:i4>
      </vt:variant>
      <vt:variant>
        <vt:lpwstr/>
      </vt:variant>
      <vt:variant>
        <vt:lpwstr>_Toc486065949</vt:lpwstr>
      </vt:variant>
      <vt:variant>
        <vt:i4>1966141</vt:i4>
      </vt:variant>
      <vt:variant>
        <vt:i4>218</vt:i4>
      </vt:variant>
      <vt:variant>
        <vt:i4>0</vt:i4>
      </vt:variant>
      <vt:variant>
        <vt:i4>5</vt:i4>
      </vt:variant>
      <vt:variant>
        <vt:lpwstr/>
      </vt:variant>
      <vt:variant>
        <vt:lpwstr>_Toc486065948</vt:lpwstr>
      </vt:variant>
      <vt:variant>
        <vt:i4>1966141</vt:i4>
      </vt:variant>
      <vt:variant>
        <vt:i4>212</vt:i4>
      </vt:variant>
      <vt:variant>
        <vt:i4>0</vt:i4>
      </vt:variant>
      <vt:variant>
        <vt:i4>5</vt:i4>
      </vt:variant>
      <vt:variant>
        <vt:lpwstr/>
      </vt:variant>
      <vt:variant>
        <vt:lpwstr>_Toc486065947</vt:lpwstr>
      </vt:variant>
      <vt:variant>
        <vt:i4>1966141</vt:i4>
      </vt:variant>
      <vt:variant>
        <vt:i4>206</vt:i4>
      </vt:variant>
      <vt:variant>
        <vt:i4>0</vt:i4>
      </vt:variant>
      <vt:variant>
        <vt:i4>5</vt:i4>
      </vt:variant>
      <vt:variant>
        <vt:lpwstr/>
      </vt:variant>
      <vt:variant>
        <vt:lpwstr>_Toc486065946</vt:lpwstr>
      </vt:variant>
      <vt:variant>
        <vt:i4>1966141</vt:i4>
      </vt:variant>
      <vt:variant>
        <vt:i4>200</vt:i4>
      </vt:variant>
      <vt:variant>
        <vt:i4>0</vt:i4>
      </vt:variant>
      <vt:variant>
        <vt:i4>5</vt:i4>
      </vt:variant>
      <vt:variant>
        <vt:lpwstr/>
      </vt:variant>
      <vt:variant>
        <vt:lpwstr>_Toc486065945</vt:lpwstr>
      </vt:variant>
      <vt:variant>
        <vt:i4>1966141</vt:i4>
      </vt:variant>
      <vt:variant>
        <vt:i4>194</vt:i4>
      </vt:variant>
      <vt:variant>
        <vt:i4>0</vt:i4>
      </vt:variant>
      <vt:variant>
        <vt:i4>5</vt:i4>
      </vt:variant>
      <vt:variant>
        <vt:lpwstr/>
      </vt:variant>
      <vt:variant>
        <vt:lpwstr>_Toc486065944</vt:lpwstr>
      </vt:variant>
      <vt:variant>
        <vt:i4>1966141</vt:i4>
      </vt:variant>
      <vt:variant>
        <vt:i4>188</vt:i4>
      </vt:variant>
      <vt:variant>
        <vt:i4>0</vt:i4>
      </vt:variant>
      <vt:variant>
        <vt:i4>5</vt:i4>
      </vt:variant>
      <vt:variant>
        <vt:lpwstr/>
      </vt:variant>
      <vt:variant>
        <vt:lpwstr>_Toc486065943</vt:lpwstr>
      </vt:variant>
      <vt:variant>
        <vt:i4>1966141</vt:i4>
      </vt:variant>
      <vt:variant>
        <vt:i4>182</vt:i4>
      </vt:variant>
      <vt:variant>
        <vt:i4>0</vt:i4>
      </vt:variant>
      <vt:variant>
        <vt:i4>5</vt:i4>
      </vt:variant>
      <vt:variant>
        <vt:lpwstr/>
      </vt:variant>
      <vt:variant>
        <vt:lpwstr>_Toc486065942</vt:lpwstr>
      </vt:variant>
      <vt:variant>
        <vt:i4>1966141</vt:i4>
      </vt:variant>
      <vt:variant>
        <vt:i4>176</vt:i4>
      </vt:variant>
      <vt:variant>
        <vt:i4>0</vt:i4>
      </vt:variant>
      <vt:variant>
        <vt:i4>5</vt:i4>
      </vt:variant>
      <vt:variant>
        <vt:lpwstr/>
      </vt:variant>
      <vt:variant>
        <vt:lpwstr>_Toc486065941</vt:lpwstr>
      </vt:variant>
      <vt:variant>
        <vt:i4>1966141</vt:i4>
      </vt:variant>
      <vt:variant>
        <vt:i4>170</vt:i4>
      </vt:variant>
      <vt:variant>
        <vt:i4>0</vt:i4>
      </vt:variant>
      <vt:variant>
        <vt:i4>5</vt:i4>
      </vt:variant>
      <vt:variant>
        <vt:lpwstr/>
      </vt:variant>
      <vt:variant>
        <vt:lpwstr>_Toc486065940</vt:lpwstr>
      </vt:variant>
      <vt:variant>
        <vt:i4>1638461</vt:i4>
      </vt:variant>
      <vt:variant>
        <vt:i4>164</vt:i4>
      </vt:variant>
      <vt:variant>
        <vt:i4>0</vt:i4>
      </vt:variant>
      <vt:variant>
        <vt:i4>5</vt:i4>
      </vt:variant>
      <vt:variant>
        <vt:lpwstr/>
      </vt:variant>
      <vt:variant>
        <vt:lpwstr>_Toc486065939</vt:lpwstr>
      </vt:variant>
      <vt:variant>
        <vt:i4>1638461</vt:i4>
      </vt:variant>
      <vt:variant>
        <vt:i4>158</vt:i4>
      </vt:variant>
      <vt:variant>
        <vt:i4>0</vt:i4>
      </vt:variant>
      <vt:variant>
        <vt:i4>5</vt:i4>
      </vt:variant>
      <vt:variant>
        <vt:lpwstr/>
      </vt:variant>
      <vt:variant>
        <vt:lpwstr>_Toc486065938</vt:lpwstr>
      </vt:variant>
      <vt:variant>
        <vt:i4>1638461</vt:i4>
      </vt:variant>
      <vt:variant>
        <vt:i4>152</vt:i4>
      </vt:variant>
      <vt:variant>
        <vt:i4>0</vt:i4>
      </vt:variant>
      <vt:variant>
        <vt:i4>5</vt:i4>
      </vt:variant>
      <vt:variant>
        <vt:lpwstr/>
      </vt:variant>
      <vt:variant>
        <vt:lpwstr>_Toc486065937</vt:lpwstr>
      </vt:variant>
      <vt:variant>
        <vt:i4>1638461</vt:i4>
      </vt:variant>
      <vt:variant>
        <vt:i4>146</vt:i4>
      </vt:variant>
      <vt:variant>
        <vt:i4>0</vt:i4>
      </vt:variant>
      <vt:variant>
        <vt:i4>5</vt:i4>
      </vt:variant>
      <vt:variant>
        <vt:lpwstr/>
      </vt:variant>
      <vt:variant>
        <vt:lpwstr>_Toc486065936</vt:lpwstr>
      </vt:variant>
      <vt:variant>
        <vt:i4>1638461</vt:i4>
      </vt:variant>
      <vt:variant>
        <vt:i4>140</vt:i4>
      </vt:variant>
      <vt:variant>
        <vt:i4>0</vt:i4>
      </vt:variant>
      <vt:variant>
        <vt:i4>5</vt:i4>
      </vt:variant>
      <vt:variant>
        <vt:lpwstr/>
      </vt:variant>
      <vt:variant>
        <vt:lpwstr>_Toc486065935</vt:lpwstr>
      </vt:variant>
      <vt:variant>
        <vt:i4>1638461</vt:i4>
      </vt:variant>
      <vt:variant>
        <vt:i4>134</vt:i4>
      </vt:variant>
      <vt:variant>
        <vt:i4>0</vt:i4>
      </vt:variant>
      <vt:variant>
        <vt:i4>5</vt:i4>
      </vt:variant>
      <vt:variant>
        <vt:lpwstr/>
      </vt:variant>
      <vt:variant>
        <vt:lpwstr>_Toc486065934</vt:lpwstr>
      </vt:variant>
      <vt:variant>
        <vt:i4>1638461</vt:i4>
      </vt:variant>
      <vt:variant>
        <vt:i4>128</vt:i4>
      </vt:variant>
      <vt:variant>
        <vt:i4>0</vt:i4>
      </vt:variant>
      <vt:variant>
        <vt:i4>5</vt:i4>
      </vt:variant>
      <vt:variant>
        <vt:lpwstr/>
      </vt:variant>
      <vt:variant>
        <vt:lpwstr>_Toc486065933</vt:lpwstr>
      </vt:variant>
      <vt:variant>
        <vt:i4>1638461</vt:i4>
      </vt:variant>
      <vt:variant>
        <vt:i4>122</vt:i4>
      </vt:variant>
      <vt:variant>
        <vt:i4>0</vt:i4>
      </vt:variant>
      <vt:variant>
        <vt:i4>5</vt:i4>
      </vt:variant>
      <vt:variant>
        <vt:lpwstr/>
      </vt:variant>
      <vt:variant>
        <vt:lpwstr>_Toc486065932</vt:lpwstr>
      </vt:variant>
      <vt:variant>
        <vt:i4>1638461</vt:i4>
      </vt:variant>
      <vt:variant>
        <vt:i4>116</vt:i4>
      </vt:variant>
      <vt:variant>
        <vt:i4>0</vt:i4>
      </vt:variant>
      <vt:variant>
        <vt:i4>5</vt:i4>
      </vt:variant>
      <vt:variant>
        <vt:lpwstr/>
      </vt:variant>
      <vt:variant>
        <vt:lpwstr>_Toc486065931</vt:lpwstr>
      </vt:variant>
      <vt:variant>
        <vt:i4>1638461</vt:i4>
      </vt:variant>
      <vt:variant>
        <vt:i4>110</vt:i4>
      </vt:variant>
      <vt:variant>
        <vt:i4>0</vt:i4>
      </vt:variant>
      <vt:variant>
        <vt:i4>5</vt:i4>
      </vt:variant>
      <vt:variant>
        <vt:lpwstr/>
      </vt:variant>
      <vt:variant>
        <vt:lpwstr>_Toc486065930</vt:lpwstr>
      </vt:variant>
      <vt:variant>
        <vt:i4>1572925</vt:i4>
      </vt:variant>
      <vt:variant>
        <vt:i4>104</vt:i4>
      </vt:variant>
      <vt:variant>
        <vt:i4>0</vt:i4>
      </vt:variant>
      <vt:variant>
        <vt:i4>5</vt:i4>
      </vt:variant>
      <vt:variant>
        <vt:lpwstr/>
      </vt:variant>
      <vt:variant>
        <vt:lpwstr>_Toc486065929</vt:lpwstr>
      </vt:variant>
      <vt:variant>
        <vt:i4>1572925</vt:i4>
      </vt:variant>
      <vt:variant>
        <vt:i4>98</vt:i4>
      </vt:variant>
      <vt:variant>
        <vt:i4>0</vt:i4>
      </vt:variant>
      <vt:variant>
        <vt:i4>5</vt:i4>
      </vt:variant>
      <vt:variant>
        <vt:lpwstr/>
      </vt:variant>
      <vt:variant>
        <vt:lpwstr>_Toc486065928</vt:lpwstr>
      </vt:variant>
      <vt:variant>
        <vt:i4>1572925</vt:i4>
      </vt:variant>
      <vt:variant>
        <vt:i4>92</vt:i4>
      </vt:variant>
      <vt:variant>
        <vt:i4>0</vt:i4>
      </vt:variant>
      <vt:variant>
        <vt:i4>5</vt:i4>
      </vt:variant>
      <vt:variant>
        <vt:lpwstr/>
      </vt:variant>
      <vt:variant>
        <vt:lpwstr>_Toc486065927</vt:lpwstr>
      </vt:variant>
      <vt:variant>
        <vt:i4>1572925</vt:i4>
      </vt:variant>
      <vt:variant>
        <vt:i4>86</vt:i4>
      </vt:variant>
      <vt:variant>
        <vt:i4>0</vt:i4>
      </vt:variant>
      <vt:variant>
        <vt:i4>5</vt:i4>
      </vt:variant>
      <vt:variant>
        <vt:lpwstr/>
      </vt:variant>
      <vt:variant>
        <vt:lpwstr>_Toc486065926</vt:lpwstr>
      </vt:variant>
      <vt:variant>
        <vt:i4>1572925</vt:i4>
      </vt:variant>
      <vt:variant>
        <vt:i4>80</vt:i4>
      </vt:variant>
      <vt:variant>
        <vt:i4>0</vt:i4>
      </vt:variant>
      <vt:variant>
        <vt:i4>5</vt:i4>
      </vt:variant>
      <vt:variant>
        <vt:lpwstr/>
      </vt:variant>
      <vt:variant>
        <vt:lpwstr>_Toc486065925</vt:lpwstr>
      </vt:variant>
      <vt:variant>
        <vt:i4>1572925</vt:i4>
      </vt:variant>
      <vt:variant>
        <vt:i4>74</vt:i4>
      </vt:variant>
      <vt:variant>
        <vt:i4>0</vt:i4>
      </vt:variant>
      <vt:variant>
        <vt:i4>5</vt:i4>
      </vt:variant>
      <vt:variant>
        <vt:lpwstr/>
      </vt:variant>
      <vt:variant>
        <vt:lpwstr>_Toc486065924</vt:lpwstr>
      </vt:variant>
      <vt:variant>
        <vt:i4>1572925</vt:i4>
      </vt:variant>
      <vt:variant>
        <vt:i4>68</vt:i4>
      </vt:variant>
      <vt:variant>
        <vt:i4>0</vt:i4>
      </vt:variant>
      <vt:variant>
        <vt:i4>5</vt:i4>
      </vt:variant>
      <vt:variant>
        <vt:lpwstr/>
      </vt:variant>
      <vt:variant>
        <vt:lpwstr>_Toc486065923</vt:lpwstr>
      </vt:variant>
      <vt:variant>
        <vt:i4>1572925</vt:i4>
      </vt:variant>
      <vt:variant>
        <vt:i4>62</vt:i4>
      </vt:variant>
      <vt:variant>
        <vt:i4>0</vt:i4>
      </vt:variant>
      <vt:variant>
        <vt:i4>5</vt:i4>
      </vt:variant>
      <vt:variant>
        <vt:lpwstr/>
      </vt:variant>
      <vt:variant>
        <vt:lpwstr>_Toc486065922</vt:lpwstr>
      </vt:variant>
      <vt:variant>
        <vt:i4>1572925</vt:i4>
      </vt:variant>
      <vt:variant>
        <vt:i4>56</vt:i4>
      </vt:variant>
      <vt:variant>
        <vt:i4>0</vt:i4>
      </vt:variant>
      <vt:variant>
        <vt:i4>5</vt:i4>
      </vt:variant>
      <vt:variant>
        <vt:lpwstr/>
      </vt:variant>
      <vt:variant>
        <vt:lpwstr>_Toc486065921</vt:lpwstr>
      </vt:variant>
      <vt:variant>
        <vt:i4>1572925</vt:i4>
      </vt:variant>
      <vt:variant>
        <vt:i4>50</vt:i4>
      </vt:variant>
      <vt:variant>
        <vt:i4>0</vt:i4>
      </vt:variant>
      <vt:variant>
        <vt:i4>5</vt:i4>
      </vt:variant>
      <vt:variant>
        <vt:lpwstr/>
      </vt:variant>
      <vt:variant>
        <vt:lpwstr>_Toc486065920</vt:lpwstr>
      </vt:variant>
      <vt:variant>
        <vt:i4>1769533</vt:i4>
      </vt:variant>
      <vt:variant>
        <vt:i4>44</vt:i4>
      </vt:variant>
      <vt:variant>
        <vt:i4>0</vt:i4>
      </vt:variant>
      <vt:variant>
        <vt:i4>5</vt:i4>
      </vt:variant>
      <vt:variant>
        <vt:lpwstr/>
      </vt:variant>
      <vt:variant>
        <vt:lpwstr>_Toc486065919</vt:lpwstr>
      </vt:variant>
      <vt:variant>
        <vt:i4>1769533</vt:i4>
      </vt:variant>
      <vt:variant>
        <vt:i4>38</vt:i4>
      </vt:variant>
      <vt:variant>
        <vt:i4>0</vt:i4>
      </vt:variant>
      <vt:variant>
        <vt:i4>5</vt:i4>
      </vt:variant>
      <vt:variant>
        <vt:lpwstr/>
      </vt:variant>
      <vt:variant>
        <vt:lpwstr>_Toc486065918</vt:lpwstr>
      </vt:variant>
      <vt:variant>
        <vt:i4>1769533</vt:i4>
      </vt:variant>
      <vt:variant>
        <vt:i4>32</vt:i4>
      </vt:variant>
      <vt:variant>
        <vt:i4>0</vt:i4>
      </vt:variant>
      <vt:variant>
        <vt:i4>5</vt:i4>
      </vt:variant>
      <vt:variant>
        <vt:lpwstr/>
      </vt:variant>
      <vt:variant>
        <vt:lpwstr>_Toc486065917</vt:lpwstr>
      </vt:variant>
      <vt:variant>
        <vt:i4>1769533</vt:i4>
      </vt:variant>
      <vt:variant>
        <vt:i4>26</vt:i4>
      </vt:variant>
      <vt:variant>
        <vt:i4>0</vt:i4>
      </vt:variant>
      <vt:variant>
        <vt:i4>5</vt:i4>
      </vt:variant>
      <vt:variant>
        <vt:lpwstr/>
      </vt:variant>
      <vt:variant>
        <vt:lpwstr>_Toc486065916</vt:lpwstr>
      </vt:variant>
      <vt:variant>
        <vt:i4>1769533</vt:i4>
      </vt:variant>
      <vt:variant>
        <vt:i4>20</vt:i4>
      </vt:variant>
      <vt:variant>
        <vt:i4>0</vt:i4>
      </vt:variant>
      <vt:variant>
        <vt:i4>5</vt:i4>
      </vt:variant>
      <vt:variant>
        <vt:lpwstr/>
      </vt:variant>
      <vt:variant>
        <vt:lpwstr>_Toc486065915</vt:lpwstr>
      </vt:variant>
      <vt:variant>
        <vt:i4>1769533</vt:i4>
      </vt:variant>
      <vt:variant>
        <vt:i4>14</vt:i4>
      </vt:variant>
      <vt:variant>
        <vt:i4>0</vt:i4>
      </vt:variant>
      <vt:variant>
        <vt:i4>5</vt:i4>
      </vt:variant>
      <vt:variant>
        <vt:lpwstr/>
      </vt:variant>
      <vt:variant>
        <vt:lpwstr>_Toc486065914</vt:lpwstr>
      </vt:variant>
      <vt:variant>
        <vt:i4>1769533</vt:i4>
      </vt:variant>
      <vt:variant>
        <vt:i4>8</vt:i4>
      </vt:variant>
      <vt:variant>
        <vt:i4>0</vt:i4>
      </vt:variant>
      <vt:variant>
        <vt:i4>5</vt:i4>
      </vt:variant>
      <vt:variant>
        <vt:lpwstr/>
      </vt:variant>
      <vt:variant>
        <vt:lpwstr>_Toc486065913</vt:lpwstr>
      </vt:variant>
      <vt:variant>
        <vt:i4>1769533</vt:i4>
      </vt:variant>
      <vt:variant>
        <vt:i4>2</vt:i4>
      </vt:variant>
      <vt:variant>
        <vt:i4>0</vt:i4>
      </vt:variant>
      <vt:variant>
        <vt:i4>5</vt:i4>
      </vt:variant>
      <vt:variant>
        <vt:lpwstr/>
      </vt:variant>
      <vt:variant>
        <vt:lpwstr>_Toc486065912</vt:lpwstr>
      </vt:variant>
      <vt:variant>
        <vt:i4>7274584</vt:i4>
      </vt:variant>
      <vt:variant>
        <vt:i4>12</vt:i4>
      </vt:variant>
      <vt:variant>
        <vt:i4>0</vt:i4>
      </vt:variant>
      <vt:variant>
        <vt:i4>5</vt:i4>
      </vt:variant>
      <vt:variant>
        <vt:lpwstr/>
      </vt:variant>
      <vt:variant>
        <vt:lpwstr>_Calculating_minimum_notice</vt:lpwstr>
      </vt:variant>
      <vt:variant>
        <vt:i4>7274584</vt:i4>
      </vt:variant>
      <vt:variant>
        <vt:i4>6</vt:i4>
      </vt:variant>
      <vt:variant>
        <vt:i4>0</vt:i4>
      </vt:variant>
      <vt:variant>
        <vt:i4>5</vt:i4>
      </vt:variant>
      <vt:variant>
        <vt:lpwstr/>
      </vt:variant>
      <vt:variant>
        <vt:lpwstr>_Calculating_minimum_notice</vt:lpwstr>
      </vt:variant>
      <vt:variant>
        <vt:i4>7274584</vt:i4>
      </vt:variant>
      <vt:variant>
        <vt:i4>0</vt:i4>
      </vt:variant>
      <vt:variant>
        <vt:i4>0</vt:i4>
      </vt:variant>
      <vt:variant>
        <vt:i4>5</vt:i4>
      </vt:variant>
      <vt:variant>
        <vt:lpwstr/>
      </vt:variant>
      <vt:variant>
        <vt:lpwstr>_Calculating_minimum_notice</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expressions of interest</dc:title>
  <dc:subject>Grants</dc:subject>
  <dc:creator>Consumer Affairs Victoria</dc:creator>
  <cp:keywords/>
  <dc:description/>
  <cp:lastModifiedBy>Fiona Creedy</cp:lastModifiedBy>
  <cp:revision>9</cp:revision>
  <cp:lastPrinted>2017-05-30T10:18:00Z</cp:lastPrinted>
  <dcterms:created xsi:type="dcterms:W3CDTF">2018-02-06T00:33:00Z</dcterms:created>
  <dcterms:modified xsi:type="dcterms:W3CDTF">2018-02-06T04:15:00Z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ies>
</file>