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E79C" w14:textId="77777777" w:rsidR="00CA49FD" w:rsidRPr="009B47AF" w:rsidRDefault="00E91965" w:rsidP="00582066">
      <w:pPr>
        <w:pStyle w:val="Heading1"/>
        <w:rPr>
          <w:i/>
        </w:rPr>
      </w:pPr>
      <w:r w:rsidRPr="00582066">
        <w:t>Application to vary trust account audit date</w:t>
      </w:r>
      <w:r w:rsidR="001B7037" w:rsidRPr="00582066">
        <w:t xml:space="preserve"> – Section 65(1) </w:t>
      </w:r>
      <w:r w:rsidR="001B7037" w:rsidRPr="009B47AF">
        <w:rPr>
          <w:i/>
        </w:rPr>
        <w:t>Estate Agents Act 1980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1263"/>
        <w:gridCol w:w="1253"/>
        <w:gridCol w:w="1133"/>
        <w:gridCol w:w="205"/>
        <w:gridCol w:w="1104"/>
        <w:gridCol w:w="1905"/>
        <w:gridCol w:w="60"/>
        <w:gridCol w:w="1092"/>
        <w:gridCol w:w="174"/>
        <w:gridCol w:w="1479"/>
      </w:tblGrid>
      <w:tr w:rsidR="00582066" w14:paraId="0EE2E7A0" w14:textId="77777777" w:rsidTr="004875C0">
        <w:trPr>
          <w:cantSplit/>
          <w:trHeight w:val="283"/>
        </w:trPr>
        <w:tc>
          <w:tcPr>
            <w:tcW w:w="1993" w:type="pct"/>
            <w:gridSpan w:val="4"/>
            <w:tcBorders>
              <w:right w:val="single" w:sz="4" w:space="0" w:color="auto"/>
            </w:tcBorders>
          </w:tcPr>
          <w:p w14:paraId="0EE2E79D" w14:textId="77777777" w:rsidR="00E73ECE" w:rsidRPr="00E73ECE" w:rsidRDefault="00F6004F" w:rsidP="00582066">
            <w:pPr>
              <w:pStyle w:val="BodyText1"/>
              <w:spacing w:after="0"/>
              <w:jc w:val="right"/>
            </w:pPr>
            <w:r w:rsidRPr="00E73ECE">
              <w:t>I</w:t>
            </w:r>
            <w:r w:rsidR="00694D10" w:rsidRPr="00E73ECE">
              <w:t>,</w:t>
            </w:r>
          </w:p>
          <w:p w14:paraId="0EE2E79E" w14:textId="77777777" w:rsidR="00F6004F" w:rsidRPr="00E73ECE" w:rsidRDefault="00E73ECE" w:rsidP="00582066">
            <w:pPr>
              <w:pStyle w:val="QuestionHelpText"/>
              <w:spacing w:before="0"/>
            </w:pPr>
            <w:r w:rsidRPr="00E73ECE">
              <w:t>(full name)</w:t>
            </w:r>
          </w:p>
        </w:tc>
        <w:tc>
          <w:tcPr>
            <w:tcW w:w="30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9F" w14:textId="77777777" w:rsidR="00F6004F" w:rsidRPr="00E73ECE" w:rsidRDefault="00F6004F" w:rsidP="00E73ECE">
            <w:pPr>
              <w:pStyle w:val="BodyText1"/>
            </w:pPr>
          </w:p>
        </w:tc>
      </w:tr>
      <w:tr w:rsidR="00582066" w14:paraId="0EE2E7A4" w14:textId="77777777" w:rsidTr="004875C0">
        <w:trPr>
          <w:cantSplit/>
          <w:trHeight w:val="283"/>
        </w:trPr>
        <w:tc>
          <w:tcPr>
            <w:tcW w:w="1993" w:type="pct"/>
            <w:gridSpan w:val="4"/>
            <w:tcBorders>
              <w:right w:val="single" w:sz="4" w:space="0" w:color="auto"/>
            </w:tcBorders>
          </w:tcPr>
          <w:p w14:paraId="0EE2E7A1" w14:textId="77777777" w:rsidR="00E73ECE" w:rsidRPr="00E73ECE" w:rsidRDefault="005956A5" w:rsidP="00582066">
            <w:pPr>
              <w:pStyle w:val="BodyText1"/>
              <w:spacing w:after="0"/>
              <w:jc w:val="right"/>
            </w:pPr>
            <w:r w:rsidRPr="00E73ECE">
              <w:t>am</w:t>
            </w:r>
            <w:r w:rsidR="00694D10" w:rsidRPr="00E73ECE">
              <w:t xml:space="preserve"> </w:t>
            </w:r>
            <w:r w:rsidR="00A327E6" w:rsidRPr="00E73ECE">
              <w:t xml:space="preserve">the </w:t>
            </w:r>
            <w:r w:rsidR="00694D10" w:rsidRPr="00E73ECE">
              <w:t xml:space="preserve">officer </w:t>
            </w:r>
            <w:r w:rsidR="00A327E6" w:rsidRPr="00E73ECE">
              <w:t xml:space="preserve">in </w:t>
            </w:r>
            <w:r w:rsidR="00694D10" w:rsidRPr="00E73ECE">
              <w:t xml:space="preserve">effective control </w:t>
            </w:r>
            <w:r w:rsidR="00A327E6" w:rsidRPr="00E73ECE">
              <w:t>of</w:t>
            </w:r>
            <w:r w:rsidR="007E7A74" w:rsidRPr="00E73ECE">
              <w:t>:</w:t>
            </w:r>
          </w:p>
          <w:p w14:paraId="0EE2E7A2" w14:textId="77777777" w:rsidR="00F6004F" w:rsidRPr="00E73ECE" w:rsidRDefault="00E73ECE" w:rsidP="00582066">
            <w:pPr>
              <w:pStyle w:val="QuestionHelpText"/>
              <w:spacing w:before="0"/>
            </w:pPr>
            <w:r w:rsidRPr="00E73ECE">
              <w:t>Legal entity and trading name</w:t>
            </w:r>
          </w:p>
        </w:tc>
        <w:tc>
          <w:tcPr>
            <w:tcW w:w="30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A3" w14:textId="77777777" w:rsidR="00F6004F" w:rsidRPr="00E73ECE" w:rsidRDefault="00F6004F" w:rsidP="00E73ECE">
            <w:pPr>
              <w:pStyle w:val="BodyText1"/>
            </w:pPr>
          </w:p>
        </w:tc>
      </w:tr>
      <w:tr w:rsidR="00582066" w14:paraId="0EE2E7A8" w14:textId="77777777" w:rsidTr="004875C0">
        <w:trPr>
          <w:cantSplit/>
          <w:trHeight w:val="283"/>
        </w:trPr>
        <w:tc>
          <w:tcPr>
            <w:tcW w:w="1993" w:type="pct"/>
            <w:gridSpan w:val="4"/>
            <w:tcBorders>
              <w:right w:val="single" w:sz="4" w:space="0" w:color="auto"/>
            </w:tcBorders>
          </w:tcPr>
          <w:p w14:paraId="0EE2E7A5" w14:textId="77777777" w:rsidR="00A327E6" w:rsidRPr="00E73ECE" w:rsidRDefault="005956A5" w:rsidP="00582066">
            <w:pPr>
              <w:pStyle w:val="BodyText1"/>
              <w:spacing w:after="0"/>
              <w:jc w:val="right"/>
            </w:pPr>
            <w:r w:rsidRPr="00E73ECE">
              <w:t xml:space="preserve">which </w:t>
            </w:r>
            <w:r w:rsidR="00A327E6" w:rsidRPr="00E73ECE">
              <w:t>holds</w:t>
            </w:r>
            <w:r w:rsidR="007E7A74" w:rsidRPr="00E73ECE">
              <w:t>:</w:t>
            </w:r>
          </w:p>
          <w:p w14:paraId="0EE2E7A6" w14:textId="77777777" w:rsidR="00A327E6" w:rsidRPr="00E73ECE" w:rsidRDefault="00E73ECE" w:rsidP="00582066">
            <w:pPr>
              <w:pStyle w:val="QuestionHelpText"/>
              <w:spacing w:before="0"/>
              <w:rPr>
                <w:sz w:val="20"/>
              </w:rPr>
            </w:pPr>
            <w:r w:rsidRPr="00E73ECE">
              <w:t>Estate agent’s licence number (the licensee)</w:t>
            </w:r>
          </w:p>
        </w:tc>
        <w:tc>
          <w:tcPr>
            <w:tcW w:w="30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A7" w14:textId="77777777" w:rsidR="00A327E6" w:rsidRPr="00E73ECE" w:rsidRDefault="00A327E6" w:rsidP="00E73ECE">
            <w:pPr>
              <w:pStyle w:val="BodyText1"/>
            </w:pPr>
          </w:p>
        </w:tc>
      </w:tr>
      <w:tr w:rsidR="00CE6B70" w14:paraId="0EE2E7AA" w14:textId="77777777" w:rsidTr="00E73ECE">
        <w:trPr>
          <w:cantSplit/>
        </w:trPr>
        <w:tc>
          <w:tcPr>
            <w:tcW w:w="5000" w:type="pct"/>
            <w:gridSpan w:val="10"/>
          </w:tcPr>
          <w:p w14:paraId="0EE2E7A9" w14:textId="77777777" w:rsidR="00CE6B70" w:rsidRPr="00E73ECE" w:rsidRDefault="005956A5" w:rsidP="00E73ECE">
            <w:pPr>
              <w:pStyle w:val="BodyText1"/>
              <w:rPr>
                <w:b/>
                <w:bCs/>
              </w:rPr>
            </w:pPr>
            <w:r w:rsidRPr="00E73ECE">
              <w:rPr>
                <w:b/>
                <w:bCs/>
              </w:rPr>
              <w:t>The licensee holds</w:t>
            </w:r>
            <w:r w:rsidR="00CE6B70" w:rsidRPr="00E73ECE">
              <w:rPr>
                <w:b/>
                <w:bCs/>
              </w:rPr>
              <w:t xml:space="preserve"> the following trust accounts associated with real estate transactions (relevant accounts)</w:t>
            </w:r>
          </w:p>
        </w:tc>
      </w:tr>
      <w:tr w:rsidR="009124F4" w14:paraId="0EE2E7B2" w14:textId="77777777" w:rsidTr="004875C0">
        <w:trPr>
          <w:cantSplit/>
          <w:trHeight w:val="397"/>
        </w:trPr>
        <w:tc>
          <w:tcPr>
            <w:tcW w:w="653" w:type="pct"/>
            <w:vAlign w:val="center"/>
          </w:tcPr>
          <w:p w14:paraId="0EE2E7AB" w14:textId="77777777" w:rsidR="00CE6B70" w:rsidRPr="00E73ECE" w:rsidRDefault="00CE6B70" w:rsidP="00582066">
            <w:pPr>
              <w:pStyle w:val="BodyText1"/>
            </w:pPr>
            <w:r w:rsidRPr="00E73ECE">
              <w:t>Account 1</w:t>
            </w:r>
            <w:r w:rsidR="00E73ECE" w:rsidRPr="00E73ECE">
              <w:t>: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14:paraId="0EE2E7AC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Bank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AD" w14:textId="77777777" w:rsidR="00CE6B70" w:rsidRPr="008978A6" w:rsidRDefault="00CE6B70" w:rsidP="008978A6">
            <w:pPr>
              <w:pStyle w:val="BodyText1"/>
            </w:pPr>
          </w:p>
        </w:tc>
        <w:tc>
          <w:tcPr>
            <w:tcW w:w="6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AE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BSB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AF" w14:textId="77777777" w:rsidR="00CE6B70" w:rsidRPr="008978A6" w:rsidRDefault="00CE6B70" w:rsidP="008978A6">
            <w:pPr>
              <w:pStyle w:val="BodyText1"/>
            </w:pPr>
          </w:p>
        </w:tc>
        <w:tc>
          <w:tcPr>
            <w:tcW w:w="6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B0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Number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B1" w14:textId="77777777" w:rsidR="00CE6B70" w:rsidRPr="008978A6" w:rsidRDefault="00CE6B70" w:rsidP="008978A6">
            <w:pPr>
              <w:pStyle w:val="BodyText1"/>
            </w:pPr>
          </w:p>
        </w:tc>
      </w:tr>
      <w:tr w:rsidR="009124F4" w14:paraId="0EE2E7BA" w14:textId="77777777" w:rsidTr="004875C0">
        <w:trPr>
          <w:cantSplit/>
          <w:trHeight w:val="397"/>
        </w:trPr>
        <w:tc>
          <w:tcPr>
            <w:tcW w:w="653" w:type="pct"/>
            <w:vAlign w:val="center"/>
          </w:tcPr>
          <w:p w14:paraId="0EE2E7B3" w14:textId="77777777" w:rsidR="00CE6B70" w:rsidRPr="00E73ECE" w:rsidRDefault="00CE6B70" w:rsidP="00582066">
            <w:pPr>
              <w:pStyle w:val="BodyText1"/>
            </w:pPr>
            <w:r w:rsidRPr="00E73ECE">
              <w:t>Account 2</w:t>
            </w:r>
            <w:r w:rsidR="00E73ECE" w:rsidRPr="00E73ECE">
              <w:t>: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14:paraId="0EE2E7B4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Bank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B5" w14:textId="77777777" w:rsidR="00CE6B70" w:rsidRPr="008978A6" w:rsidRDefault="00CE6B70" w:rsidP="008978A6">
            <w:pPr>
              <w:pStyle w:val="BodyText1"/>
            </w:pPr>
          </w:p>
        </w:tc>
        <w:tc>
          <w:tcPr>
            <w:tcW w:w="6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B6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BSB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B7" w14:textId="77777777" w:rsidR="00CE6B70" w:rsidRPr="008978A6" w:rsidRDefault="00CE6B70" w:rsidP="008978A6">
            <w:pPr>
              <w:pStyle w:val="BodyText1"/>
            </w:pPr>
          </w:p>
        </w:tc>
        <w:tc>
          <w:tcPr>
            <w:tcW w:w="6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B8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Number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B9" w14:textId="77777777" w:rsidR="00CE6B70" w:rsidRPr="008978A6" w:rsidRDefault="00CE6B70" w:rsidP="008978A6">
            <w:pPr>
              <w:pStyle w:val="BodyText1"/>
            </w:pPr>
          </w:p>
        </w:tc>
      </w:tr>
      <w:tr w:rsidR="009124F4" w14:paraId="0EE2E7C2" w14:textId="77777777" w:rsidTr="004875C0">
        <w:trPr>
          <w:cantSplit/>
          <w:trHeight w:val="397"/>
        </w:trPr>
        <w:tc>
          <w:tcPr>
            <w:tcW w:w="653" w:type="pct"/>
            <w:vAlign w:val="center"/>
          </w:tcPr>
          <w:p w14:paraId="0EE2E7BB" w14:textId="77777777" w:rsidR="00CE6B70" w:rsidRPr="00E73ECE" w:rsidRDefault="00CE6B70" w:rsidP="00582066">
            <w:pPr>
              <w:pStyle w:val="BodyText1"/>
            </w:pPr>
            <w:r w:rsidRPr="00E73ECE">
              <w:t>Account 3</w:t>
            </w:r>
            <w:r w:rsidR="00E73ECE" w:rsidRPr="00E73ECE">
              <w:t>: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14:paraId="0EE2E7BC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Bank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BD" w14:textId="77777777" w:rsidR="00CE6B70" w:rsidRPr="008978A6" w:rsidRDefault="00CE6B70" w:rsidP="008978A6">
            <w:pPr>
              <w:pStyle w:val="BodyText1"/>
            </w:pPr>
          </w:p>
        </w:tc>
        <w:tc>
          <w:tcPr>
            <w:tcW w:w="67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BE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BSB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BF" w14:textId="77777777" w:rsidR="00CE6B70" w:rsidRPr="008978A6" w:rsidRDefault="00CE6B70" w:rsidP="008978A6">
            <w:pPr>
              <w:pStyle w:val="BodyText1"/>
            </w:pPr>
          </w:p>
        </w:tc>
        <w:tc>
          <w:tcPr>
            <w:tcW w:w="6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C0" w14:textId="77777777" w:rsidR="00CE6B70" w:rsidRPr="00E73ECE" w:rsidRDefault="00CE6B70" w:rsidP="00582066">
            <w:pPr>
              <w:pStyle w:val="BodyText1"/>
              <w:jc w:val="right"/>
            </w:pPr>
            <w:r w:rsidRPr="00E73ECE">
              <w:t>Number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C1" w14:textId="77777777" w:rsidR="00CE6B70" w:rsidRPr="008978A6" w:rsidRDefault="00CE6B70" w:rsidP="008978A6">
            <w:pPr>
              <w:pStyle w:val="BodyText1"/>
            </w:pPr>
          </w:p>
        </w:tc>
      </w:tr>
      <w:tr w:rsidR="00CE6B70" w14:paraId="0EE2E7C4" w14:textId="77777777" w:rsidTr="00E73ECE">
        <w:trPr>
          <w:cantSplit/>
        </w:trPr>
        <w:tc>
          <w:tcPr>
            <w:tcW w:w="5000" w:type="pct"/>
            <w:gridSpan w:val="10"/>
          </w:tcPr>
          <w:p w14:paraId="0EE2E7C3" w14:textId="77777777" w:rsidR="00CE6B70" w:rsidRPr="00E73ECE" w:rsidRDefault="00CD4507" w:rsidP="000D625E">
            <w:pPr>
              <w:pStyle w:val="BodyText1"/>
            </w:pPr>
            <w:r w:rsidRPr="00E73ECE">
              <w:t>S</w:t>
            </w:r>
            <w:r w:rsidR="00CE6B70" w:rsidRPr="00E73ECE">
              <w:t xml:space="preserve">ection 64 of the </w:t>
            </w:r>
            <w:r w:rsidR="00CE6B70" w:rsidRPr="00E73ECE">
              <w:rPr>
                <w:i/>
              </w:rPr>
              <w:t>Estate Agents Act</w:t>
            </w:r>
            <w:r w:rsidR="00CE6B70" w:rsidRPr="00E73ECE">
              <w:t xml:space="preserve"> </w:t>
            </w:r>
            <w:r w:rsidR="00CE6B70" w:rsidRPr="00E73ECE">
              <w:rPr>
                <w:i/>
              </w:rPr>
              <w:t>1980</w:t>
            </w:r>
            <w:r w:rsidR="00CE6B70" w:rsidRPr="00E73ECE">
              <w:t xml:space="preserve"> (the Act) requires me to provide to the Director </w:t>
            </w:r>
            <w:r w:rsidR="00C25234" w:rsidRPr="00E73ECE">
              <w:t xml:space="preserve">of </w:t>
            </w:r>
            <w:r w:rsidR="00CE6B70" w:rsidRPr="00E73ECE">
              <w:t>Consumer Affairs Victoria (the Director) an annual audit report relating to trust mo</w:t>
            </w:r>
            <w:r w:rsidR="00C25234" w:rsidRPr="00E73ECE">
              <w:t xml:space="preserve">ney </w:t>
            </w:r>
            <w:r w:rsidR="00CE6B70" w:rsidRPr="00E73ECE">
              <w:t xml:space="preserve">held within the relevant time frames as set out within Part </w:t>
            </w:r>
            <w:r w:rsidR="000D625E">
              <w:t>VI</w:t>
            </w:r>
            <w:r w:rsidR="00CE6B70" w:rsidRPr="00E73ECE">
              <w:t xml:space="preserve"> of the Act.</w:t>
            </w:r>
          </w:p>
        </w:tc>
      </w:tr>
      <w:tr w:rsidR="009124F4" w14:paraId="0EE2E7CA" w14:textId="77777777" w:rsidTr="004875C0">
        <w:trPr>
          <w:cantSplit/>
          <w:trHeight w:val="397"/>
        </w:trPr>
        <w:tc>
          <w:tcPr>
            <w:tcW w:w="1993" w:type="pct"/>
            <w:gridSpan w:val="4"/>
          </w:tcPr>
          <w:p w14:paraId="0EE2E7C5" w14:textId="77777777" w:rsidR="004F339A" w:rsidRPr="00E73ECE" w:rsidRDefault="004F339A" w:rsidP="00E73ECE">
            <w:pPr>
              <w:pStyle w:val="BodyText1"/>
              <w:jc w:val="right"/>
            </w:pPr>
            <w:r w:rsidRPr="00E73ECE">
              <w:t>Current 12 month audit cycle ends</w:t>
            </w:r>
            <w:r w:rsidR="00CC454A" w:rsidRPr="00E73ECE">
              <w:t>:</w:t>
            </w:r>
          </w:p>
        </w:tc>
        <w:tc>
          <w:tcPr>
            <w:tcW w:w="571" w:type="pct"/>
            <w:tcBorders>
              <w:right w:val="single" w:sz="4" w:space="0" w:color="auto"/>
            </w:tcBorders>
          </w:tcPr>
          <w:p w14:paraId="0EE2E7C6" w14:textId="77777777" w:rsidR="004F339A" w:rsidRPr="00E73ECE" w:rsidRDefault="004F339A" w:rsidP="00E73ECE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Day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C7" w14:textId="77777777" w:rsidR="004F339A" w:rsidRPr="00E73ECE" w:rsidRDefault="004F339A" w:rsidP="00E73ECE">
            <w:pPr>
              <w:pStyle w:val="BodyText1"/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0EE2E7C8" w14:textId="77777777" w:rsidR="004F339A" w:rsidRPr="00E73ECE" w:rsidRDefault="004F339A" w:rsidP="00E73ECE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Month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C9" w14:textId="77777777" w:rsidR="004F339A" w:rsidRPr="00E73ECE" w:rsidRDefault="004F339A" w:rsidP="00E73ECE">
            <w:pPr>
              <w:pStyle w:val="BodyText1"/>
            </w:pPr>
          </w:p>
        </w:tc>
      </w:tr>
      <w:tr w:rsidR="009124F4" w14:paraId="0EE2E7D0" w14:textId="77777777" w:rsidTr="004875C0">
        <w:trPr>
          <w:cantSplit/>
          <w:trHeight w:val="397"/>
        </w:trPr>
        <w:tc>
          <w:tcPr>
            <w:tcW w:w="1993" w:type="pct"/>
            <w:gridSpan w:val="4"/>
          </w:tcPr>
          <w:p w14:paraId="0EE2E7CB" w14:textId="77777777" w:rsidR="004F339A" w:rsidRPr="00E73ECE" w:rsidRDefault="004F339A" w:rsidP="00E73ECE">
            <w:pPr>
              <w:pStyle w:val="BodyText1"/>
              <w:jc w:val="right"/>
            </w:pPr>
            <w:r w:rsidRPr="00E73ECE">
              <w:t xml:space="preserve">Proposed </w:t>
            </w:r>
            <w:r w:rsidR="00A327E6" w:rsidRPr="00E73ECE">
              <w:t>substituted audit cycle date</w:t>
            </w:r>
            <w:r w:rsidR="00CC454A" w:rsidRPr="00E73ECE">
              <w:t>:</w:t>
            </w:r>
          </w:p>
        </w:tc>
        <w:tc>
          <w:tcPr>
            <w:tcW w:w="571" w:type="pct"/>
            <w:tcBorders>
              <w:right w:val="single" w:sz="4" w:space="0" w:color="auto"/>
            </w:tcBorders>
          </w:tcPr>
          <w:p w14:paraId="0EE2E7CC" w14:textId="77777777" w:rsidR="004F339A" w:rsidRPr="00E73ECE" w:rsidRDefault="004F339A" w:rsidP="00E73ECE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Day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CD" w14:textId="77777777" w:rsidR="004F339A" w:rsidRPr="00E73ECE" w:rsidRDefault="004F339A" w:rsidP="00E73ECE">
            <w:pPr>
              <w:pStyle w:val="BodyText1"/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0EE2E7CE" w14:textId="77777777" w:rsidR="004F339A" w:rsidRPr="00E73ECE" w:rsidRDefault="004F339A" w:rsidP="00E73ECE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Month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CF" w14:textId="77777777" w:rsidR="004F339A" w:rsidRPr="00E73ECE" w:rsidRDefault="004F339A" w:rsidP="00E73ECE">
            <w:pPr>
              <w:pStyle w:val="BodyText1"/>
            </w:pPr>
          </w:p>
        </w:tc>
      </w:tr>
      <w:tr w:rsidR="004F339A" w14:paraId="0EE2E7D3" w14:textId="77777777" w:rsidTr="00E73ECE">
        <w:trPr>
          <w:cantSplit/>
        </w:trPr>
        <w:tc>
          <w:tcPr>
            <w:tcW w:w="5000" w:type="pct"/>
            <w:gridSpan w:val="10"/>
          </w:tcPr>
          <w:p w14:paraId="0EE2E7D1" w14:textId="77777777" w:rsidR="004F339A" w:rsidRPr="00E73ECE" w:rsidRDefault="004F339A" w:rsidP="008978A6">
            <w:pPr>
              <w:pStyle w:val="BodyText1"/>
              <w:spacing w:before="120"/>
            </w:pPr>
            <w:r w:rsidRPr="00E73ECE">
              <w:rPr>
                <w:b/>
                <w:color w:val="FF0000"/>
              </w:rPr>
              <w:t>Note:</w:t>
            </w:r>
            <w:r w:rsidRPr="00E73ECE">
              <w:t xml:space="preserve"> The Director </w:t>
            </w:r>
            <w:r w:rsidR="009E5150" w:rsidRPr="00E73ECE">
              <w:t xml:space="preserve">of Consumer Affairs Victoria </w:t>
            </w:r>
            <w:r w:rsidR="00CC454A" w:rsidRPr="00E73ECE">
              <w:t xml:space="preserve">(the Director) </w:t>
            </w:r>
            <w:r w:rsidRPr="00E73ECE">
              <w:t xml:space="preserve">may only approve a substituted audit date where the new date is </w:t>
            </w:r>
            <w:r w:rsidR="00D74A1B" w:rsidRPr="00E73ECE">
              <w:t>“</w:t>
            </w:r>
            <w:r w:rsidRPr="00E73ECE">
              <w:t xml:space="preserve">no later than </w:t>
            </w:r>
            <w:r w:rsidR="00C25234" w:rsidRPr="00E73ECE">
              <w:t xml:space="preserve">12 </w:t>
            </w:r>
            <w:r w:rsidRPr="00E73ECE">
              <w:t>months after the date on which an auditor’s report of that estate agent’s accounts under section 64 was last given</w:t>
            </w:r>
            <w:r w:rsidR="009E5150" w:rsidRPr="00E73ECE">
              <w:t>”</w:t>
            </w:r>
            <w:r w:rsidRPr="00E73ECE">
              <w:t xml:space="preserve">. </w:t>
            </w:r>
            <w:r w:rsidR="00A327E6" w:rsidRPr="00E73ECE">
              <w:t>If approved, a</w:t>
            </w:r>
            <w:r w:rsidRPr="00E73ECE">
              <w:t xml:space="preserve"> variation </w:t>
            </w:r>
            <w:r w:rsidRPr="00E73ECE">
              <w:rPr>
                <w:b/>
              </w:rPr>
              <w:t>WILL</w:t>
            </w:r>
            <w:r w:rsidRPr="00E73ECE">
              <w:t xml:space="preserve"> </w:t>
            </w:r>
            <w:r w:rsidR="00A327E6" w:rsidRPr="00E73ECE">
              <w:t>require that the licensee causes an audit of trust account u</w:t>
            </w:r>
            <w:r w:rsidRPr="00E73ECE">
              <w:t xml:space="preserve">pon the next occasion that the substituted </w:t>
            </w:r>
            <w:r w:rsidR="00745C84" w:rsidRPr="00E73ECE">
              <w:t>date occurs</w:t>
            </w:r>
            <w:r w:rsidR="00A327E6" w:rsidRPr="00E73ECE">
              <w:t>. This must be a</w:t>
            </w:r>
            <w:r w:rsidRPr="00E73ECE">
              <w:t>n auditable period of less than 12 months.</w:t>
            </w:r>
          </w:p>
          <w:p w14:paraId="0EE2E7D2" w14:textId="77777777" w:rsidR="00E73ECE" w:rsidRPr="00E73ECE" w:rsidRDefault="00E73ECE" w:rsidP="009124F4">
            <w:pPr>
              <w:pStyle w:val="BodyText1"/>
              <w:spacing w:before="120"/>
            </w:pPr>
            <w:r w:rsidRPr="00E73ECE">
              <w:t xml:space="preserve">Under section 65(1) of the Act, the Director </w:t>
            </w:r>
            <w:r w:rsidRPr="00E73ECE">
              <w:rPr>
                <w:color w:val="000000"/>
                <w:szCs w:val="22"/>
              </w:rPr>
              <w:t>``may in his discretion permit the agent to substitute such other date for the thirtieth day of June”.</w:t>
            </w:r>
            <w:r w:rsidRPr="00E73ECE">
              <w:t xml:space="preserve"> This will depend on factors such as compliance with trust account controls and the basis of the application.</w:t>
            </w:r>
          </w:p>
        </w:tc>
      </w:tr>
    </w:tbl>
    <w:p w14:paraId="0EE2E7D4" w14:textId="77777777" w:rsidR="004875C0" w:rsidRDefault="004875C0" w:rsidP="004875C0">
      <w:pPr>
        <w:pStyle w:val="Heading2"/>
      </w:pPr>
      <w:r w:rsidRPr="004875C0">
        <w:t>Compliance with trust account controls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2516"/>
        <w:gridCol w:w="1338"/>
        <w:gridCol w:w="1104"/>
        <w:gridCol w:w="1042"/>
        <w:gridCol w:w="859"/>
        <w:gridCol w:w="64"/>
        <w:gridCol w:w="926"/>
        <w:gridCol w:w="920"/>
        <w:gridCol w:w="899"/>
      </w:tblGrid>
      <w:tr w:rsidR="009124F4" w14:paraId="0EE2E7DC" w14:textId="77777777" w:rsidTr="004875C0">
        <w:trPr>
          <w:cantSplit/>
          <w:trHeight w:val="397"/>
        </w:trPr>
        <w:tc>
          <w:tcPr>
            <w:tcW w:w="1993" w:type="pct"/>
            <w:gridSpan w:val="2"/>
            <w:vAlign w:val="center"/>
          </w:tcPr>
          <w:p w14:paraId="0EE2E7D5" w14:textId="77777777" w:rsidR="00745C84" w:rsidRPr="00E73ECE" w:rsidRDefault="00745C84" w:rsidP="009124F4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Date of the last audit report</w:t>
            </w:r>
            <w:r w:rsidR="00D74A1B" w:rsidRPr="00E73ECE">
              <w:rPr>
                <w:b/>
                <w:bCs/>
              </w:rPr>
              <w:t>:</w:t>
            </w:r>
            <w:r w:rsidR="00A22D1B" w:rsidRPr="00E73ECE">
              <w:rPr>
                <w:b/>
                <w:bCs/>
              </w:rPr>
              <w:t xml:space="preserve"> 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0EE2E7D6" w14:textId="77777777" w:rsidR="00745C84" w:rsidRPr="00E73ECE" w:rsidRDefault="00745C84" w:rsidP="00582066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Day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D7" w14:textId="77777777" w:rsidR="00745C84" w:rsidRPr="008978A6" w:rsidRDefault="00745C84" w:rsidP="008978A6">
            <w:pPr>
              <w:pStyle w:val="BodyText1"/>
            </w:pPr>
          </w:p>
        </w:tc>
        <w:tc>
          <w:tcPr>
            <w:tcW w:w="47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D8" w14:textId="77777777" w:rsidR="00745C84" w:rsidRPr="00E73ECE" w:rsidRDefault="00745C84" w:rsidP="00582066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Month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D9" w14:textId="77777777" w:rsidR="00745C84" w:rsidRPr="008978A6" w:rsidRDefault="00745C84" w:rsidP="008978A6">
            <w:pPr>
              <w:pStyle w:val="BodyText1"/>
            </w:pP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E7DA" w14:textId="77777777" w:rsidR="00745C84" w:rsidRPr="00E73ECE" w:rsidRDefault="00745C84" w:rsidP="00582066">
            <w:pPr>
              <w:pStyle w:val="BodyText1"/>
              <w:jc w:val="right"/>
              <w:rPr>
                <w:b/>
                <w:bCs/>
              </w:rPr>
            </w:pPr>
            <w:r w:rsidRPr="00E73ECE">
              <w:rPr>
                <w:b/>
                <w:bCs/>
              </w:rPr>
              <w:t>Year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DB" w14:textId="77777777" w:rsidR="00745C84" w:rsidRPr="008978A6" w:rsidRDefault="00745C84" w:rsidP="008978A6">
            <w:pPr>
              <w:pStyle w:val="BodyText1"/>
            </w:pPr>
          </w:p>
        </w:tc>
      </w:tr>
      <w:tr w:rsidR="009124F4" w14:paraId="0EE2E7E0" w14:textId="77777777" w:rsidTr="004875C0">
        <w:trPr>
          <w:cantSplit/>
          <w:trHeight w:val="20"/>
        </w:trPr>
        <w:tc>
          <w:tcPr>
            <w:tcW w:w="1993" w:type="pct"/>
            <w:gridSpan w:val="2"/>
            <w:vAlign w:val="center"/>
          </w:tcPr>
          <w:p w14:paraId="0EE2E7DD" w14:textId="77777777" w:rsidR="009124F4" w:rsidRDefault="009124F4" w:rsidP="009124F4">
            <w:pPr>
              <w:pStyle w:val="BodyText1"/>
              <w:jc w:val="right"/>
              <w:rPr>
                <w:b/>
              </w:rPr>
            </w:pPr>
            <w:r w:rsidRPr="00E73ECE">
              <w:rPr>
                <w:b/>
              </w:rPr>
              <w:t>The last audit report was:</w:t>
            </w:r>
          </w:p>
          <w:p w14:paraId="0EE2E7DE" w14:textId="77777777" w:rsidR="009124F4" w:rsidRPr="009124F4" w:rsidRDefault="009124F4" w:rsidP="009124F4">
            <w:pPr>
              <w:pStyle w:val="BodyText1"/>
              <w:jc w:val="right"/>
              <w:rPr>
                <w:b/>
              </w:rPr>
            </w:pPr>
            <w:r w:rsidRPr="00E73ECE">
              <w:rPr>
                <w:color w:val="7F7F7F"/>
              </w:rPr>
              <w:t>(circle one)</w:t>
            </w:r>
          </w:p>
        </w:tc>
        <w:tc>
          <w:tcPr>
            <w:tcW w:w="3007" w:type="pct"/>
            <w:gridSpan w:val="7"/>
            <w:vAlign w:val="center"/>
          </w:tcPr>
          <w:p w14:paraId="0EE2E7DF" w14:textId="77777777" w:rsidR="009124F4" w:rsidRPr="009124F4" w:rsidRDefault="009124F4" w:rsidP="009124F4">
            <w:pPr>
              <w:pStyle w:val="BodyText1"/>
              <w:ind w:left="-107" w:firstLine="703"/>
            </w:pPr>
            <w:r w:rsidRPr="00E73ECE">
              <w:rPr>
                <w:szCs w:val="18"/>
              </w:rPr>
              <w:t>Qualified / Unqualified</w:t>
            </w:r>
          </w:p>
        </w:tc>
      </w:tr>
      <w:tr w:rsidR="009124F4" w14:paraId="0EE2E7E4" w14:textId="77777777" w:rsidTr="004875C0">
        <w:trPr>
          <w:cantSplit/>
          <w:trHeight w:val="20"/>
        </w:trPr>
        <w:tc>
          <w:tcPr>
            <w:tcW w:w="1993" w:type="pct"/>
            <w:gridSpan w:val="2"/>
            <w:vAlign w:val="center"/>
          </w:tcPr>
          <w:p w14:paraId="0EE2E7E1" w14:textId="77777777" w:rsidR="009124F4" w:rsidRDefault="009124F4" w:rsidP="009124F4">
            <w:pPr>
              <w:pStyle w:val="BodyText1"/>
              <w:jc w:val="right"/>
              <w:rPr>
                <w:b/>
              </w:rPr>
            </w:pPr>
            <w:r w:rsidRPr="00E73ECE">
              <w:rPr>
                <w:b/>
              </w:rPr>
              <w:t>All qualifications have been remedied:</w:t>
            </w:r>
          </w:p>
          <w:p w14:paraId="0EE2E7E2" w14:textId="77777777" w:rsidR="009124F4" w:rsidRPr="00E73ECE" w:rsidRDefault="009124F4" w:rsidP="009124F4">
            <w:pPr>
              <w:pStyle w:val="BodyText1"/>
              <w:jc w:val="right"/>
              <w:rPr>
                <w:b/>
              </w:rPr>
            </w:pPr>
            <w:r w:rsidRPr="00E73ECE">
              <w:rPr>
                <w:color w:val="7F7F7F"/>
              </w:rPr>
              <w:t>(circle one)</w:t>
            </w:r>
          </w:p>
        </w:tc>
        <w:tc>
          <w:tcPr>
            <w:tcW w:w="3007" w:type="pct"/>
            <w:gridSpan w:val="7"/>
            <w:vAlign w:val="center"/>
          </w:tcPr>
          <w:p w14:paraId="0EE2E7E3" w14:textId="77777777" w:rsidR="009124F4" w:rsidRPr="00E73ECE" w:rsidRDefault="009124F4" w:rsidP="009124F4">
            <w:pPr>
              <w:pStyle w:val="BodyText1"/>
              <w:ind w:left="-107" w:firstLine="703"/>
              <w:rPr>
                <w:szCs w:val="18"/>
              </w:rPr>
            </w:pPr>
            <w:r w:rsidRPr="009124F4">
              <w:rPr>
                <w:szCs w:val="18"/>
              </w:rPr>
              <w:t>Yes / No</w:t>
            </w:r>
            <w:r w:rsidRPr="009124F4">
              <w:rPr>
                <w:szCs w:val="18"/>
                <w:vertAlign w:val="superscript"/>
              </w:rPr>
              <w:footnoteReference w:id="1"/>
            </w:r>
            <w:r w:rsidRPr="009124F4">
              <w:rPr>
                <w:szCs w:val="18"/>
              </w:rPr>
              <w:t xml:space="preserve"> / N/A</w:t>
            </w:r>
          </w:p>
        </w:tc>
      </w:tr>
      <w:tr w:rsidR="00D425A5" w14:paraId="0EE2E7E7" w14:textId="77777777" w:rsidTr="00582066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0EE2E7E5" w14:textId="77777777" w:rsidR="00582066" w:rsidRDefault="00D425A5" w:rsidP="00582066">
            <w:pPr>
              <w:pStyle w:val="BodyText1"/>
              <w:spacing w:after="0"/>
            </w:pPr>
            <w:r w:rsidRPr="00E73ECE">
              <w:rPr>
                <w:b/>
              </w:rPr>
              <w:t>Basis of the application</w:t>
            </w:r>
            <w:r w:rsidR="00D74A1B" w:rsidRPr="00E73ECE">
              <w:rPr>
                <w:b/>
              </w:rPr>
              <w:t>:</w:t>
            </w:r>
          </w:p>
          <w:p w14:paraId="0EE2E7E6" w14:textId="77777777" w:rsidR="00D425A5" w:rsidRPr="00E73ECE" w:rsidRDefault="00D425A5" w:rsidP="00582066">
            <w:pPr>
              <w:pStyle w:val="BodyText1"/>
              <w:spacing w:before="0"/>
            </w:pPr>
            <w:r w:rsidRPr="00E73ECE">
              <w:t xml:space="preserve">(describe </w:t>
            </w:r>
            <w:r w:rsidR="00FB1459" w:rsidRPr="00E73ECE">
              <w:t>why you are requesting</w:t>
            </w:r>
            <w:r w:rsidR="001B7037" w:rsidRPr="00E73ECE">
              <w:t xml:space="preserve"> to </w:t>
            </w:r>
            <w:r w:rsidRPr="00E73ECE">
              <w:t>var</w:t>
            </w:r>
            <w:r w:rsidR="001B7037" w:rsidRPr="00E73ECE">
              <w:t>y the</w:t>
            </w:r>
            <w:r w:rsidRPr="00E73ECE">
              <w:t xml:space="preserve"> audit date</w:t>
            </w:r>
            <w:r w:rsidR="00FB1459" w:rsidRPr="00E73ECE">
              <w:t xml:space="preserve">; </w:t>
            </w:r>
            <w:r w:rsidRPr="00E73ECE">
              <w:t xml:space="preserve">you may attach a letter if </w:t>
            </w:r>
            <w:r w:rsidR="00FB1459" w:rsidRPr="00E73ECE">
              <w:t>you need more space</w:t>
            </w:r>
            <w:r w:rsidR="00D74A1B" w:rsidRPr="00E73ECE">
              <w:t>)</w:t>
            </w:r>
            <w:r w:rsidR="00FB1459" w:rsidRPr="00E73ECE">
              <w:t xml:space="preserve"> </w:t>
            </w:r>
          </w:p>
        </w:tc>
      </w:tr>
      <w:tr w:rsidR="00D425A5" w14:paraId="0EE2E7E9" w14:textId="77777777" w:rsidTr="00582066">
        <w:trPr>
          <w:cantSplit/>
          <w:trHeight w:val="141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7E8" w14:textId="77777777" w:rsidR="00D425A5" w:rsidRPr="008978A6" w:rsidRDefault="00D425A5" w:rsidP="008978A6">
            <w:pPr>
              <w:pStyle w:val="BodyText1"/>
            </w:pPr>
          </w:p>
        </w:tc>
      </w:tr>
      <w:tr w:rsidR="009124F4" w14:paraId="0EE2E7EE" w14:textId="77777777" w:rsidTr="004875C0">
        <w:trPr>
          <w:cantSplit/>
          <w:trHeight w:val="595"/>
        </w:trPr>
        <w:tc>
          <w:tcPr>
            <w:tcW w:w="1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2E7EA" w14:textId="77777777" w:rsidR="00582066" w:rsidRPr="00E73ECE" w:rsidRDefault="00582066" w:rsidP="00582066">
            <w:pPr>
              <w:pStyle w:val="BodyText1"/>
              <w:jc w:val="right"/>
            </w:pPr>
            <w:r w:rsidRPr="00E73ECE">
              <w:rPr>
                <w:b/>
              </w:rPr>
              <w:t>Signature of licensee</w:t>
            </w:r>
          </w:p>
        </w:tc>
        <w:tc>
          <w:tcPr>
            <w:tcW w:w="2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EB" w14:textId="77777777" w:rsidR="00582066" w:rsidRPr="00E73ECE" w:rsidRDefault="00582066" w:rsidP="00582066">
            <w:pPr>
              <w:pStyle w:val="BodyText1"/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2E7EC" w14:textId="77777777" w:rsidR="00582066" w:rsidRPr="00E73ECE" w:rsidRDefault="00582066" w:rsidP="00582066">
            <w:pPr>
              <w:pStyle w:val="BodyText1"/>
              <w:jc w:val="right"/>
              <w:rPr>
                <w:b/>
              </w:rPr>
            </w:pPr>
            <w:r w:rsidRPr="00E73ECE">
              <w:rPr>
                <w:b/>
              </w:rPr>
              <w:t>Date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7ED" w14:textId="77777777" w:rsidR="00582066" w:rsidRPr="00E73ECE" w:rsidRDefault="00582066" w:rsidP="00582066">
            <w:pPr>
              <w:pStyle w:val="BodyText1"/>
              <w:rPr>
                <w:b/>
              </w:rPr>
            </w:pPr>
          </w:p>
        </w:tc>
      </w:tr>
    </w:tbl>
    <w:p w14:paraId="0EE2E7EF" w14:textId="77777777" w:rsidR="00582066" w:rsidRPr="00582066" w:rsidRDefault="00582066" w:rsidP="00582066">
      <w:pPr>
        <w:pStyle w:val="BodyText1"/>
        <w:spacing w:before="240" w:after="0"/>
        <w:rPr>
          <w:b/>
          <w:bCs/>
        </w:rPr>
      </w:pPr>
      <w:r w:rsidRPr="00582066">
        <w:rPr>
          <w:b/>
          <w:bCs/>
        </w:rPr>
        <w:t>Send the completed form via post:</w:t>
      </w:r>
    </w:p>
    <w:p w14:paraId="0EE2E7F0" w14:textId="77777777" w:rsidR="00582066" w:rsidRPr="00582066" w:rsidRDefault="00582066" w:rsidP="00582066">
      <w:pPr>
        <w:pStyle w:val="BodyText1"/>
        <w:spacing w:before="0" w:after="0"/>
        <w:rPr>
          <w:bCs/>
        </w:rPr>
      </w:pPr>
      <w:r w:rsidRPr="00582066">
        <w:rPr>
          <w:bCs/>
        </w:rPr>
        <w:t xml:space="preserve">Consumer Affairs Victoria </w:t>
      </w:r>
    </w:p>
    <w:p w14:paraId="0EE2E7F1" w14:textId="77777777" w:rsidR="00582066" w:rsidRPr="00582066" w:rsidRDefault="00582066" w:rsidP="00582066">
      <w:pPr>
        <w:pStyle w:val="BodyText1"/>
        <w:spacing w:before="0" w:after="0"/>
        <w:rPr>
          <w:bCs/>
        </w:rPr>
      </w:pPr>
      <w:r w:rsidRPr="00582066">
        <w:rPr>
          <w:bCs/>
        </w:rPr>
        <w:t>(Trust Account Team)</w:t>
      </w:r>
    </w:p>
    <w:p w14:paraId="0EE2E7F2" w14:textId="77777777" w:rsidR="00582066" w:rsidRPr="00582066" w:rsidRDefault="00582066" w:rsidP="00582066">
      <w:pPr>
        <w:pStyle w:val="BodyText1"/>
        <w:spacing w:before="0" w:after="0"/>
        <w:rPr>
          <w:bCs/>
        </w:rPr>
      </w:pPr>
      <w:r w:rsidRPr="00582066">
        <w:rPr>
          <w:bCs/>
        </w:rPr>
        <w:t>Level 19, 121 Exhibition Street</w:t>
      </w:r>
    </w:p>
    <w:p w14:paraId="0EE2E7F3" w14:textId="77777777" w:rsidR="00582066" w:rsidRPr="00582066" w:rsidRDefault="00582066" w:rsidP="00582066">
      <w:pPr>
        <w:pStyle w:val="BodyText1"/>
        <w:spacing w:before="0" w:after="0"/>
        <w:rPr>
          <w:bCs/>
        </w:rPr>
      </w:pPr>
      <w:r w:rsidRPr="00582066">
        <w:rPr>
          <w:bCs/>
        </w:rPr>
        <w:t>Melbourne VIC 3000</w:t>
      </w:r>
    </w:p>
    <w:p w14:paraId="0EE2E7F4" w14:textId="77777777" w:rsidR="00582066" w:rsidRPr="00582066" w:rsidRDefault="00582066" w:rsidP="00582066">
      <w:pPr>
        <w:pStyle w:val="BodyText1"/>
        <w:spacing w:before="120" w:after="0"/>
        <w:rPr>
          <w:b/>
          <w:bCs/>
        </w:rPr>
      </w:pPr>
      <w:r w:rsidRPr="00582066">
        <w:rPr>
          <w:b/>
          <w:bCs/>
        </w:rPr>
        <w:t>or via email:</w:t>
      </w:r>
    </w:p>
    <w:p w14:paraId="0EE2E7F5" w14:textId="77777777" w:rsidR="00CA49FD" w:rsidRDefault="00582066" w:rsidP="00582066">
      <w:pPr>
        <w:pStyle w:val="BodyText1"/>
        <w:spacing w:before="0" w:after="0"/>
      </w:pPr>
      <w:hyperlink r:id="rId8" w:history="1">
        <w:r w:rsidRPr="00446B5A">
          <w:rPr>
            <w:rStyle w:val="Hyperlink"/>
          </w:rPr>
          <w:t>trustaccounts@</w:t>
        </w:r>
        <w:r w:rsidR="00446B5A" w:rsidRPr="00446B5A">
          <w:rPr>
            <w:rStyle w:val="Hyperlink"/>
          </w:rPr>
          <w:t>dgs</w:t>
        </w:r>
        <w:r w:rsidRPr="00446B5A">
          <w:rPr>
            <w:rStyle w:val="Hyperlink"/>
          </w:rPr>
          <w:t>.vic.gov.au</w:t>
        </w:r>
      </w:hyperlink>
    </w:p>
    <w:p w14:paraId="0EE2E7F6" w14:textId="77777777" w:rsidR="00582066" w:rsidRPr="00582066" w:rsidRDefault="00582066" w:rsidP="00582066">
      <w:pPr>
        <w:pStyle w:val="BodyText1"/>
        <w:spacing w:before="120" w:after="0"/>
        <w:rPr>
          <w:b/>
          <w:bCs/>
        </w:rPr>
      </w:pPr>
      <w:r w:rsidRPr="00582066">
        <w:rPr>
          <w:b/>
          <w:bCs/>
        </w:rPr>
        <w:t>For more information:</w:t>
      </w:r>
    </w:p>
    <w:p w14:paraId="0EE2E7F7" w14:textId="77777777" w:rsidR="00582066" w:rsidRPr="009124F4" w:rsidRDefault="00582066" w:rsidP="009124F4">
      <w:pPr>
        <w:pStyle w:val="BodyText1"/>
        <w:spacing w:before="0" w:after="120"/>
        <w:rPr>
          <w:color w:val="0563C1"/>
          <w:u w:val="single"/>
        </w:rPr>
      </w:pPr>
      <w:r w:rsidRPr="00582066">
        <w:rPr>
          <w:rStyle w:val="Hyperlink"/>
        </w:rPr>
        <w:t>consumer.vic.gov.au/estateagents</w:t>
      </w:r>
    </w:p>
    <w:sectPr w:rsidR="00582066" w:rsidRPr="009124F4" w:rsidSect="009124F4">
      <w:footerReference w:type="even" r:id="rId9"/>
      <w:footerReference w:type="default" r:id="rId10"/>
      <w:footerReference w:type="first" r:id="rId11"/>
      <w:pgSz w:w="11906" w:h="16838" w:code="9"/>
      <w:pgMar w:top="567" w:right="1134" w:bottom="567" w:left="1134" w:header="567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E7FA" w14:textId="77777777" w:rsidR="00A84F46" w:rsidRDefault="00A84F46" w:rsidP="001B7037">
      <w:pPr>
        <w:spacing w:before="0" w:after="0"/>
      </w:pPr>
      <w:r>
        <w:separator/>
      </w:r>
    </w:p>
  </w:endnote>
  <w:endnote w:type="continuationSeparator" w:id="0">
    <w:p w14:paraId="0EE2E7FB" w14:textId="77777777" w:rsidR="00A84F46" w:rsidRDefault="00A84F46" w:rsidP="001B70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F5CF" w14:textId="77777777" w:rsidR="007C6C8E" w:rsidRDefault="007C6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E7FC" w14:textId="658D1984" w:rsidR="00E73ECE" w:rsidRDefault="000C7C8C" w:rsidP="008978A6">
    <w:pPr>
      <w:pStyle w:val="Footer"/>
      <w:spacing w:before="12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E2E7FD" wp14:editId="0618193E">
          <wp:simplePos x="0" y="0"/>
          <wp:positionH relativeFrom="column">
            <wp:posOffset>4481195</wp:posOffset>
          </wp:positionH>
          <wp:positionV relativeFrom="paragraph">
            <wp:posOffset>22225</wp:posOffset>
          </wp:positionV>
          <wp:extent cx="1686560" cy="462915"/>
          <wp:effectExtent l="0" t="0" r="0" b="0"/>
          <wp:wrapNone/>
          <wp:docPr id="1" name="Picture 1" descr="Consumer Affair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umer Affairs Vic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ECE">
      <w:t>(03/17)</w:t>
    </w:r>
    <w:r w:rsidR="00E73ECE">
      <w:br/>
    </w:r>
    <w:r w:rsidR="00E73ECE">
      <w:br/>
    </w:r>
    <w:hyperlink r:id="rId2" w:history="1">
      <w:r w:rsidR="00E73ECE">
        <w:rPr>
          <w:rStyle w:val="FooterURL"/>
        </w:rPr>
        <w:t>consumer.vic.gov.au</w:t>
      </w:r>
    </w:hyperlink>
    <w:r w:rsidR="00E73ECE" w:rsidRPr="00B21294">
      <w:tab/>
    </w:r>
    <w:r w:rsidR="00E73ECE" w:rsidRPr="00733F10">
      <w:t xml:space="preserve">Page </w:t>
    </w:r>
    <w:r w:rsidR="00E73ECE" w:rsidRPr="00733F10">
      <w:fldChar w:fldCharType="begin"/>
    </w:r>
    <w:r w:rsidR="00E73ECE" w:rsidRPr="00733F10">
      <w:instrText xml:space="preserve"> PAGE </w:instrText>
    </w:r>
    <w:r w:rsidR="00E73ECE" w:rsidRPr="00733F10">
      <w:fldChar w:fldCharType="separate"/>
    </w:r>
    <w:r w:rsidR="00472D99">
      <w:rPr>
        <w:noProof/>
      </w:rPr>
      <w:t>1</w:t>
    </w:r>
    <w:r w:rsidR="00E73ECE" w:rsidRPr="00733F10">
      <w:fldChar w:fldCharType="end"/>
    </w:r>
    <w:r w:rsidR="00E73ECE" w:rsidRPr="00733F10">
      <w:t xml:space="preserve"> of </w:t>
    </w:r>
    <w:r w:rsidR="00E73ECE" w:rsidRPr="00733F10">
      <w:fldChar w:fldCharType="begin"/>
    </w:r>
    <w:r w:rsidR="00E73ECE" w:rsidRPr="00733F10">
      <w:instrText xml:space="preserve"> NUMPAGES  </w:instrText>
    </w:r>
    <w:r w:rsidR="00E73ECE" w:rsidRPr="00733F10">
      <w:fldChar w:fldCharType="separate"/>
    </w:r>
    <w:r w:rsidR="00472D99">
      <w:rPr>
        <w:noProof/>
      </w:rPr>
      <w:t>1</w:t>
    </w:r>
    <w:r w:rsidR="00E73ECE" w:rsidRPr="00733F10">
      <w:fldChar w:fldCharType="end"/>
    </w:r>
    <w:r w:rsidR="00E73ECE">
      <w:rPr>
        <w:rFonts w:cs="Helv"/>
        <w:b/>
        <w:bCs/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4D1D" w14:textId="77777777" w:rsidR="007C6C8E" w:rsidRDefault="007C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E7F8" w14:textId="77777777" w:rsidR="00A84F46" w:rsidRDefault="00A84F46" w:rsidP="001B7037">
      <w:pPr>
        <w:spacing w:before="0" w:after="0"/>
      </w:pPr>
      <w:r>
        <w:separator/>
      </w:r>
    </w:p>
  </w:footnote>
  <w:footnote w:type="continuationSeparator" w:id="0">
    <w:p w14:paraId="0EE2E7F9" w14:textId="77777777" w:rsidR="00A84F46" w:rsidRDefault="00A84F46" w:rsidP="001B7037">
      <w:pPr>
        <w:spacing w:before="0" w:after="0"/>
      </w:pPr>
      <w:r>
        <w:continuationSeparator/>
      </w:r>
    </w:p>
  </w:footnote>
  <w:footnote w:id="1">
    <w:p w14:paraId="0EE2E7FE" w14:textId="77777777" w:rsidR="009124F4" w:rsidRDefault="009124F4" w:rsidP="009124F4">
      <w:pPr>
        <w:pStyle w:val="FootnoteText"/>
      </w:pPr>
      <w:r w:rsidRPr="008978A6">
        <w:rPr>
          <w:rStyle w:val="FootnoteReference"/>
          <w:sz w:val="16"/>
          <w:szCs w:val="16"/>
        </w:rPr>
        <w:footnoteRef/>
      </w:r>
      <w:r w:rsidRPr="008978A6">
        <w:rPr>
          <w:rStyle w:val="BodytextChar0"/>
          <w:rFonts w:eastAsia="Calibri"/>
          <w:sz w:val="16"/>
          <w:szCs w:val="16"/>
        </w:rPr>
        <w:t xml:space="preserve"> </w:t>
      </w:r>
      <w:r w:rsidRPr="008978A6">
        <w:rPr>
          <w:rStyle w:val="BodytextChar0"/>
          <w:rFonts w:eastAsia="Calibri"/>
          <w:sz w:val="16"/>
          <w:szCs w:val="18"/>
        </w:rPr>
        <w:t>You should provide an explanation for any qualifications in your audit report that are yet to be remedied, including your plans to address any issues raised by the auditor.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8994406">
    <w:abstractNumId w:val="11"/>
  </w:num>
  <w:num w:numId="2" w16cid:durableId="1129860123">
    <w:abstractNumId w:val="12"/>
  </w:num>
  <w:num w:numId="3" w16cid:durableId="591201902">
    <w:abstractNumId w:val="10"/>
  </w:num>
  <w:num w:numId="4" w16cid:durableId="2103723993">
    <w:abstractNumId w:val="9"/>
  </w:num>
  <w:num w:numId="5" w16cid:durableId="230191987">
    <w:abstractNumId w:val="7"/>
  </w:num>
  <w:num w:numId="6" w16cid:durableId="2049573264">
    <w:abstractNumId w:val="6"/>
  </w:num>
  <w:num w:numId="7" w16cid:durableId="573902470">
    <w:abstractNumId w:val="5"/>
  </w:num>
  <w:num w:numId="8" w16cid:durableId="1968244048">
    <w:abstractNumId w:val="4"/>
  </w:num>
  <w:num w:numId="9" w16cid:durableId="1068261981">
    <w:abstractNumId w:val="8"/>
  </w:num>
  <w:num w:numId="10" w16cid:durableId="175272370">
    <w:abstractNumId w:val="3"/>
  </w:num>
  <w:num w:numId="11" w16cid:durableId="1610120250">
    <w:abstractNumId w:val="2"/>
  </w:num>
  <w:num w:numId="12" w16cid:durableId="896236640">
    <w:abstractNumId w:val="1"/>
  </w:num>
  <w:num w:numId="13" w16cid:durableId="4675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FD"/>
    <w:rsid w:val="00090CD1"/>
    <w:rsid w:val="000B0A12"/>
    <w:rsid w:val="000B74EA"/>
    <w:rsid w:val="000C7C8C"/>
    <w:rsid w:val="000D625E"/>
    <w:rsid w:val="001B7037"/>
    <w:rsid w:val="002E189F"/>
    <w:rsid w:val="0030218D"/>
    <w:rsid w:val="00336D45"/>
    <w:rsid w:val="00376EF5"/>
    <w:rsid w:val="003A2519"/>
    <w:rsid w:val="003E5196"/>
    <w:rsid w:val="00446B5A"/>
    <w:rsid w:val="00451CC4"/>
    <w:rsid w:val="004713C1"/>
    <w:rsid w:val="00472D99"/>
    <w:rsid w:val="004875C0"/>
    <w:rsid w:val="004F339A"/>
    <w:rsid w:val="004F6A0E"/>
    <w:rsid w:val="00531FBB"/>
    <w:rsid w:val="00582066"/>
    <w:rsid w:val="005956A5"/>
    <w:rsid w:val="005A5CAF"/>
    <w:rsid w:val="005C425E"/>
    <w:rsid w:val="0061084E"/>
    <w:rsid w:val="0066415F"/>
    <w:rsid w:val="00694D10"/>
    <w:rsid w:val="006C657F"/>
    <w:rsid w:val="006E68E4"/>
    <w:rsid w:val="00733F10"/>
    <w:rsid w:val="00745C84"/>
    <w:rsid w:val="00787EF0"/>
    <w:rsid w:val="007B5858"/>
    <w:rsid w:val="007C6C8E"/>
    <w:rsid w:val="007E7A74"/>
    <w:rsid w:val="00830609"/>
    <w:rsid w:val="00862DA5"/>
    <w:rsid w:val="00867446"/>
    <w:rsid w:val="00872540"/>
    <w:rsid w:val="008814C0"/>
    <w:rsid w:val="008978A6"/>
    <w:rsid w:val="008B17A9"/>
    <w:rsid w:val="008C5C2F"/>
    <w:rsid w:val="008E74F7"/>
    <w:rsid w:val="009124F4"/>
    <w:rsid w:val="00960BDB"/>
    <w:rsid w:val="00987D96"/>
    <w:rsid w:val="009B47AF"/>
    <w:rsid w:val="009C3040"/>
    <w:rsid w:val="009E5150"/>
    <w:rsid w:val="00A0290A"/>
    <w:rsid w:val="00A22D1B"/>
    <w:rsid w:val="00A327E6"/>
    <w:rsid w:val="00A84F46"/>
    <w:rsid w:val="00AB3445"/>
    <w:rsid w:val="00AB3D50"/>
    <w:rsid w:val="00AC1E40"/>
    <w:rsid w:val="00B376B2"/>
    <w:rsid w:val="00B825F7"/>
    <w:rsid w:val="00B84AEC"/>
    <w:rsid w:val="00BF29FA"/>
    <w:rsid w:val="00C25234"/>
    <w:rsid w:val="00C26795"/>
    <w:rsid w:val="00C849D3"/>
    <w:rsid w:val="00CA49FD"/>
    <w:rsid w:val="00CC454A"/>
    <w:rsid w:val="00CD4507"/>
    <w:rsid w:val="00CE6B70"/>
    <w:rsid w:val="00D425A5"/>
    <w:rsid w:val="00D74A1B"/>
    <w:rsid w:val="00DC5891"/>
    <w:rsid w:val="00E11FCC"/>
    <w:rsid w:val="00E73ECE"/>
    <w:rsid w:val="00E91965"/>
    <w:rsid w:val="00EA2F03"/>
    <w:rsid w:val="00EF1501"/>
    <w:rsid w:val="00F00E3B"/>
    <w:rsid w:val="00F6004F"/>
    <w:rsid w:val="00FA649A"/>
    <w:rsid w:val="00FB1459"/>
    <w:rsid w:val="00FC1501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2E79C"/>
  <w15:chartTrackingRefBased/>
  <w15:docId w15:val="{86F13CA4-723C-4D88-9F72-7A67B249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CE"/>
    <w:pPr>
      <w:spacing w:before="240" w:after="240"/>
    </w:pPr>
    <w:rPr>
      <w:rFonts w:cs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82066"/>
    <w:pPr>
      <w:keepNext/>
      <w:outlineLvl w:val="0"/>
    </w:pPr>
    <w:rPr>
      <w:rFonts w:eastAsia="Times New Roman" w:cs="Arial"/>
      <w:b/>
      <w:bCs/>
      <w:kern w:val="32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582066"/>
    <w:pPr>
      <w:keepNext/>
      <w:spacing w:before="240"/>
      <w:outlineLvl w:val="1"/>
    </w:pPr>
    <w:rPr>
      <w:rFonts w:eastAsia="Times New Roman" w:cs="Arial"/>
      <w:b/>
      <w:bCs/>
      <w:iCs/>
      <w:sz w:val="22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basedOn w:val="BodyText1"/>
    <w:next w:val="Normal"/>
    <w:link w:val="Heading4Char"/>
    <w:uiPriority w:val="9"/>
    <w:unhideWhenUsed/>
    <w:qFormat/>
    <w:rsid w:val="00582066"/>
    <w:pPr>
      <w:spacing w:after="0"/>
      <w:outlineLvl w:val="3"/>
    </w:pPr>
    <w:rPr>
      <w:b/>
      <w:bCs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82066"/>
    <w:rPr>
      <w:rFonts w:eastAsia="Times New Roman" w:cs="Arial"/>
      <w:b/>
      <w:bCs/>
      <w:kern w:val="32"/>
      <w:sz w:val="28"/>
      <w:szCs w:val="28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582066"/>
    <w:rPr>
      <w:rFonts w:eastAsia="Times New Roman" w:cs="Arial"/>
      <w:b/>
      <w:bCs/>
      <w:iCs/>
      <w:sz w:val="22"/>
      <w:szCs w:val="22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82066"/>
    <w:rPr>
      <w:rFonts w:eastAsia="Times New Roman" w:cs="Arial"/>
      <w:b/>
      <w:bCs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733F10"/>
    <w:pPr>
      <w:tabs>
        <w:tab w:val="center" w:pos="4513"/>
        <w:tab w:val="center" w:pos="4820"/>
        <w:tab w:val="right" w:pos="9026"/>
        <w:tab w:val="right" w:pos="9639"/>
      </w:tabs>
    </w:pPr>
    <w:rPr>
      <w:rFonts w:cs="Arial"/>
    </w:rPr>
  </w:style>
  <w:style w:type="character" w:customStyle="1" w:styleId="FooterChar">
    <w:name w:val="Footer Char"/>
    <w:link w:val="Footer"/>
    <w:uiPriority w:val="99"/>
    <w:rsid w:val="00733F10"/>
    <w:rPr>
      <w:rFonts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  <w:style w:type="paragraph" w:customStyle="1" w:styleId="BodyText1">
    <w:name w:val="Body Text1"/>
    <w:basedOn w:val="BodyText"/>
    <w:link w:val="BodytextChar0"/>
    <w:qFormat/>
    <w:rsid w:val="00582066"/>
    <w:pPr>
      <w:suppressAutoHyphens/>
      <w:spacing w:before="60" w:after="60"/>
    </w:pPr>
    <w:rPr>
      <w:rFonts w:eastAsia="Times New Roman"/>
      <w:sz w:val="18"/>
      <w:szCs w:val="20"/>
    </w:rPr>
  </w:style>
  <w:style w:type="character" w:customStyle="1" w:styleId="BodytextChar0">
    <w:name w:val="Body text Char"/>
    <w:link w:val="BodyText1"/>
    <w:rsid w:val="00582066"/>
    <w:rPr>
      <w:rFonts w:eastAsia="Times New Roman" w:cs="Arial"/>
      <w:sz w:val="18"/>
    </w:rPr>
  </w:style>
  <w:style w:type="paragraph" w:styleId="Revision">
    <w:name w:val="Revision"/>
    <w:hidden/>
    <w:uiPriority w:val="99"/>
    <w:semiHidden/>
    <w:rsid w:val="00336D45"/>
    <w:rPr>
      <w:rFonts w:cs="Arial"/>
      <w:sz w:val="22"/>
      <w:szCs w:val="22"/>
    </w:rPr>
  </w:style>
  <w:style w:type="character" w:customStyle="1" w:styleId="FooterURL">
    <w:name w:val="Footer URL"/>
    <w:rsid w:val="00E73ECE"/>
    <w:rPr>
      <w:sz w:val="22"/>
      <w:szCs w:val="22"/>
    </w:rPr>
  </w:style>
  <w:style w:type="paragraph" w:customStyle="1" w:styleId="QuestionHelpText">
    <w:name w:val="Question Help Text"/>
    <w:basedOn w:val="BodyText1"/>
    <w:qFormat/>
    <w:rsid w:val="00E73ECE"/>
    <w:pPr>
      <w:jc w:val="right"/>
    </w:pPr>
    <w:rPr>
      <w:color w:val="7F7F7F"/>
    </w:rPr>
  </w:style>
  <w:style w:type="character" w:customStyle="1" w:styleId="UnresolvedMention1">
    <w:name w:val="Unresolved Mention1"/>
    <w:uiPriority w:val="99"/>
    <w:semiHidden/>
    <w:unhideWhenUsed/>
    <w:rsid w:val="0044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staccounts@dgs.vic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97E2-8136-4C85-92B4-08C53019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1841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 confirming no trust monies held during an auditable period - company</vt:lpstr>
    </vt:vector>
  </TitlesOfParts>
  <Company>Victorian Department of Justice</Company>
  <LinksUpToDate>false</LinksUpToDate>
  <CharactersWithSpaces>2157</CharactersWithSpaces>
  <SharedDoc>false</SharedDoc>
  <HLinks>
    <vt:vector size="12" baseType="variant">
      <vt:variant>
        <vt:i4>7602247</vt:i4>
      </vt:variant>
      <vt:variant>
        <vt:i4>0</vt:i4>
      </vt:variant>
      <vt:variant>
        <vt:i4>0</vt:i4>
      </vt:variant>
      <vt:variant>
        <vt:i4>5</vt:i4>
      </vt:variant>
      <vt:variant>
        <vt:lpwstr>mailto:trustaccounts@dgs.vic.gov.au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 confirming no trust monies held during an auditable period - company</dc:title>
  <dc:subject>Estate agents</dc:subject>
  <dc:creator>Consumer Affairs Victoria</dc:creator>
  <cp:keywords>estate agent, trust account, audit, statutory declaration, company, body corporate</cp:keywords>
  <dc:description/>
  <cp:lastModifiedBy>David M Darragh (DGS)</cp:lastModifiedBy>
  <cp:revision>2</cp:revision>
  <cp:lastPrinted>2016-02-04T00:30:00Z</cp:lastPrinted>
  <dcterms:created xsi:type="dcterms:W3CDTF">2026-04-10T05:08:00Z</dcterms:created>
  <dcterms:modified xsi:type="dcterms:W3CDTF">2026-04-10T05:08:00Z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CD/17/103530*</vt:lpwstr>
  </property>
  <property fmtid="{D5CDD505-2E9C-101B-9397-08002B2CF9AE}" pid="3" name="TRIM_DateDue">
    <vt:lpwstr> </vt:lpwstr>
  </property>
  <property fmtid="{D5CDD505-2E9C-101B-9397-08002B2CF9AE}" pid="4" name="TRIM_Author">
    <vt:lpwstr>LATIMER, Kaylene</vt:lpwstr>
  </property>
  <property fmtid="{D5CDD505-2E9C-101B-9397-08002B2CF9AE}" pid="5" name="TRIM_Container">
    <vt:lpwstr>DG/17/12409</vt:lpwstr>
  </property>
  <property fmtid="{D5CDD505-2E9C-101B-9397-08002B2CF9AE}" pid="6" name="TRIM_Creator">
    <vt:lpwstr>LATIMER, Kaylene</vt:lpwstr>
  </property>
  <property fmtid="{D5CDD505-2E9C-101B-9397-08002B2CF9AE}" pid="7" name="TRIM_DateRegistered">
    <vt:lpwstr>28 February, 2017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Master form - Estate agents - Application to vary trust account audit date - Section 65(1) Estate Agents Act 1980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2026-04-10T05:08:29Z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eb72495f-f81c-4290-9196-5b80f37d20f4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